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02</w:t>
      </w:r>
    </w:p>
    <w:p>
      <w:pPr>
        <w:spacing w:after="120"/>
      </w:pPr>
      <w:r>
        <w:rPr>
          <w:b/>
          <w:color w:val="1F3A5F"/>
          <w:sz w:val="52"/>
        </w:rPr>
        <w:t>Especificación de requerimientos</w:t>
      </w:r>
    </w:p>
    <w:p>
      <w:r>
        <w:rPr>
          <w:i/>
          <w:color w:val="404040"/>
          <w:sz w:val="23"/>
        </w:rPr>
        <w:t>Actores, requerimientos funcionales, no funcionales y legales, restricciones de diseño, casos de uso del sistema, estados y priorización de Kronos AI.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02 · Especificación de requerimientos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10.2, caps. 11 y 12, y 9.3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docs/entregables/02_requerimientos.docx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2" w:history="1">
        <w:r>
          <w:rPr/>
          <w:t xml:space="preserve">1.1 Cómo se relevaron los requerimientos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3" w:history="1">
        <w:r>
          <w:rPr/>
          <w:t xml:space="preserve">1.2 Convenciones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4" w:history="1">
        <w:r>
          <w:rPr/>
          <w:t xml:space="preserve">2. Actores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5" w:history="1">
        <w:r>
          <w:rPr/>
          <w:t xml:space="preserve">3. Requerimientos funcionales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6" w:history="1">
        <w:r>
          <w:rPr/>
          <w:t xml:space="preserve">3.1 Recolección y detección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7" w:history="1">
        <w:r>
          <w:rPr/>
          <w:t xml:space="preserve">3.2 Decisión y validación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8" w:history="1">
        <w:r>
          <w:rPr/>
          <w:t xml:space="preserve">3.3 Ejecución y niveles de autonomía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09" w:history="1">
        <w:r>
          <w:rPr/>
          <w:t xml:space="preserve">3.4 Notificación y consola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10" w:history="1">
        <w:r>
          <w:rPr/>
          <w:t xml:space="preserve">3.5 Persistencia e inquilinos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1" w:history="1">
        <w:r>
          <w:rPr/>
          <w:t xml:space="preserve">4. Requerimientos no funcionales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2" w:history="1">
        <w:r>
          <w:rPr/>
          <w:t xml:space="preserve">5. Requerimientos legales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3" w:history="1">
        <w:r>
          <w:rPr/>
          <w:t xml:space="preserve">6. Restricciones de diseño</w:t>
        </w:r>
        <w:r>
          <w:rPr/>
          <w:tab/>
        </w:r>
        <w:r>
          <w:rPr/>
          <w:t xml:space="preserve">10</w:t>
        </w:r>
      </w:hyperlink>
    </w:p>
    <w:p>
      <w:pPr>
        <w:pStyle w:val="TOC1"/>
      </w:pPr>
      <w:hyperlink w:anchor="_Toc0014" w:history="1">
        <w:r>
          <w:rPr/>
          <w:t xml:space="preserve">7. Casos de uso del sistema</w:t>
        </w:r>
        <w:r>
          <w:rPr/>
          <w:tab/>
        </w:r>
        <w:r>
          <w:rPr/>
          <w:t xml:space="preserve">11</w:t>
        </w:r>
      </w:hyperlink>
    </w:p>
    <w:p>
      <w:pPr>
        <w:pStyle w:val="TOC2"/>
      </w:pPr>
      <w:hyperlink w:anchor="_Toc0015" w:history="1">
        <w:r>
          <w:rPr/>
          <w:t xml:space="preserve">7.1 Escenarios por arquetipo de equipo</w:t>
        </w:r>
        <w:r>
          <w:rPr/>
          <w:tab/>
        </w:r>
        <w:r>
          <w:rPr/>
          <w:t xml:space="preserve">12</w:t>
        </w:r>
      </w:hyperlink>
    </w:p>
    <w:p>
      <w:pPr>
        <w:pStyle w:val="TOC1"/>
      </w:pPr>
      <w:hyperlink w:anchor="_Toc0016" w:history="1">
        <w:r>
          <w:rPr/>
          <w:t xml:space="preserve">8. Estados</w:t>
        </w:r>
        <w:r>
          <w:rPr/>
          <w:tab/>
        </w:r>
        <w:r>
          <w:rPr/>
          <w:t xml:space="preserve">13</w:t>
        </w:r>
      </w:hyperlink>
    </w:p>
    <w:p>
      <w:pPr>
        <w:pStyle w:val="TOC2"/>
      </w:pPr>
      <w:hyperlink w:anchor="_Toc0017" w:history="1">
        <w:r>
          <w:rPr/>
          <w:t xml:space="preserve">8.1 Estados del ticket</w:t>
        </w:r>
        <w:r>
          <w:rPr/>
          <w:tab/>
        </w:r>
        <w:r>
          <w:rPr/>
          <w:t xml:space="preserve">13</w:t>
        </w:r>
      </w:hyperlink>
    </w:p>
    <w:p>
      <w:pPr>
        <w:pStyle w:val="TOC2"/>
      </w:pPr>
      <w:hyperlink w:anchor="_Toc0018" w:history="1">
        <w:r>
          <w:rPr/>
          <w:t xml:space="preserve">8.2 Estados del cortacircuito</w:t>
        </w:r>
        <w:r>
          <w:rPr/>
          <w:tab/>
        </w:r>
        <w:r>
          <w:rPr/>
          <w:t xml:space="preserve">14</w:t>
        </w:r>
      </w:hyperlink>
    </w:p>
    <w:p>
      <w:pPr>
        <w:pStyle w:val="TOC1"/>
      </w:pPr>
      <w:hyperlink w:anchor="_Toc0019" w:history="1">
        <w:r>
          <w:rPr/>
          <w:t xml:space="preserve">9. Priorización</w:t>
        </w:r>
        <w:r>
          <w:rPr/>
          <w:tab/>
        </w:r>
        <w:r>
          <w:rPr/>
          <w:t xml:space="preserve">14</w:t>
        </w:r>
      </w:hyperlink>
    </w:p>
    <w:p>
      <w:pPr>
        <w:pStyle w:val="TOC2"/>
      </w:pPr>
      <w:hyperlink w:anchor="_Toc0020" w:history="1">
        <w:r>
          <w:rPr/>
          <w:t xml:space="preserve">9.1 Criterios de aceptación del servicio</w:t>
        </w:r>
        <w:r>
          <w:rPr/>
          <w:tab/>
        </w:r>
        <w:r>
          <w:rPr/>
          <w:t xml:space="preserve">15</w:t>
        </w:r>
      </w:hyperlink>
    </w:p>
    <w:p>
      <w:pPr>
        <w:pStyle w:val="TOC1"/>
      </w:pPr>
      <w:hyperlink w:anchor="_Toc0021" w:history="1">
        <w:r>
          <w:rPr/>
          <w:t xml:space="preserve">10. Trazabilidad</w:t>
        </w:r>
        <w:r>
          <w:rPr/>
          <w:tab/>
        </w:r>
        <w:r>
          <w:rPr/>
          <w:t xml:space="preserve">15</w:t>
        </w:r>
      </w:hyperlink>
    </w:p>
    <w:p>
      <w:pPr>
        <w:pStyle w:val="TOC1"/>
      </w:pPr>
      <w:hyperlink w:anchor="_Toc0022" w:history="1">
        <w:r>
          <w:rPr/>
          <w:t xml:space="preserve">11. Referencias</w:t>
        </w:r>
        <w:r>
          <w:rPr/>
          <w:tab/>
        </w:r>
        <w:r>
          <w:rPr/>
          <w:t xml:space="preserve">15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figuras</w:t>
      </w:r>
    </w:p>
    <w:p>
      <w:pPr>
        <w:pStyle w:val="TableofFigures"/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Fig001" w:history="1">
        <w:r>
          <w:rPr/>
          <w:t xml:space="preserve">Figura 1. Casos de uso del sistema y sus actores</w:t>
        </w:r>
        <w:r>
          <w:rPr/>
          <w:tab/>
        </w:r>
        <w:r>
          <w:rPr/>
          <w:t xml:space="preserve">11</w:t>
        </w:r>
      </w:hyperlink>
    </w:p>
    <w:p>
      <w:pPr>
        <w:pStyle w:val="TableofFigures"/>
      </w:pPr>
      <w:hyperlink w:anchor="_Fig002" w:history="1">
        <w:r>
          <w:rPr/>
          <w:t xml:space="preserve">Figura 2. Tratamiento de una decisión según su nivel de autonomía</w:t>
        </w:r>
        <w:r>
          <w:rPr/>
          <w:tab/>
        </w:r>
        <w:r>
          <w:rPr/>
          <w:t xml:space="preserve">12</w:t>
        </w:r>
      </w:hyperlink>
    </w:p>
    <w:p>
      <w:pPr>
        <w:pStyle w:val="TableofFigures"/>
      </w:pPr>
      <w:hyperlink w:anchor="_Fig003" w:history="1">
        <w:r>
          <w:rPr/>
          <w:t xml:space="preserve">Figura 3. Estados del ticket</w:t>
        </w:r>
        <w:r>
          <w:rPr/>
          <w:tab/>
        </w:r>
        <w:r>
          <w:rPr/>
          <w:t xml:space="preserve">13</w:t>
        </w:r>
      </w:hyperlink>
    </w:p>
    <w:p>
      <w:pPr>
        <w:pStyle w:val="TableofFigures"/>
      </w:pPr>
      <w:hyperlink w:anchor="_Fig004" w:history="1">
        <w:r>
          <w:rPr/>
          <w:t xml:space="preserve">Figura 4. Estados del cortacircuito por ámbito</w:t>
        </w:r>
        <w:r>
          <w:rPr/>
          <w:tab/>
        </w:r>
        <w:r>
          <w:rPr/>
          <w:t xml:space="preserve">14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Identificadores usados en este documento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2" w:history="1">
        <w:r>
          <w:rPr/>
          <w:t xml:space="preserve">Tabla 2. Actores del sistema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Requerimientos de SOAR-COLLECT y SOAR-DETECT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4" w:history="1">
        <w:r>
          <w:rPr/>
          <w:t xml:space="preserve">Tabla 4. Requerimientos de SOAR-VALIDATE y SOAR-CLASSIFY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Requerimientos de SOAR-EXECUTE y de los niveles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6" w:history="1">
        <w:r>
          <w:rPr/>
          <w:t xml:space="preserve">Tabla 6. Requerimientos de SOAR-NOTIFY y SOAR-CONSOLE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7" w:history="1">
        <w:r>
          <w:rPr/>
          <w:t xml:space="preserve">Tabla 7. Requerimientos de SOAR-AUDIT y del alta de inquilinos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8" w:history="1">
        <w:r>
          <w:rPr/>
          <w:t xml:space="preserve">Tabla 8. Requerimientos no funcionales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9" w:history="1">
        <w:r>
          <w:rPr/>
          <w:t xml:space="preserve">Tabla 9. Requerimientos legales y normativos</w:t>
        </w:r>
        <w:r>
          <w:rPr/>
          <w:tab/>
        </w:r>
        <w:r>
          <w:rPr/>
          <w:t xml:space="preserve">9</w:t>
        </w:r>
      </w:hyperlink>
    </w:p>
    <w:p>
      <w:pPr>
        <w:pStyle w:val="TableofFigures"/>
      </w:pPr>
      <w:hyperlink w:anchor="_Tab010" w:history="1">
        <w:r>
          <w:rPr/>
          <w:t xml:space="preserve">Tabla 10. Restricciones R1 a R4</w:t>
        </w:r>
        <w:r>
          <w:rPr/>
          <w:tab/>
        </w:r>
        <w:r>
          <w:rPr/>
          <w:t xml:space="preserve">10</w:t>
        </w:r>
      </w:hyperlink>
    </w:p>
    <w:p>
      <w:pPr>
        <w:pStyle w:val="TableofFigures"/>
      </w:pPr>
      <w:hyperlink w:anchor="_Tab011" w:history="1">
        <w:r>
          <w:rPr/>
          <w:t xml:space="preserve">Tabla 11. Casos de uso del sistema</w:t>
        </w:r>
        <w:r>
          <w:rPr/>
          <w:tab/>
        </w:r>
        <w:r>
          <w:rPr/>
          <w:t xml:space="preserve">11</w:t>
        </w:r>
      </w:hyperlink>
    </w:p>
    <w:p>
      <w:pPr>
        <w:pStyle w:val="TableofFigures"/>
      </w:pPr>
      <w:hyperlink w:anchor="_Tab012" w:history="1">
        <w:r>
          <w:rPr/>
          <w:t xml:space="preserve">Tabla 12. Motivos de rechazo existentes en el esquema</w:t>
        </w:r>
        <w:r>
          <w:rPr/>
          <w:tab/>
        </w:r>
        <w:r>
          <w:rPr/>
          <w:t xml:space="preserve">13</w:t>
        </w:r>
      </w:hyperlink>
    </w:p>
    <w:p>
      <w:pPr>
        <w:pStyle w:val="TableofFigures"/>
      </w:pPr>
      <w:hyperlink w:anchor="_Tab013" w:history="1">
        <w:r>
          <w:rPr/>
          <w:t xml:space="preserve">Tabla 13. Resumen de la priorización MoSCoW</w:t>
        </w:r>
        <w:r>
          <w:rPr/>
          <w:tab/>
        </w:r>
        <w:r>
          <w:rPr/>
          <w:t xml:space="preserve">14</w:t>
        </w:r>
      </w:hyperlink>
    </w:p>
    <w:p>
      <w:pPr>
        <w:pStyle w:val="TableofFigures"/>
      </w:pPr>
      <w:hyperlink w:anchor="_Tab014" w:history="1">
        <w:r>
          <w:rPr/>
          <w:t xml:space="preserve">Tabla 14. Trazabilidad de requerimientos a componentes y pruebas</w:t>
        </w:r>
        <w:r>
          <w:rPr/>
          <w:tab/>
        </w:r>
        <w:r>
          <w:rPr/>
          <w:t xml:space="preserve">15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fija qué debe hacer Kronos AI y bajo qué condiciones. Es la base de la arquitectura (documento 09, Documento de arquitectura), del diseño (documento 10, Documento de diseño, pendiente) y de las pruebas (documento 15, Plan de pruebas de software).</w:t>
      </w:r>
    </w:p>
    <w:p>
      <w:r>
        <w:t xml:space="preserve">Cubre el producto como servicio en la nube: los componentes SOAR-*, los niveles de autonomía, la bitácora y el aislamiento por inquilino. No cubre los datos de la farmacia piloto. Esos datos se relevan después de instalar los agentes allí (D-28). </w:t>
      </w:r>
      <w:r>
        <w:rPr>
          <w:b/>
          <w:color w:val="004D40"/>
          <w:highlight w:val="cyan"/>
        </w:rPr>
        <w:t>[PENDIENTE: posterior a la instalación en la farmacia — relevamiento de equipos, cuentas, servicios críticos, lista de exclusión, direcciones permitidas, horarios, carpetas vigiladas y plazos de reversión]</w:t>
      </w:r>
    </w:p>
    <w:p>
      <w:pPr>
        <w:pStyle w:val="Heading2"/>
      </w:pPr>
      <w:bookmarkStart w:id="1002" w:name="_Toc0002"/>
      <w:r>
        <w:t>1.1 Cómo se relevaron los requerimientos</w:t>
      </w:r>
      <w:bookmarkEnd w:id="1002"/>
    </w:p>
    <w:p>
      <w:r>
        <w:t>Los requerimientos salen de cuatro fuentes. Son el código y el esquema del repositorio, el «Replanteamiento como SaaS» (25-09-2026), el «Plan de instalación de agentes en la farmacia» (08-10-2026) y las decisiones del equipo del 14-10-2026 (D-31 a D-35). Cuando dos fuentes se contradicen, vale el repositorio y luego las respuestas del equipo, como fija el orden de precedencia del contexto maestro.</w:t>
      </w:r>
    </w:p>
    <w:p>
      <w:r>
        <w:t>El libro distingue el relevamiento (descubrir qué se necesita) del análisis (ordenarlo, priorizarlo y dejarlo verificable). Aquí se aplica esa separación: cada requerimiento tiene un identificador, una prioridad, un criterio de verificación y su estado (Pantaleo y Rinaudo, caps. 10 y 11).</w:t>
      </w:r>
    </w:p>
    <w:p>
      <w:pPr>
        <w:pStyle w:val="Heading2"/>
      </w:pPr>
      <w:bookmarkStart w:id="1003" w:name="_Toc0003"/>
      <w:r>
        <w:t>1.2 Convenciones</w:t>
      </w:r>
      <w:bookmarkEnd w:id="1003"/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Identificadores usados en este documento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4"/>
        <w:gridCol w:w="7361"/>
      </w:tblGrid>
      <w:tr>
        <w:trPr>
          <w:cantSplit/>
          <w:tblHeader/>
        </w:trPr>
        <w:tc>
          <w:tcPr>
            <w:tcW w:type="dxa" w:w="204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Prefijo</w:t>
            </w:r>
          </w:p>
        </w:tc>
        <w:tc>
          <w:tcPr>
            <w:tcW w:type="dxa" w:w="7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RF-NN</w:t>
            </w:r>
          </w:p>
        </w:tc>
        <w:tc>
          <w:tcPr>
            <w:tcW w:type="dxa" w:w="7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Requerimiento funcional: algo que el sistema hace</w:t>
            </w:r>
          </w:p>
        </w:tc>
      </w:tr>
      <w:tr>
        <w:trPr>
          <w:cantSplit/>
        </w:trPr>
        <w:tc>
          <w:tcPr>
            <w:tcW w:type="dxa" w:w="20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RNF-NN</w:t>
            </w:r>
          </w:p>
        </w:tc>
        <w:tc>
          <w:tcPr>
            <w:tcW w:type="dxa" w:w="736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Requerimiento no funcional: una cualidad medible (seguridad, latencia, aislamiento)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RL-NN</w:t>
            </w:r>
          </w:p>
        </w:tc>
        <w:tc>
          <w:tcPr>
            <w:tcW w:type="dxa" w:w="7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Requerimiento legal o normativo</w:t>
            </w:r>
          </w:p>
        </w:tc>
      </w:tr>
      <w:tr>
        <w:trPr>
          <w:cantSplit/>
        </w:trPr>
        <w:tc>
          <w:tcPr>
            <w:tcW w:type="dxa" w:w="20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R1 a R4</w:t>
            </w:r>
          </w:p>
        </w:tc>
        <w:tc>
          <w:tcPr>
            <w:tcW w:type="dxa" w:w="736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Restricciones de diseño. No son requerimientos con identificador propio; se citan por su nombre</w:t>
            </w:r>
          </w:p>
        </w:tc>
      </w:tr>
      <w:tr>
        <w:trPr>
          <w:cantSplit/>
        </w:trPr>
        <w:tc>
          <w:tcPr>
            <w:tcW w:type="dxa" w:w="20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CU-NN</w:t>
            </w:r>
          </w:p>
        </w:tc>
        <w:tc>
          <w:tcPr>
            <w:tcW w:type="dxa" w:w="7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Caso de uso del sistema</w:t>
            </w:r>
          </w:p>
        </w:tc>
      </w:tr>
      <w:tr>
        <w:trPr>
          <w:cantSplit/>
        </w:trPr>
        <w:tc>
          <w:tcPr>
            <w:tcW w:type="dxa" w:w="20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CU-C01 a CU-C10, CU-S01 a CU-S12</w:t>
            </w:r>
          </w:p>
        </w:tc>
        <w:tc>
          <w:tcPr>
            <w:tcW w:type="dxa" w:w="736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Escenarios por arquetipo de equipo (puesto de trabajo y servidor), de «Casos de uso y operaciones en los equipos de la farmacia»</w:t>
            </w:r>
          </w:p>
        </w:tc>
      </w:tr>
    </w:tbl>
    <w:p>
      <w:pPr>
        <w:spacing w:after="40" w:line="192" w:lineRule="auto"/>
      </w:pPr>
    </w:p>
    <w:p>
      <w:r>
        <w:t xml:space="preserve">La prioridad usa MoSCoW. </w:t>
      </w:r>
      <w:r>
        <w:rPr>
          <w:b/>
        </w:rPr>
        <w:t>M</w:t>
      </w:r>
      <w:r>
        <w:t xml:space="preserve"> (debe), </w:t>
      </w:r>
      <w:r>
        <w:rPr>
          <w:b/>
        </w:rPr>
        <w:t>S</w:t>
      </w:r>
      <w:r>
        <w:t xml:space="preserve"> (debería), </w:t>
      </w:r>
      <w:r>
        <w:rPr>
          <w:b/>
        </w:rPr>
        <w:t>C</w:t>
      </w:r>
      <w:r>
        <w:t xml:space="preserve"> (podría) y </w:t>
      </w:r>
      <w:r>
        <w:rPr>
          <w:b/>
        </w:rPr>
        <w:t>W</w:t>
      </w:r>
      <w:r>
        <w:t xml:space="preserve"> (no en este proyecto).</w:t>
      </w:r>
    </w:p>
    <w:p>
      <w:pPr>
        <w:pStyle w:val="Heading1"/>
      </w:pPr>
      <w:bookmarkStart w:id="1004" w:name="_Toc0004"/>
      <w:r>
        <w:t>2. Actores</w:t>
      </w:r>
      <w:bookmarkEnd w:id="1004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Actores del sistema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862"/>
        <w:gridCol w:w="6543"/>
      </w:tblGrid>
      <w:tr>
        <w:trPr>
          <w:cantSplit/>
          <w:tblHeader/>
        </w:trPr>
        <w:tc>
          <w:tcPr>
            <w:tcW w:type="dxa" w:w="286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654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Rol frente a Kronos</w:t>
            </w:r>
          </w:p>
        </w:tc>
      </w:tr>
      <w:tr>
        <w:trPr>
          <w:cantSplit/>
        </w:trPr>
        <w:tc>
          <w:tcPr>
            <w:tcW w:type="dxa" w:w="28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Encargado del cliente</w:t>
            </w:r>
          </w:p>
        </w:tc>
        <w:tc>
          <w:tcPr>
            <w:tcW w:type="dxa" w:w="654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Persona del inquilino que ve sus tickets y su línea de tiempo en SOAR-CONSOLE. No aprueba medidas ni recibe los avisos de Telegram (D-31)</w:t>
            </w:r>
          </w:p>
        </w:tc>
      </w:tr>
      <w:tr>
        <w:trPr>
          <w:cantSplit/>
        </w:trPr>
        <w:tc>
          <w:tcPr>
            <w:tcW w:type="dxa" w:w="28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Integrante del equipo Kronos</w:t>
            </w:r>
          </w:p>
        </w:tc>
        <w:tc>
          <w:tcPr>
            <w:tcW w:type="dxa" w:w="654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Nicolás, Rodrigo o Patricio. Aprueba o rechaza el nivel 3, revisa y revierte el nivel 2, opera el cortacircuito y envía por correo, a mano, el aviso a la persona afectada (D-31, D-35)</w:t>
            </w:r>
          </w:p>
        </w:tc>
      </w:tr>
      <w:tr>
        <w:trPr>
          <w:cantSplit/>
        </w:trPr>
        <w:tc>
          <w:tcPr>
            <w:tcW w:type="dxa" w:w="28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Persona afectada</w:t>
            </w:r>
          </w:p>
        </w:tc>
        <w:tc>
          <w:tcPr>
            <w:tcW w:type="dxa" w:w="654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Trabajador del cliente cuya cuenta, sesión o equipo resulta afectado por una medida de nivel 2. Recibe el aviso por correo</w:t>
            </w:r>
          </w:p>
        </w:tc>
      </w:tr>
      <w:tr>
        <w:trPr>
          <w:cantSplit/>
        </w:trPr>
        <w:tc>
          <w:tcPr>
            <w:tcW w:type="dxa" w:w="28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Agente (SOAR-COLLECT)</w:t>
            </w:r>
          </w:p>
        </w:tc>
        <w:tc>
          <w:tcPr>
            <w:tcW w:type="dxa" w:w="654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Wazuh Agent con Sysmon (Windows) o auditd (Linux). Envía telemetría y ejecuta las órdenes de Active Response</w:t>
            </w:r>
          </w:p>
        </w:tc>
      </w:tr>
      <w:tr>
        <w:trPr>
          <w:cantSplit/>
        </w:trPr>
        <w:tc>
          <w:tcPr>
            <w:tcW w:type="dxa" w:w="28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Sistema</w:t>
            </w:r>
          </w:p>
        </w:tc>
        <w:tc>
          <w:tcPr>
            <w:tcW w:type="dxa" w:w="654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Procesos automáticos: SOAR-DETECT, SOAR-VALIDATE, el temporizador de plazos y SOAR-NOTIFY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5" w:name="_Toc0005"/>
      <w:r>
        <w:t>3. Requerimientos funcionales</w:t>
      </w:r>
      <w:bookmarkEnd w:id="1005"/>
    </w:p>
    <w:p>
      <w:r>
        <w:t>Cada requerimiento indica el componente responsable. El estado describe lo que existe hoy en el repositorio o en SOAR-CORE-01.</w:t>
      </w:r>
    </w:p>
    <w:p>
      <w:pPr>
        <w:pStyle w:val="Heading2"/>
      </w:pPr>
      <w:bookmarkStart w:id="1006" w:name="_Toc0006"/>
      <w:r>
        <w:t>3.1 Recolección y detección</w:t>
      </w:r>
      <w:bookmarkEnd w:id="1006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Requerimientos de SOAR-COLLECT y SOAR-DETECT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12"/>
        <w:gridCol w:w="5054"/>
        <w:gridCol w:w="772"/>
        <w:gridCol w:w="2667"/>
      </w:tblGrid>
      <w:tr>
        <w:trPr>
          <w:cantSplit/>
          <w:tblHeader/>
        </w:trPr>
        <w:tc>
          <w:tcPr>
            <w:tcW w:type="dxa" w:w="9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05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77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  <w:tc>
          <w:tcPr>
            <w:tcW w:type="dxa" w:w="26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RF-01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Recolectar telemetría del sistema operativo en los dos arquetipos: puesto de trabajo Windows (Sysmon, auditoría de Windows y registro de PowerShell) y servidor Linux (auditd y registros del servicio). Enviarla al manager por el puerto 1514, en conexión saliente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laboratorio en preparación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RF-02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Etiquetar la familia candidata de cada alerta con reglas de sobre propias en SOAR-DETECT. </w:t>
            </w:r>
            <w:r>
              <w:rPr>
                <w:b/>
                <w:color w:val="7A4A00"/>
                <w:sz w:val="19"/>
                <w:highlight w:val="yellow"/>
              </w:rPr>
              <w:t>[POR CONFIRMAR: ubicación y contenido de las 15 reglas de sobre — preguntar a Nicolás]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RF-03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Registrar los agentes desde el servidor, sin publicar el puerto de enrolamiento 1515 (D-17)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 en el PR #7 (abierto)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RF-04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Detectar un agente que deja de reportar (latido) y abrir un ticket por agente caído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7" w:name="_Toc0007"/>
      <w:r>
        <w:t>3.2 Decisión y validación</w:t>
      </w:r>
      <w:bookmarkEnd w:id="1007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Requerimientos de SOAR-VALIDATE y SOAR-CLASSIFY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12"/>
        <w:gridCol w:w="5054"/>
        <w:gridCol w:w="772"/>
        <w:gridCol w:w="2667"/>
      </w:tblGrid>
      <w:tr>
        <w:trPr>
          <w:cantSplit/>
          <w:tblHeader/>
        </w:trPr>
        <w:tc>
          <w:tcPr>
            <w:tcW w:type="dxa" w:w="9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05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77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  <w:tc>
          <w:tcPr>
            <w:tcW w:type="dxa" w:w="26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RF-05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Crear un ticket por cada alerta nueva, con inquilino, referencia de la alerta, título y severidad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tabla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tickets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servicio que la llene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RF-06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Clasificar cada alerta en dos pasos: primero la familia (F1 a F6) y luego un playbook entre los candidatos de esa familia. El modelo sólo responde JSON con un identificador y una confianza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decision/inferencia.py</w:t>
            </w:r>
            <w:r>
              <w:rPr>
                <w:sz w:val="19"/>
              </w:rPr>
              <w:t xml:space="preserve"> (sin conexión a Wazuh ni a la base)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RF-07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Aplicar los seis chequeos en orden; el primero que falla decide el motivo del rechazo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validacion/contrato.py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validacion/chequeos.py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valores del mapa de severidad, de la lista de exclusión y de los contadores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RF-08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Si falla un chequeo o el modelo, no ejecutar nada, dejar el ticket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  <w:r>
              <w:rPr>
                <w:sz w:val="19"/>
              </w:rPr>
              <w:t xml:space="preserve"> con su motivo y avisar a una persona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códigos de motivo en el esquema y en el código;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aviso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RF-09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Escribir la decisión en SOAR-AUDIT antes de ejecutar (restricción R3)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capa de acceso a la base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8" w:name="_Toc0008"/>
      <w:r>
        <w:t>3.3 Ejecución y niveles de autonomía</w:t>
      </w:r>
      <w:bookmarkEnd w:id="1008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Requerimientos de SOAR-EXECUTE y de los niveles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12"/>
        <w:gridCol w:w="5054"/>
        <w:gridCol w:w="772"/>
        <w:gridCol w:w="2667"/>
      </w:tblGrid>
      <w:tr>
        <w:trPr>
          <w:cantSplit/>
          <w:tblHeader/>
        </w:trPr>
        <w:tc>
          <w:tcPr>
            <w:tcW w:type="dxa" w:w="9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05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77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  <w:tc>
          <w:tcPr>
            <w:tcW w:type="dxa" w:w="26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RF-10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Traducir el playbook aprobado a una orden de Active Response, enviada por la API de Wazuh con un usuario de permisos mínimos. Sólo SOAR-EXECUTE dispara acciones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RF-11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Programar la reversión de las medidas de nivel 1 y ejecutarla sola al vencer el plazo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plazos por medida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RF-12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Registrar en SOAR-AUDIT el resultado de cada ejecución y de cada reversión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RF-13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Nivel 2: ejecutar y avisar de inmediato por Telegram al equipo. Abrir un plazo de revisión de 2 días. Al vencer, enviar un recordatorio diario hasta que un integrante revierta o cierre la acción. Nunca revertir solo (D-33)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RF-14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Nivel 3: no ejecutar sin aprobación previa de un integrante del equipo. Plazo de 2 días para aprobar o rechazar (D-32). Registrar quién aprueba. El rechazo exige justificación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RF-15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Nivel 3 sin respuesta al vencer el plazo: la aprobación expira sin ejecutar, el ticket pasa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  <w:r>
              <w:rPr>
                <w:sz w:val="19"/>
              </w:rPr>
              <w:t xml:space="preserve"> con motivo de aprobación vencida y se envía un último aviso. </w:t>
            </w:r>
            <w:r>
              <w:rPr>
                <w:b/>
                <w:color w:val="8A2B0E"/>
                <w:sz w:val="19"/>
              </w:rPr>
              <w:t>«Propuesta»</w:t>
            </w:r>
            <w:r>
              <w:rPr>
                <w:sz w:val="19"/>
              </w:rPr>
              <w:t xml:space="preserve"> D-34. </w:t>
            </w:r>
            <w:r>
              <w:rPr>
                <w:b/>
                <w:color w:val="7A4A00"/>
                <w:sz w:val="19"/>
                <w:highlight w:val="yellow"/>
              </w:rPr>
              <w:t>[POR CONFIRMAR: aceptación de la propuesta D-34 y del nuevo motivo de rechazo — preguntar al equipo]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9" w:name="_Toc0009"/>
      <w:r>
        <w:t>3.4 Notificación y consola</w:t>
      </w:r>
      <w:bookmarkEnd w:id="1009"/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Requerimientos de SOAR-NOTIFY y SOAR-CONSOLE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12"/>
        <w:gridCol w:w="5054"/>
        <w:gridCol w:w="772"/>
        <w:gridCol w:w="2667"/>
      </w:tblGrid>
      <w:tr>
        <w:trPr>
          <w:cantSplit/>
          <w:tblHeader/>
        </w:trPr>
        <w:tc>
          <w:tcPr>
            <w:tcW w:type="dxa" w:w="9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05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77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  <w:tc>
          <w:tcPr>
            <w:tcW w:type="dxa" w:w="26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RF-16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Enviar por Telegram, sólo al equipo, los avisos de nivel 2, los recordatorios y las solicitudes de aprobación de nivel 3 con botones aprobar y rechazar (D-31)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RF-17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Autenticar a cada usuario de SOAR-CONSOLE y mostrarle sólo los datos de su inquilino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RF-18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Mostrar la cola «pendientes de aprobación» del nivel 3, con aprobar y rechazar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RF-19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Mostrar la lista «acciones activas» del nivel 2, con su antigüedad frente al plazo de 2 días y un botón de revertir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RF-20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Mostrar la línea de tiempo de cada ticket a partir de la bitácora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vista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frontend.auditoria</w:t>
            </w:r>
            <w:r>
              <w:rPr>
                <w:sz w:val="19"/>
              </w:rPr>
              <w:t xml:space="preserve">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RF-21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Abrir el cortacircuito de un ámbito y cerrarlo. Sólo una persona puede cerrarlo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tabla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cortacircuito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operación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RF-22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Verificar a pedido la cadena de hash del inquilino y mostrar la primera discontinuidad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fn_verificar_cadena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botón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RF-23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Descargar el instalador del agente propio del inquilino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10" w:name="_Toc0010"/>
      <w:r>
        <w:t>3.5 Persistencia e inquilinos</w:t>
      </w:r>
      <w:bookmarkEnd w:id="1010"/>
    </w:p>
    <w:p>
      <w:pPr>
        <w:pStyle w:val="Caption"/>
        <w:keepNext/>
        <w:spacing w:before="120" w:after="80"/>
      </w:pPr>
      <w:bookmarkStart w:id="5007" w:name="_Tab0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7</w:t>
      </w:r>
      <w:r>
        <w:fldChar w:fldCharType="end"/>
      </w:r>
      <w:r>
        <w:t xml:space="preserve">. </w:t>
      </w:r>
      <w:r>
        <w:t>Requerimientos de SOAR-AUDIT y del alta de inquilinos</w:t>
      </w:r>
      <w:bookmarkEnd w:id="5007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12"/>
        <w:gridCol w:w="5054"/>
        <w:gridCol w:w="772"/>
        <w:gridCol w:w="2667"/>
      </w:tblGrid>
      <w:tr>
        <w:trPr>
          <w:cantSplit/>
          <w:tblHeader/>
        </w:trPr>
        <w:tc>
          <w:tcPr>
            <w:tcW w:type="dxa" w:w="91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05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77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  <w:tc>
          <w:tcPr>
            <w:tcW w:type="dxa" w:w="26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RF-24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Mantener una bitácora de sólo inserción con una cadena de hash por inquilino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desplegada y probada</w:t>
            </w:r>
          </w:p>
        </w:tc>
      </w:tr>
      <w:tr>
        <w:trPr>
          <w:cantSplit/>
        </w:trPr>
        <w:tc>
          <w:tcPr>
            <w:tcW w:type="dxa" w:w="91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RF-25</w:t>
            </w:r>
          </w:p>
        </w:tc>
        <w:tc>
          <w:tcPr>
            <w:tcW w:type="dxa" w:w="50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Abrir automáticamente el cortacircuito cuando un contador de tasa llega a su tope. La prueba comprometida es que 30 alertas en 10 minutos lo activen</w:t>
            </w:r>
          </w:p>
        </w:tc>
        <w:tc>
          <w:tcPr>
            <w:tcW w:type="dxa" w:w="77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  <w:tc>
          <w:tcPr>
            <w:tcW w:type="dxa" w:w="26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chequeo 5 en el código; </w:t>
            </w: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contadores y topes</w:t>
            </w:r>
          </w:p>
        </w:tc>
      </w:tr>
      <w:tr>
        <w:trPr>
          <w:cantSplit/>
        </w:trPr>
        <w:tc>
          <w:tcPr>
            <w:tcW w:type="dxa" w:w="91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RF-26</w:t>
            </w:r>
          </w:p>
        </w:tc>
        <w:tc>
          <w:tcPr>
            <w:tcW w:type="dxa" w:w="50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Dar de alta un inquilino: identificador, grupo propio en Wazuh y token de enrolamiento</w:t>
            </w:r>
          </w:p>
        </w:tc>
        <w:tc>
          <w:tcPr>
            <w:tcW w:type="dxa" w:w="77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  <w:tc>
          <w:tcPr>
            <w:tcW w:type="dxa" w:w="266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1" w:name="_Toc0011"/>
      <w:r>
        <w:t>4. Requerimientos no funcionales</w:t>
      </w:r>
      <w:bookmarkEnd w:id="1011"/>
    </w:p>
    <w:p>
      <w:pPr>
        <w:pStyle w:val="Caption"/>
        <w:keepNext/>
        <w:spacing w:before="120" w:after="80"/>
      </w:pPr>
      <w:bookmarkStart w:id="5008" w:name="_Tab00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8</w:t>
      </w:r>
      <w:r>
        <w:fldChar w:fldCharType="end"/>
      </w:r>
      <w:r>
        <w:t xml:space="preserve">. </w:t>
      </w:r>
      <w:r>
        <w:t>Requerimientos no funcionales</w:t>
      </w:r>
      <w:bookmarkEnd w:id="5008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175"/>
        <w:gridCol w:w="3863"/>
        <w:gridCol w:w="3611"/>
        <w:gridCol w:w="755"/>
      </w:tblGrid>
      <w:tr>
        <w:trPr>
          <w:cantSplit/>
          <w:tblHeader/>
        </w:trPr>
        <w:tc>
          <w:tcPr>
            <w:tcW w:type="dxa" w:w="117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86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361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Criterio de verificación</w:t>
            </w:r>
          </w:p>
        </w:tc>
        <w:tc>
          <w:tcPr>
            <w:tcW w:type="dxa" w:w="75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RNF-01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Latencia: la decisión sobre una alerta (dos pasos y chequeos) termina en 60 segundos o menos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Medición con los modelos candidatos y con todos los servicios corriendo; ver documento 07 (Plan de métricas y medición)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RNF-02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Falla segura: ante modelo caído, demora, respuesta fuera de esquema, baja confianza o playbook fuera del catálogo, no se actúa y el caso pasa a una persona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Pruebas unitarias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decision/inferencia.py</w:t>
            </w:r>
            <w:r>
              <w:rPr>
                <w:sz w:val="19"/>
              </w:rPr>
              <w:t>; prueba ESC-05 con el motor apagado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RNF-03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Aislamiento por inquilino: ningún rol de aplicación ve ni escribe filas de otro inquilino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Prueba «a»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  <w:r>
              <w:rPr>
                <w:sz w:val="19"/>
              </w:rPr>
              <w:t xml:space="preserve">: 0 filas ajenas y error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42501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RNF-04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Auditabilidad: la bitácora es inmutable para todos los roles y su cadena es verificable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Pruebas «c» y «d»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RNF-05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Frontera decisión/ejecución verificable: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</w:t>
            </w:r>
            <w:r>
              <w:rPr>
                <w:sz w:val="19"/>
              </w:rPr>
              <w:t xml:space="preserve"> no depende de la capa de efectos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Check R1 en cada PR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RNF-06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Disponibilidad tras reinicio: Docker y los cinco contenedores vuelven solos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 de reinicio del servidor (pendiente, R-02)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RNF-07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Exposición mínima de red: sólo 1514 y 443 públicos; administración por NetBird; la base sin puertos publicados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Escaneo desde internet y revisión de los compose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RNF-08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secretos en el repositorio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gitleaks sobre todo el historial en cada PR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RNF-09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Reproducibilidad: modelo con pesos congelados,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temperature = 0</w:t>
            </w:r>
            <w:r>
              <w:rPr>
                <w:sz w:val="19"/>
              </w:rPr>
              <w:t>, prompts y catálogo versionados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Revisión de configuración; repetir una decisión pasada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RNF-10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Resistencia a la inyección de instrucciones: un texto de alerta malicioso no produce una ejecución fuera del catálogo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 de 10 casos adversariales (ESC-04) sin ejecución indebida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RNF-11</w:t>
            </w:r>
          </w:p>
        </w:tc>
        <w:tc>
          <w:tcPr>
            <w:tcW w:type="dxa" w:w="386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Recuperabilidad: respaldo diario y restauración probada con la cadena íntegra</w:t>
            </w:r>
          </w:p>
        </w:tc>
        <w:tc>
          <w:tcPr>
            <w:tcW w:type="dxa" w:w="36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Prueba de restauración; ver documento 19 (Política de respaldo y retención)</w:t>
            </w:r>
          </w:p>
        </w:tc>
        <w:tc>
          <w:tcPr>
            <w:tcW w:type="dxa" w:w="75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17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RNF-12</w:t>
            </w:r>
          </w:p>
        </w:tc>
        <w:tc>
          <w:tcPr>
            <w:tcW w:type="dxa" w:w="386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Escalabilidad por diseño: agregar un cliente no exige cambiar el esquema ni el código</w:t>
            </w:r>
          </w:p>
        </w:tc>
        <w:tc>
          <w:tcPr>
            <w:tcW w:type="dxa" w:w="36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Revisión del diseño multiinquilino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tenant_id</w:t>
            </w:r>
            <w:r>
              <w:rPr>
                <w:sz w:val="19"/>
              </w:rPr>
              <w:t xml:space="preserve"> y RLS)</w:t>
            </w:r>
          </w:p>
        </w:tc>
        <w:tc>
          <w:tcPr>
            <w:tcW w:type="dxa" w:w="75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2" w:name="_Toc0012"/>
      <w:r>
        <w:t>5. Requerimientos legales</w:t>
      </w:r>
      <w:bookmarkEnd w:id="1012"/>
    </w:p>
    <w:p>
      <w:r>
        <w:t xml:space="preserve">Los contenidos legales de esta sección son un </w:t>
      </w:r>
      <w:r>
        <w:rPr>
          <w:b/>
        </w:rPr>
        <w:t>borrador técnico</w:t>
      </w:r>
      <w:r>
        <w:t>. No reemplazan una revisión del profesor guía ni una asesoría legal.</w:t>
      </w:r>
    </w:p>
    <w:p>
      <w:pPr>
        <w:pStyle w:val="Caption"/>
        <w:keepNext/>
        <w:spacing w:before="120" w:after="80"/>
      </w:pPr>
      <w:bookmarkStart w:id="5009" w:name="_Tab00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9</w:t>
      </w:r>
      <w:r>
        <w:fldChar w:fldCharType="end"/>
      </w:r>
      <w:r>
        <w:t xml:space="preserve">. </w:t>
      </w:r>
      <w:r>
        <w:t>Requerimientos legales y normativos</w:t>
      </w:r>
      <w:bookmarkEnd w:id="5009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766"/>
        <w:gridCol w:w="3901"/>
        <w:gridCol w:w="1811"/>
        <w:gridCol w:w="2926"/>
      </w:tblGrid>
      <w:tr>
        <w:trPr>
          <w:cantSplit/>
          <w:tblHeader/>
        </w:trPr>
        <w:tc>
          <w:tcPr>
            <w:tcW w:type="dxa" w:w="76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90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181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Fundamento</w:t>
            </w:r>
          </w:p>
        </w:tc>
        <w:tc>
          <w:tcPr>
            <w:tcW w:type="dxa" w:w="292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76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RL-01</w:t>
            </w:r>
          </w:p>
        </w:tc>
        <w:tc>
          <w:tcPr>
            <w:tcW w:type="dxa" w:w="39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Contar con autorización escrita de instalación y monitoreo antes de instalar en un cliente</w:t>
            </w:r>
          </w:p>
        </w:tc>
        <w:tc>
          <w:tcPr>
            <w:tcW w:type="dxa" w:w="18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Requisito previo del proyecto</w:t>
            </w:r>
          </w:p>
        </w:tc>
        <w:tc>
          <w:tcPr>
            <w:tcW w:type="dxa" w:w="29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documento firmado «Autorización de Instalación y Monitoreo»</w:t>
            </w:r>
          </w:p>
        </w:tc>
      </w:tr>
      <w:tr>
        <w:trPr>
          <w:cantSplit/>
        </w:trPr>
        <w:tc>
          <w:tcPr>
            <w:tcW w:type="dxa" w:w="76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RL-02</w:t>
            </w:r>
          </w:p>
        </w:tc>
        <w:tc>
          <w:tcPr>
            <w:tcW w:type="dxa" w:w="39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Avisar a los trabajadores que sus equipos son monitoreados</w:t>
            </w:r>
          </w:p>
        </w:tc>
        <w:tc>
          <w:tcPr>
            <w:tcW w:type="dxa" w:w="18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Requisito previo del proyecto</w:t>
            </w:r>
          </w:p>
        </w:tc>
        <w:tc>
          <w:tcPr>
            <w:tcW w:type="dxa" w:w="29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documento firmado «Aviso de Monitoreo a Trabajadores»</w:t>
            </w:r>
          </w:p>
        </w:tc>
      </w:tr>
      <w:tr>
        <w:trPr>
          <w:cantSplit/>
        </w:trPr>
        <w:tc>
          <w:tcPr>
            <w:tcW w:type="dxa" w:w="76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RL-03</w:t>
            </w:r>
          </w:p>
        </w:tc>
        <w:tc>
          <w:tcPr>
            <w:tcW w:type="dxa" w:w="39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Contar con la aceptación explícita de las acciones de contención</w:t>
            </w:r>
          </w:p>
        </w:tc>
        <w:tc>
          <w:tcPr>
            <w:tcW w:type="dxa" w:w="18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Requisito previo del proyecto</w:t>
            </w:r>
          </w:p>
        </w:tc>
        <w:tc>
          <w:tcPr>
            <w:tcW w:type="dxa" w:w="29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documento firmado «Aceptación de Acciones de Contención»</w:t>
            </w:r>
          </w:p>
        </w:tc>
      </w:tr>
      <w:tr>
        <w:trPr>
          <w:cantSplit/>
        </w:trPr>
        <w:tc>
          <w:tcPr>
            <w:tcW w:type="dxa" w:w="76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RL-04</w:t>
            </w:r>
          </w:p>
        </w:tc>
        <w:tc>
          <w:tcPr>
            <w:tcW w:type="dxa" w:w="39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Minimizar los datos: no leer recetas, fichas, datos médicos ni el contenido de documentos, correos o bases de datos. Sólo comportamiento del sistema operativo</w:t>
            </w:r>
          </w:p>
        </w:tc>
        <w:tc>
          <w:tcPr>
            <w:tcW w:type="dxa" w:w="18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Ley 19.628 modificada por la Ley 21.719</w:t>
            </w:r>
          </w:p>
        </w:tc>
        <w:tc>
          <w:tcPr>
            <w:tcW w:type="dxa" w:w="29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por diseño (límite 2 del alcance)</w:t>
            </w:r>
          </w:p>
        </w:tc>
      </w:tr>
      <w:tr>
        <w:trPr>
          <w:cantSplit/>
        </w:trPr>
        <w:tc>
          <w:tcPr>
            <w:tcW w:type="dxa" w:w="76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RL-05</w:t>
            </w:r>
          </w:p>
        </w:tc>
        <w:tc>
          <w:tcPr>
            <w:tcW w:type="dxa" w:w="39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Proporcionalidad: la intensidad de la medida crece con el nivel de autonomía, y el nivel lo fija el catálogo</w:t>
            </w:r>
          </w:p>
        </w:tc>
        <w:tc>
          <w:tcPr>
            <w:tcW w:type="dxa" w:w="18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Ley 21.719, principio de proporcionalidad</w:t>
            </w:r>
          </w:p>
        </w:tc>
        <w:tc>
          <w:tcPr>
            <w:tcW w:type="dxa" w:w="29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por diseño</w:t>
            </w:r>
          </w:p>
        </w:tc>
      </w:tr>
      <w:tr>
        <w:trPr>
          <w:cantSplit/>
        </w:trPr>
        <w:tc>
          <w:tcPr>
            <w:tcW w:type="dxa" w:w="76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RL-06</w:t>
            </w:r>
          </w:p>
        </w:tc>
        <w:tc>
          <w:tcPr>
            <w:tcW w:type="dxa" w:w="39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Responsabilidad proactiva: registrar la decisión antes de actuar y conservar la bitácora verificable</w:t>
            </w:r>
          </w:p>
        </w:tc>
        <w:tc>
          <w:tcPr>
            <w:tcW w:type="dxa" w:w="18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Ley 21.719</w:t>
            </w:r>
          </w:p>
        </w:tc>
        <w:tc>
          <w:tcPr>
            <w:tcW w:type="dxa" w:w="29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esquema;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servicio</w:t>
            </w:r>
          </w:p>
        </w:tc>
      </w:tr>
      <w:tr>
        <w:trPr>
          <w:cantSplit/>
        </w:trPr>
        <w:tc>
          <w:tcPr>
            <w:tcW w:type="dxa" w:w="76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RL-07</w:t>
            </w:r>
          </w:p>
        </w:tc>
        <w:tc>
          <w:tcPr>
            <w:tcW w:type="dxa" w:w="39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Avisar a la persona afectada por una medida de nivel 2 por un canal distinto del comprometido: correo electrónico, enviado a mano por un integrante del equipo (D-35). Kronos no lo envía solo</w:t>
            </w:r>
          </w:p>
        </w:tc>
        <w:tc>
          <w:tcPr>
            <w:tcW w:type="dxa" w:w="18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Ley 21.719</w:t>
            </w:r>
          </w:p>
        </w:tc>
        <w:tc>
          <w:tcPr>
            <w:tcW w:type="dxa" w:w="29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; </w:t>
            </w:r>
            <w:r>
              <w:rPr>
                <w:b/>
                <w:color w:val="004D40"/>
                <w:sz w:val="19"/>
                <w:highlight w:val="cyan"/>
              </w:rPr>
              <w:t>[PENDIENTE: posterior a la instalación en la farmacia — correos de contacto para el aviso a las personas afectadas]</w:t>
            </w:r>
          </w:p>
        </w:tc>
      </w:tr>
      <w:tr>
        <w:trPr>
          <w:cantSplit/>
        </w:trPr>
        <w:tc>
          <w:tcPr>
            <w:tcW w:type="dxa" w:w="76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RL-08</w:t>
            </w:r>
          </w:p>
        </w:tc>
        <w:tc>
          <w:tcPr>
            <w:tcW w:type="dxa" w:w="39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Conservar alertas y bitácora durante 2 años y eliminar al vencer. Es una decisión interna (D-27), fundada en la Ley 21.663 y proporcional según la Ley 21.719. La Ley 21.663 no fija ese plazo</w:t>
            </w:r>
          </w:p>
        </w:tc>
        <w:tc>
          <w:tcPr>
            <w:tcW w:type="dxa" w:w="181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Decisión interna</w:t>
            </w:r>
          </w:p>
        </w:tc>
        <w:tc>
          <w:tcPr>
            <w:tcW w:type="dxa" w:w="29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ver documento 18 (Cierre de brechas BR-01 y BR-05, pendiente)</w:t>
            </w:r>
          </w:p>
        </w:tc>
      </w:tr>
      <w:tr>
        <w:trPr>
          <w:cantSplit/>
        </w:trPr>
        <w:tc>
          <w:tcPr>
            <w:tcW w:type="dxa" w:w="76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RL-09</w:t>
            </w:r>
          </w:p>
        </w:tc>
        <w:tc>
          <w:tcPr>
            <w:tcW w:type="dxa" w:w="39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Formalizar el tratamiento de datos con el proveedor del servidor, ubicado en Francia (transferencia internacional)</w:t>
            </w:r>
          </w:p>
        </w:tc>
        <w:tc>
          <w:tcPr>
            <w:tcW w:type="dxa" w:w="181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Ley 21.719</w:t>
            </w:r>
          </w:p>
        </w:tc>
        <w:tc>
          <w:tcPr>
            <w:tcW w:type="dxa" w:w="292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BR-05; ver documento 18 (pendiente)</w:t>
            </w:r>
          </w:p>
        </w:tc>
      </w:tr>
    </w:tbl>
    <w:p>
      <w:pPr>
        <w:spacing w:after="40" w:line="192" w:lineRule="auto"/>
      </w:pPr>
    </w:p>
    <w:p>
      <w:r>
        <w:t>La Ley 21.663 obliga a los operadores de importancia vital a registrar las acciones de su sistema de gestión de seguridad. El documento no afirma que la farmacia esté obligada por esa ley. El artículo 4 incluye la salud entre los servicios esenciales, pero no menciona a las farmacias.</w:t>
      </w:r>
    </w:p>
    <w:p>
      <w:pPr>
        <w:pStyle w:val="Heading1"/>
      </w:pPr>
      <w:bookmarkStart w:id="1013" w:name="_Toc0013"/>
      <w:r>
        <w:t>6. Restricciones de diseño</w:t>
      </w:r>
      <w:bookmarkEnd w:id="1013"/>
    </w:p>
    <w:p>
      <w:pPr>
        <w:pStyle w:val="Caption"/>
        <w:keepNext/>
        <w:spacing w:before="120" w:after="80"/>
      </w:pPr>
      <w:bookmarkStart w:id="5010" w:name="_Tab01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10</w:t>
      </w:r>
      <w:r>
        <w:fldChar w:fldCharType="end"/>
      </w:r>
      <w:r>
        <w:t xml:space="preserve">. </w:t>
      </w:r>
      <w:r>
        <w:t>Restricciones R1 a R4</w:t>
      </w:r>
      <w:bookmarkEnd w:id="5010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285"/>
        <w:gridCol w:w="3789"/>
        <w:gridCol w:w="3112"/>
        <w:gridCol w:w="1218"/>
      </w:tblGrid>
      <w:tr>
        <w:trPr>
          <w:cantSplit/>
          <w:tblHeader/>
        </w:trPr>
        <w:tc>
          <w:tcPr>
            <w:tcW w:type="dxa" w:w="128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Restricción</w:t>
            </w:r>
          </w:p>
        </w:tc>
        <w:tc>
          <w:tcPr>
            <w:tcW w:type="dxa" w:w="378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dice</w:t>
            </w:r>
          </w:p>
        </w:tc>
        <w:tc>
          <w:tcPr>
            <w:tcW w:type="dxa" w:w="311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 se verifica</w:t>
            </w:r>
          </w:p>
        </w:tc>
        <w:tc>
          <w:tcPr>
            <w:tcW w:type="dxa" w:w="121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2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R1</w:t>
            </w:r>
          </w:p>
        </w:tc>
        <w:tc>
          <w:tcPr>
            <w:tcW w:type="dxa" w:w="378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El código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</w:t>
            </w:r>
            <w:r>
              <w:rPr>
                <w:sz w:val="19"/>
              </w:rPr>
              <w:t xml:space="preserve"> no puede importar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ejecucion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persistencia</w:t>
            </w:r>
            <w:r>
              <w:rPr>
                <w:sz w:val="19"/>
              </w:rPr>
              <w:t xml:space="preserve"> ni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conectores</w:t>
            </w:r>
          </w:p>
        </w:tc>
        <w:tc>
          <w:tcPr>
            <w:tcW w:type="dxa" w:w="31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Check «R1» del CI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tools/check_r1.py</w:t>
            </w:r>
            <w:r>
              <w:rPr>
                <w:sz w:val="19"/>
              </w:rPr>
              <w:t>, que analiza importaciones directas, relativas y dinámicas</w:t>
            </w:r>
          </w:p>
        </w:tc>
        <w:tc>
          <w:tcPr>
            <w:tcW w:type="dxa" w:w="121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2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R2</w:t>
            </w:r>
          </w:p>
        </w:tc>
        <w:tc>
          <w:tcPr>
            <w:tcW w:type="dxa" w:w="378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catálogo no se amplía en caliente y el modelo no aprende por su cuenta: ampliar el catálogo es publicar una versión nueva</w:t>
            </w:r>
          </w:p>
        </w:tc>
        <w:tc>
          <w:tcPr>
            <w:tcW w:type="dxa" w:w="31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Por diseño;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validacion/catalogo.py</w:t>
            </w:r>
            <w:r>
              <w:rPr>
                <w:sz w:val="19"/>
              </w:rPr>
              <w:t xml:space="preserve"> rechaza el archivo entero si rompe sus reglas</w:t>
            </w:r>
          </w:p>
        </w:tc>
        <w:tc>
          <w:tcPr>
            <w:tcW w:type="dxa" w:w="121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en el código</w:t>
            </w:r>
          </w:p>
        </w:tc>
      </w:tr>
      <w:tr>
        <w:trPr>
          <w:cantSplit/>
        </w:trPr>
        <w:tc>
          <w:tcPr>
            <w:tcW w:type="dxa" w:w="12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R3</w:t>
            </w:r>
          </w:p>
        </w:tc>
        <w:tc>
          <w:tcPr>
            <w:tcW w:type="dxa" w:w="378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decisión se registra en la bitácora antes de ejecutar; el camino crítico es código determinista</w:t>
            </w:r>
          </w:p>
        </w:tc>
        <w:tc>
          <w:tcPr>
            <w:tcW w:type="dxa" w:w="31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Orden de operaciones en VALIDATE y EXECUTE</w:t>
            </w:r>
          </w:p>
        </w:tc>
        <w:tc>
          <w:tcPr>
            <w:tcW w:type="dxa" w:w="121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servicio</w:t>
            </w:r>
          </w:p>
        </w:tc>
      </w:tr>
      <w:tr>
        <w:trPr>
          <w:cantSplit/>
        </w:trPr>
        <w:tc>
          <w:tcPr>
            <w:tcW w:type="dxa" w:w="12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R4</w:t>
            </w:r>
          </w:p>
        </w:tc>
        <w:tc>
          <w:tcPr>
            <w:tcW w:type="dxa" w:w="378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No aparece definida en las fuentes revisadas. </w:t>
            </w:r>
            <w:r>
              <w:rPr>
                <w:b/>
                <w:color w:val="7A4A00"/>
                <w:sz w:val="19"/>
                <w:highlight w:val="yellow"/>
              </w:rPr>
              <w:t>[POR CONFIRMAR: qué define la restricción R4 — preguntar al equipo]</w:t>
            </w:r>
          </w:p>
        </w:tc>
        <w:tc>
          <w:tcPr>
            <w:tcW w:type="dxa" w:w="31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121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4" w:name="_Toc0014"/>
      <w:r>
        <w:t>7. Casos de uso del sistema</w:t>
      </w:r>
      <w:bookmarkEnd w:id="1014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4225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sos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22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Casos de uso del sistema y sus actores</w:t>
      </w:r>
      <w:bookmarkEnd w:id="3001"/>
    </w:p>
    <w:p>
      <w:pPr>
        <w:pStyle w:val="Caption"/>
        <w:keepNext/>
        <w:spacing w:before="120" w:after="80"/>
      </w:pPr>
      <w:bookmarkStart w:id="5011" w:name="_Tab01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11</w:t>
      </w:r>
      <w:r>
        <w:fldChar w:fldCharType="end"/>
      </w:r>
      <w:r>
        <w:t xml:space="preserve">. </w:t>
      </w:r>
      <w:r>
        <w:t>Casos de uso del sistema</w:t>
      </w:r>
      <w:bookmarkEnd w:id="501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806"/>
        <w:gridCol w:w="2687"/>
        <w:gridCol w:w="4568"/>
        <w:gridCol w:w="1343"/>
      </w:tblGrid>
      <w:tr>
        <w:trPr>
          <w:cantSplit/>
          <w:tblHeader/>
        </w:trPr>
        <w:tc>
          <w:tcPr>
            <w:tcW w:type="dxa" w:w="80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CU</w:t>
            </w:r>
          </w:p>
        </w:tc>
        <w:tc>
          <w:tcPr>
            <w:tcW w:type="dxa" w:w="268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45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Flujo principal</w:t>
            </w:r>
          </w:p>
        </w:tc>
        <w:tc>
          <w:tcPr>
            <w:tcW w:type="dxa" w:w="134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RF</w:t>
            </w:r>
          </w:p>
        </w:tc>
      </w:tr>
      <w:tr>
        <w:trPr>
          <w:cantSplit/>
        </w:trPr>
        <w:tc>
          <w:tcPr>
            <w:tcW w:type="dxa" w:w="8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CU-01</w:t>
            </w:r>
          </w:p>
        </w:tc>
        <w:tc>
          <w:tcPr>
            <w:tcW w:type="dxa" w:w="268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Resolver una alerta en nivel 1 con reversión</w:t>
            </w:r>
          </w:p>
        </w:tc>
        <w:tc>
          <w:tcPr>
            <w:tcW w:type="dxa" w:w="4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Llega la alerta, se crea el ticket, se clasifica, pasan los seis chequeos, se registra la decisión, se ejecuta la medida y el temporizador la revierte al vencer</w:t>
            </w:r>
          </w:p>
        </w:tc>
        <w:tc>
          <w:tcPr>
            <w:tcW w:type="dxa" w:w="134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RF-05 a RF-12</w:t>
            </w:r>
          </w:p>
        </w:tc>
      </w:tr>
      <w:tr>
        <w:trPr>
          <w:cantSplit/>
        </w:trPr>
        <w:tc>
          <w:tcPr>
            <w:tcW w:type="dxa" w:w="8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CU-02</w:t>
            </w:r>
          </w:p>
        </w:tc>
        <w:tc>
          <w:tcPr>
            <w:tcW w:type="dxa" w:w="268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Aprobar o rechazar una medida de nivel 3</w:t>
            </w:r>
          </w:p>
        </w:tc>
        <w:tc>
          <w:tcPr>
            <w:tcW w:type="dxa" w:w="4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sistema pide aprobación por Telegram y la consola; un integrante aprueba (se ejecuta) o rechaza con justificación (no se ejecuta). Queda registrado quién decidió</w:t>
            </w:r>
          </w:p>
        </w:tc>
        <w:tc>
          <w:tcPr>
            <w:tcW w:type="dxa" w:w="134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RF-14, RF-16, RF-18</w:t>
            </w:r>
          </w:p>
        </w:tc>
      </w:tr>
      <w:tr>
        <w:trPr>
          <w:cantSplit/>
        </w:trPr>
        <w:tc>
          <w:tcPr>
            <w:tcW w:type="dxa" w:w="8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CU-03</w:t>
            </w:r>
          </w:p>
        </w:tc>
        <w:tc>
          <w:tcPr>
            <w:tcW w:type="dxa" w:w="268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Vencer la aprobación de nivel 3</w:t>
            </w:r>
          </w:p>
        </w:tc>
        <w:tc>
          <w:tcPr>
            <w:tcW w:type="dxa" w:w="4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Pasan 2 días sin respuesta; la aprobación expira sin ejecutar, el ticket pasa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  <w:r>
              <w:rPr>
                <w:sz w:val="19"/>
              </w:rPr>
              <w:t xml:space="preserve"> y se envía un último aviso. </w:t>
            </w:r>
            <w:r>
              <w:rPr>
                <w:b/>
                <w:color w:val="8A2B0E"/>
                <w:sz w:val="19"/>
              </w:rPr>
              <w:t>«Propuesta»</w:t>
            </w:r>
            <w:r>
              <w:rPr>
                <w:sz w:val="19"/>
              </w:rPr>
              <w:t xml:space="preserve"> D-34</w:t>
            </w:r>
          </w:p>
        </w:tc>
        <w:tc>
          <w:tcPr>
            <w:tcW w:type="dxa" w:w="134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RF-15</w:t>
            </w:r>
          </w:p>
        </w:tc>
      </w:tr>
      <w:tr>
        <w:trPr>
          <w:cantSplit/>
        </w:trPr>
        <w:tc>
          <w:tcPr>
            <w:tcW w:type="dxa" w:w="8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CU-04</w:t>
            </w:r>
          </w:p>
        </w:tc>
        <w:tc>
          <w:tcPr>
            <w:tcW w:type="dxa" w:w="268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Revisar y revertir una acción de nivel 2</w:t>
            </w:r>
          </w:p>
        </w:tc>
        <w:tc>
          <w:tcPr>
            <w:tcW w:type="dxa" w:w="4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ejecuta la medida y se avisa al equipo; un integrante avisa por correo a la persona afectada; si en 2 días nadie la revisa, llega un recordatorio diario; un integrante la revierte desde la consola</w:t>
            </w:r>
          </w:p>
        </w:tc>
        <w:tc>
          <w:tcPr>
            <w:tcW w:type="dxa" w:w="134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RF-13, RF-16, RF-19, RL-07</w:t>
            </w:r>
          </w:p>
        </w:tc>
      </w:tr>
      <w:tr>
        <w:trPr>
          <w:cantSplit/>
        </w:trPr>
        <w:tc>
          <w:tcPr>
            <w:tcW w:type="dxa" w:w="8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CU-05</w:t>
            </w:r>
          </w:p>
        </w:tc>
        <w:tc>
          <w:tcPr>
            <w:tcW w:type="dxa" w:w="268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Rechazar por chequeo</w:t>
            </w:r>
          </w:p>
        </w:tc>
        <w:tc>
          <w:tcPr>
            <w:tcW w:type="dxa" w:w="4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Falla un chequeo o el modelo; no se ejecuta nada; el ticket queda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  <w:r>
              <w:rPr>
                <w:sz w:val="19"/>
              </w:rPr>
              <w:t xml:space="preserve"> con su motivo</w:t>
            </w:r>
          </w:p>
        </w:tc>
        <w:tc>
          <w:tcPr>
            <w:tcW w:type="dxa" w:w="134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RF-07, RF-08</w:t>
            </w:r>
          </w:p>
        </w:tc>
      </w:tr>
      <w:tr>
        <w:trPr>
          <w:cantSplit/>
        </w:trPr>
        <w:tc>
          <w:tcPr>
            <w:tcW w:type="dxa" w:w="8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CU-06</w:t>
            </w:r>
          </w:p>
        </w:tc>
        <w:tc>
          <w:tcPr>
            <w:tcW w:type="dxa" w:w="268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Operar el cortacircuito</w:t>
            </w:r>
          </w:p>
        </w:tc>
        <w:tc>
          <w:tcPr>
            <w:tcW w:type="dxa" w:w="4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contador llega a su tope o un integrante abre el cortacircuito; mientras está abierto no hay acciones automáticas; sólo un integrante lo cierra, con motivo</w:t>
            </w:r>
          </w:p>
        </w:tc>
        <w:tc>
          <w:tcPr>
            <w:tcW w:type="dxa" w:w="134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RF-21, RF-25</w:t>
            </w:r>
          </w:p>
        </w:tc>
      </w:tr>
      <w:tr>
        <w:trPr>
          <w:cantSplit/>
        </w:trPr>
        <w:tc>
          <w:tcPr>
            <w:tcW w:type="dxa" w:w="8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CU-07</w:t>
            </w:r>
          </w:p>
        </w:tc>
        <w:tc>
          <w:tcPr>
            <w:tcW w:type="dxa" w:w="268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Verificar la cadena de la bitácora</w:t>
            </w:r>
          </w:p>
        </w:tc>
        <w:tc>
          <w:tcPr>
            <w:tcW w:type="dxa" w:w="4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usuario pide la verificación; el sistema recorre la cadena del inquilino y devuelve la primera discontinuidad o «íntegra»</w:t>
            </w:r>
          </w:p>
        </w:tc>
        <w:tc>
          <w:tcPr>
            <w:tcW w:type="dxa" w:w="134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RF-22, RF-24</w:t>
            </w:r>
          </w:p>
        </w:tc>
      </w:tr>
      <w:tr>
        <w:trPr>
          <w:cantSplit/>
        </w:trPr>
        <w:tc>
          <w:tcPr>
            <w:tcW w:type="dxa" w:w="8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CU-08</w:t>
            </w:r>
          </w:p>
        </w:tc>
        <w:tc>
          <w:tcPr>
            <w:tcW w:type="dxa" w:w="268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Dar de alta un inquilino</w:t>
            </w:r>
          </w:p>
        </w:tc>
        <w:tc>
          <w:tcPr>
            <w:tcW w:type="dxa" w:w="4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integrante crea el inquilino, su grupo en Wazuh y su token de enrolamiento; el encargado descarga el instalador</w:t>
            </w:r>
          </w:p>
        </w:tc>
        <w:tc>
          <w:tcPr>
            <w:tcW w:type="dxa" w:w="134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RF-23, RF-26</w:t>
            </w:r>
          </w:p>
        </w:tc>
      </w:tr>
    </w:tbl>
    <w:p>
      <w:pPr>
        <w:spacing w:after="40" w:line="192" w:lineRule="auto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31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atamiento_nive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2" w:name="_Fig00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Tratamiento de una decisión según su nivel de autonomía</w:t>
      </w:r>
      <w:bookmarkEnd w:id="3002"/>
    </w:p>
    <w:p>
      <w:pPr>
        <w:pStyle w:val="Heading2"/>
      </w:pPr>
      <w:bookmarkStart w:id="1015" w:name="_Toc0015"/>
      <w:r>
        <w:t>7.1 Escenarios por arquetipo de equipo</w:t>
      </w:r>
      <w:bookmarkEnd w:id="1015"/>
    </w:p>
    <w:p>
      <w:r>
        <w:t xml:space="preserve">Los escenarios CU-C01 a CU-C10 (puesto de trabajo) y CU-S01 a CU-S12 (servidor) describen qué se instala y qué se observa en cada tipo de equipo. Aquí se citan como escenarios de los dos arquetipos, sin datos de la farmacia. </w:t>
      </w:r>
      <w:r>
        <w:rPr>
          <w:b/>
          <w:color w:val="7A4A00"/>
          <w:highlight w:val="yellow"/>
        </w:rPr>
        <w:t>[POR CONFIRMAR: nombre de cada escenario CU-C01 a CU-C10 y CU-S01 a CU-S12 desde «Casos de uso y operaciones en los equipos de la farmacia» — preguntar a Nicolás]</w:t>
      </w:r>
    </w:p>
    <w:p>
      <w:r>
        <w:t>Las pruebas controladas por familia, como cinco intentos de inicio de sesión con un usuario inexistente para F1, se detallan en el documento 16 (Casos de prueba y plan de aceptación en el laboratorio, pendiente).</w:t>
      </w:r>
    </w:p>
    <w:p>
      <w:pPr>
        <w:pStyle w:val="Heading1"/>
      </w:pPr>
      <w:bookmarkStart w:id="1016" w:name="_Toc0016"/>
      <w:r>
        <w:t>8. Estados</w:t>
      </w:r>
      <w:bookmarkEnd w:id="1016"/>
    </w:p>
    <w:p>
      <w:pPr>
        <w:pStyle w:val="Heading2"/>
      </w:pPr>
      <w:bookmarkStart w:id="1017" w:name="_Toc0017"/>
      <w:r>
        <w:t>8.1 Estados del ticket</w:t>
      </w:r>
      <w:bookmarkEnd w:id="1017"/>
    </w:p>
    <w:p>
      <w:r>
        <w:t xml:space="preserve">El esquema de SOAR-AUDIT admite seis estados en </w:t>
      </w:r>
      <w:r>
        <w:rPr>
          <w:rFonts w:ascii="Consolas" w:hAnsi="Consolas"/>
          <w:sz w:val="19"/>
          <w:shd w:val="clear" w:color="auto" w:fill="F2F2F2"/>
        </w:rPr>
        <w:t>tickets.execution_status</w:t>
      </w:r>
      <w:r>
        <w:t xml:space="preserve">: </w:t>
      </w:r>
      <w:r>
        <w:rPr>
          <w:rFonts w:ascii="Consolas" w:hAnsi="Consolas"/>
          <w:sz w:val="19"/>
          <w:shd w:val="clear" w:color="auto" w:fill="F2F2F2"/>
        </w:rPr>
        <w:t>PENDING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EXECUTING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SUCCESS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FAILED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REJECTED</w:t>
      </w:r>
      <w:r>
        <w:t xml:space="preserve"> y </w:t>
      </w:r>
      <w:r>
        <w:rPr>
          <w:rFonts w:ascii="Consolas" w:hAnsi="Consolas"/>
          <w:sz w:val="19"/>
          <w:shd w:val="clear" w:color="auto" w:fill="F2F2F2"/>
        </w:rPr>
        <w:t>MANUAL_TRIAGE</w:t>
      </w:r>
      <w:r>
        <w:t xml:space="preserve"> </w:t>
      </w:r>
      <w:r>
        <w:rPr>
          <w:rFonts w:ascii="Segoe UI Emoji" w:hAnsi="Segoe UI Emoji"/>
        </w:rPr>
        <w:t>✅</w:t>
      </w:r>
      <w:r>
        <w:t>. El diagrama muestra las transiciones previstas.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35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stados_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5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3" w:name="_Fig00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Estados del ticket</w:t>
      </w:r>
      <w:bookmarkEnd w:id="3003"/>
    </w:p>
    <w:p>
      <w:pPr>
        <w:pStyle w:val="Nota"/>
      </w:pPr>
      <w:r>
        <w:rPr>
          <w:b/>
          <w:sz w:val="20"/>
        </w:rPr>
        <w:t>Vacíos del modelo de estados.</w:t>
      </w:r>
      <w:r>
        <w:rPr>
          <w:sz w:val="20"/>
        </w:rPr>
        <w:t xml:space="preserve"> El esquema no tiene un estado propio para «esperando aprobación de nivel 3» ni para «revertido». Tampoco define si un ticket </w:t>
      </w:r>
      <w:r>
        <w:rPr>
          <w:rFonts w:ascii="Consolas" w:hAnsi="Consolas"/>
          <w:sz w:val="17"/>
          <w:shd w:val="clear" w:color="auto" w:fill="F2F2F2"/>
        </w:rPr>
        <w:t>FAILED</w:t>
      </w:r>
      <w:r>
        <w:rPr>
          <w:sz w:val="20"/>
        </w:rPr>
        <w:t xml:space="preserve"> vuelve a revisión. </w:t>
      </w:r>
      <w:r>
        <w:rPr>
          <w:b/>
          <w:color w:val="7A4A00"/>
          <w:sz w:val="20"/>
          <w:highlight w:val="yellow"/>
        </w:rPr>
        <w:t>[POR CONFIRMAR: estado del ticket mientras espera la aprobación de nivel 3, uso de REJECTED y registro de la reversión — preguntar a Rodrigo]</w:t>
      </w:r>
    </w:p>
    <w:p>
      <w:pPr>
        <w:pStyle w:val="Caption"/>
        <w:keepNext/>
        <w:spacing w:before="120" w:after="80"/>
      </w:pPr>
      <w:bookmarkStart w:id="5012" w:name="_Tab01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12</w:t>
      </w:r>
      <w:r>
        <w:fldChar w:fldCharType="end"/>
      </w:r>
      <w:r>
        <w:t xml:space="preserve">. </w:t>
      </w:r>
      <w:r>
        <w:t>Motivos de rechazo existentes en el esquema</w:t>
      </w:r>
      <w:bookmarkEnd w:id="501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645"/>
        <w:gridCol w:w="2645"/>
        <w:gridCol w:w="4115"/>
      </w:tblGrid>
      <w:tr>
        <w:trPr>
          <w:cantSplit/>
          <w:tblHeader/>
        </w:trPr>
        <w:tc>
          <w:tcPr>
            <w:tcW w:type="dxa" w:w="264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Motivo (</w:t>
            </w:r>
            <w:r>
              <w:rPr>
                <w:rFonts w:ascii="Consolas" w:hAnsi="Consolas"/>
                <w:b/>
                <w:sz w:val="16"/>
                <w:shd w:val="clear" w:color="auto" w:fill="F2F2F2"/>
              </w:rPr>
              <w:t>rechazo_motivo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264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41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Chequeo o causa</w:t>
            </w:r>
          </w:p>
        </w:tc>
      </w:tr>
      <w:tr>
        <w:trPr>
          <w:cantSplit/>
        </w:trPr>
        <w:tc>
          <w:tcPr>
            <w:tcW w:type="dxa" w:w="264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ESQUEMA_INVALIDO</w:t>
            </w:r>
          </w:p>
        </w:tc>
        <w:tc>
          <w:tcPr>
            <w:tcW w:type="dxa" w:w="26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Contrato JSON</w:t>
            </w:r>
          </w:p>
        </w:tc>
        <w:tc>
          <w:tcPr>
            <w:tcW w:type="dxa" w:w="41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1. La respuesta no cumple el esquema</w:t>
            </w:r>
          </w:p>
        </w:tc>
      </w:tr>
      <w:tr>
        <w:trPr>
          <w:cantSplit/>
        </w:trPr>
        <w:tc>
          <w:tcPr>
            <w:tcW w:type="dxa" w:w="26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CONFIANZA_BAJA</w:t>
            </w:r>
          </w:p>
        </w:tc>
        <w:tc>
          <w:tcPr>
            <w:tcW w:type="dxa" w:w="26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41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2. Confianza menor que 0,70</w:t>
            </w:r>
          </w:p>
        </w:tc>
      </w:tr>
      <w:tr>
        <w:trPr>
          <w:cantSplit/>
        </w:trPr>
        <w:tc>
          <w:tcPr>
            <w:tcW w:type="dxa" w:w="264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PLAYBOOK_FUERA_DE_CATALOGO</w:t>
            </w:r>
          </w:p>
        </w:tc>
        <w:tc>
          <w:tcPr>
            <w:tcW w:type="dxa" w:w="26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41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3. El playbook no está en el catálogo o no es de la familia clasificada</w:t>
            </w:r>
          </w:p>
        </w:tc>
      </w:tr>
      <w:tr>
        <w:trPr>
          <w:cantSplit/>
        </w:trPr>
        <w:tc>
          <w:tcPr>
            <w:tcW w:type="dxa" w:w="26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ACTIVO_EXCLUIDO</w:t>
            </w:r>
          </w:p>
        </w:tc>
        <w:tc>
          <w:tcPr>
            <w:tcW w:type="dxa" w:w="26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41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4. El objetivo está en la lista de exclusión</w:t>
            </w:r>
          </w:p>
        </w:tc>
      </w:tr>
      <w:tr>
        <w:trPr>
          <w:cantSplit/>
        </w:trPr>
        <w:tc>
          <w:tcPr>
            <w:tcW w:type="dxa" w:w="264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CORTACIRCUITO_ABIERTO</w:t>
            </w:r>
          </w:p>
        </w:tc>
        <w:tc>
          <w:tcPr>
            <w:tcW w:type="dxa" w:w="26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41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5. El cortacircuito del ámbito está abierto</w:t>
            </w:r>
          </w:p>
        </w:tc>
      </w:tr>
      <w:tr>
        <w:trPr>
          <w:cantSplit/>
        </w:trPr>
        <w:tc>
          <w:tcPr>
            <w:tcW w:type="dxa" w:w="26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LIMITE_DE_TASA</w:t>
            </w:r>
          </w:p>
        </w:tc>
        <w:tc>
          <w:tcPr>
            <w:tcW w:type="dxa" w:w="26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41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5. Un contador de tasa llegó a su tope</w:t>
            </w:r>
          </w:p>
        </w:tc>
      </w:tr>
      <w:tr>
        <w:trPr>
          <w:cantSplit/>
        </w:trPr>
        <w:tc>
          <w:tcPr>
            <w:tcW w:type="dxa" w:w="264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NIVEL_NO_PERMITIDO_POR_SEVERIDAD</w:t>
            </w:r>
          </w:p>
        </w:tc>
        <w:tc>
          <w:tcPr>
            <w:tcW w:type="dxa" w:w="26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Chequeos</w:t>
            </w:r>
          </w:p>
        </w:tc>
        <w:tc>
          <w:tcPr>
            <w:tcW w:type="dxa" w:w="41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6. El nivel del playbook supera el permitido por la severidad</w:t>
            </w:r>
          </w:p>
        </w:tc>
      </w:tr>
      <w:tr>
        <w:trPr>
          <w:cantSplit/>
        </w:trPr>
        <w:tc>
          <w:tcPr>
            <w:tcW w:type="dxa" w:w="26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MOTOR_INFERENCIA_NO_DISPONIBLE</w:t>
            </w:r>
          </w:p>
        </w:tc>
        <w:tc>
          <w:tcPr>
            <w:tcW w:type="dxa" w:w="26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Falla segura</w:t>
            </w:r>
          </w:p>
        </w:tc>
        <w:tc>
          <w:tcPr>
            <w:tcW w:type="dxa" w:w="41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servidor del modelo no responde o devuelve error</w:t>
            </w:r>
          </w:p>
        </w:tc>
      </w:tr>
      <w:tr>
        <w:trPr>
          <w:cantSplit/>
        </w:trPr>
        <w:tc>
          <w:tcPr>
            <w:tcW w:type="dxa" w:w="264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TIEMPO_EXCEDIDO</w:t>
            </w:r>
          </w:p>
        </w:tc>
        <w:tc>
          <w:tcPr>
            <w:tcW w:type="dxa" w:w="26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Falla segura</w:t>
            </w:r>
          </w:p>
        </w:tc>
        <w:tc>
          <w:tcPr>
            <w:tcW w:type="dxa" w:w="41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Los dos pasos superan el plazo total</w:t>
            </w:r>
          </w:p>
        </w:tc>
      </w:tr>
    </w:tbl>
    <w:p>
      <w:pPr>
        <w:spacing w:after="40" w:line="192" w:lineRule="auto"/>
      </w:pPr>
    </w:p>
    <w:p>
      <w:r>
        <w:t xml:space="preserve">Si se acepta D-34, falta un décimo motivo para la aprobación vencida del nivel 3. Por ejemplo, </w:t>
      </w:r>
      <w:r>
        <w:rPr>
          <w:rFonts w:ascii="Consolas" w:hAnsi="Consolas"/>
          <w:sz w:val="19"/>
          <w:shd w:val="clear" w:color="auto" w:fill="F2F2F2"/>
        </w:rPr>
        <w:t>APROBACION_VENCIDA</w:t>
      </w:r>
      <w:r>
        <w:t xml:space="preserve">. </w:t>
      </w:r>
      <w:r>
        <w:rPr>
          <w:rFonts w:ascii="Segoe UI Emoji" w:hAnsi="Segoe UI Emoji"/>
        </w:rPr>
        <w:t>⏳</w:t>
      </w:r>
    </w:p>
    <w:p>
      <w:pPr>
        <w:pStyle w:val="Heading2"/>
      </w:pPr>
      <w:bookmarkStart w:id="1018" w:name="_Toc0018"/>
      <w:r>
        <w:t>8.2 Estados del cortacircuito</w:t>
      </w:r>
      <w:bookmarkEnd w:id="1018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360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stados_cortacircui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4" w:name="_Fig00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Estados del cortacircuito por ámbito</w:t>
      </w:r>
      <w:bookmarkEnd w:id="3004"/>
    </w:p>
    <w:p>
      <w:r>
        <w:t xml:space="preserve">El estado vigente de un ámbito es su fila más reciente en la tabla </w:t>
      </w:r>
      <w:r>
        <w:rPr>
          <w:rFonts w:ascii="Consolas" w:hAnsi="Consolas"/>
          <w:sz w:val="19"/>
          <w:shd w:val="clear" w:color="auto" w:fill="F2F2F2"/>
        </w:rPr>
        <w:t>cortacircuito</w:t>
      </w:r>
      <w:r>
        <w:t xml:space="preserve">, que sólo admite inserciones </w:t>
      </w:r>
      <w:r>
        <w:rPr>
          <w:rFonts w:ascii="Segoe UI Emoji" w:hAnsi="Segoe UI Emoji"/>
        </w:rPr>
        <w:t>✅</w:t>
      </w:r>
      <w:r>
        <w:t xml:space="preserve">. </w:t>
      </w:r>
      <w:r>
        <w:rPr>
          <w:b/>
          <w:color w:val="7A4A00"/>
          <w:highlight w:val="yellow"/>
        </w:rPr>
        <w:t>[POR CONFIRMAR: qué ámbitos existen (por inquilino, por equipo o global) — preguntar a Patricio]</w:t>
      </w:r>
    </w:p>
    <w:p>
      <w:pPr>
        <w:pStyle w:val="Heading1"/>
      </w:pPr>
      <w:bookmarkStart w:id="1019" w:name="_Toc0019"/>
      <w:r>
        <w:t>9. Priorización</w:t>
      </w:r>
      <w:bookmarkEnd w:id="1019"/>
    </w:p>
    <w:p>
      <w:pPr>
        <w:pStyle w:val="Caption"/>
        <w:keepNext/>
        <w:spacing w:before="120" w:after="80"/>
      </w:pPr>
      <w:bookmarkStart w:id="5013" w:name="_Tab01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13</w:t>
      </w:r>
      <w:r>
        <w:fldChar w:fldCharType="end"/>
      </w:r>
      <w:r>
        <w:t xml:space="preserve">. </w:t>
      </w:r>
      <w:r>
        <w:t>Resumen de la priorización MoSCoW</w:t>
      </w:r>
      <w:bookmarkEnd w:id="501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67"/>
        <w:gridCol w:w="6271"/>
        <w:gridCol w:w="1567"/>
      </w:tblGrid>
      <w:tr>
        <w:trPr>
          <w:cantSplit/>
          <w:tblHeader/>
        </w:trPr>
        <w:tc>
          <w:tcPr>
            <w:tcW w:type="dxa" w:w="15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62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Requerimientos</w:t>
            </w:r>
          </w:p>
        </w:tc>
        <w:tc>
          <w:tcPr>
            <w:tcW w:type="dxa" w:w="15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Cantidad</w:t>
            </w:r>
          </w:p>
        </w:tc>
      </w:tr>
      <w:tr>
        <w:trPr>
          <w:cantSplit/>
        </w:trPr>
        <w:tc>
          <w:tcPr>
            <w:tcW w:type="dxa" w:w="1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 (debe)</w:t>
            </w:r>
          </w:p>
        </w:tc>
        <w:tc>
          <w:tcPr>
            <w:tcW w:type="dxa" w:w="62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RF-01, RF-03, RF-05 a RF-14, RF-16 a RF-19, RF-21, RF-24, RF-25; RNF-01 a RNF-11; RL-01 a RL-09</w:t>
            </w:r>
          </w:p>
        </w:tc>
        <w:tc>
          <w:tcPr>
            <w:tcW w:type="dxa" w:w="1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39</w:t>
            </w:r>
          </w:p>
        </w:tc>
      </w:tr>
      <w:tr>
        <w:trPr>
          <w:cantSplit/>
        </w:trPr>
        <w:tc>
          <w:tcPr>
            <w:tcW w:type="dxa" w:w="1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 (debería)</w:t>
            </w:r>
          </w:p>
        </w:tc>
        <w:tc>
          <w:tcPr>
            <w:tcW w:type="dxa" w:w="62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RF-02, RF-04, RF-15, RF-20, RF-22, RF-26; RNF-12</w:t>
            </w:r>
          </w:p>
        </w:tc>
        <w:tc>
          <w:tcPr>
            <w:tcW w:type="dxa" w:w="1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 (podría)</w:t>
            </w:r>
          </w:p>
        </w:tc>
        <w:tc>
          <w:tcPr>
            <w:tcW w:type="dxa" w:w="62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RF-23</w:t>
            </w:r>
          </w:p>
        </w:tc>
        <w:tc>
          <w:tcPr>
            <w:tcW w:type="dxa" w:w="15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W (no en este proyecto)</w:t>
            </w:r>
          </w:p>
        </w:tc>
        <w:tc>
          <w:tcPr>
            <w:tcW w:type="dxa" w:w="62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Aprendizaje del modelo en línea; contención sin agente; lectura de contenidos o datos de pacientes; más de dos arquetipos de equipo</w:t>
            </w:r>
          </w:p>
        </w:tc>
        <w:tc>
          <w:tcPr>
            <w:tcW w:type="dxa" w:w="15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 w:line="192" w:lineRule="auto"/>
      </w:pPr>
    </w:p>
    <w:p>
      <w:r>
        <w:t>Los requerimientos legales RL-01 a RL-09 se tratan como M porque condicionan la instalación en un cliente real.</w:t>
      </w:r>
    </w:p>
    <w:p>
      <w:pPr>
        <w:pStyle w:val="Heading2"/>
      </w:pPr>
      <w:bookmarkStart w:id="1020" w:name="_Toc0020"/>
      <w:r>
        <w:t>9.1 Criterios de aceptación del servicio</w:t>
      </w:r>
      <w:bookmarkEnd w:id="1020"/>
    </w:p>
    <w:p>
      <w:r>
        <w:t xml:space="preserve">El «Replanteamiento como SaaS» incluye una lista de verificación de 15 criterios, cada uno asociado a un sprint. Esos criterios funcionan como criterios de aceptación del servicio. </w:t>
      </w:r>
      <w:r>
        <w:rPr>
          <w:b/>
          <w:color w:val="7A4A00"/>
          <w:highlight w:val="yellow"/>
        </w:rPr>
        <w:t>[POR CONFIRMAR: texto de los 15 criterios de la lista de verificación SaaS y su sprint — preguntar al equipo]</w:t>
      </w:r>
    </w:p>
    <w:p>
      <w:pPr>
        <w:pStyle w:val="Heading1"/>
      </w:pPr>
      <w:bookmarkStart w:id="1021" w:name="_Toc0021"/>
      <w:r>
        <w:t>10. Trazabilidad</w:t>
      </w:r>
      <w:bookmarkEnd w:id="1021"/>
    </w:p>
    <w:p>
      <w:pPr>
        <w:pStyle w:val="Caption"/>
        <w:keepNext/>
        <w:spacing w:before="120" w:after="80"/>
      </w:pPr>
      <w:bookmarkStart w:id="5014" w:name="_Tab01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14</w:t>
      </w:r>
      <w:r>
        <w:fldChar w:fldCharType="end"/>
      </w:r>
      <w:r>
        <w:t xml:space="preserve">. </w:t>
      </w:r>
      <w:r>
        <w:t>Trazabilidad de requerimientos a componentes y pruebas</w:t>
      </w:r>
      <w:bookmarkEnd w:id="501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67"/>
        <w:gridCol w:w="2001"/>
        <w:gridCol w:w="3335"/>
        <w:gridCol w:w="3002"/>
      </w:tblGrid>
      <w:tr>
        <w:trPr>
          <w:cantSplit/>
          <w:tblHeader/>
        </w:trPr>
        <w:tc>
          <w:tcPr>
            <w:tcW w:type="dxa" w:w="10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200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33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Prueba o evidencia</w:t>
            </w:r>
          </w:p>
        </w:tc>
        <w:tc>
          <w:tcPr>
            <w:tcW w:type="dxa" w:w="300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 de la prueba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RF-06, RNF-02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SOAR-CLASSIFY, SOAR-VALIDATE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tests/unit/test_inferencia.py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test_ollama.py</w:t>
            </w:r>
            <w:r>
              <w:rPr>
                <w:sz w:val="19"/>
              </w:rPr>
              <w:t>; medición del 06-10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RF-07, RF-08</w:t>
            </w:r>
          </w:p>
        </w:tc>
        <w:tc>
          <w:tcPr>
            <w:tcW w:type="dxa" w:w="20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SOAR-VALIDATE</w:t>
            </w:r>
          </w:p>
        </w:tc>
        <w:tc>
          <w:tcPr>
            <w:tcW w:type="dxa" w:w="33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tests/unit/test_contrato.py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test_chequeos.py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test_catalogo.py</w:t>
            </w:r>
          </w:p>
        </w:tc>
        <w:tc>
          <w:tcPr>
            <w:tcW w:type="dxa" w:w="30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RNF-10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SOAR-VALIDATE, prompts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tests/unit/test_inyeccion.py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casos_inyeccion.json</w:t>
            </w:r>
            <w:r>
              <w:rPr>
                <w:sz w:val="19"/>
              </w:rPr>
              <w:t xml:space="preserve"> (10 casos)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capas deterministas;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medición contra el modelo</w:t>
            </w:r>
          </w:p>
        </w:tc>
      </w:tr>
      <w:tr>
        <w:trPr>
          <w:cantSplit/>
        </w:trPr>
        <w:tc>
          <w:tcPr>
            <w:tcW w:type="dxa" w:w="10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RF-24, RNF-04</w:t>
            </w:r>
          </w:p>
        </w:tc>
        <w:tc>
          <w:tcPr>
            <w:tcW w:type="dxa" w:w="20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SOAR-AUDIT</w:t>
            </w:r>
          </w:p>
        </w:tc>
        <w:tc>
          <w:tcPr>
            <w:tcW w:type="dxa" w:w="33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Pruebas «b», «c» y «d»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</w:p>
        </w:tc>
        <w:tc>
          <w:tcPr>
            <w:tcW w:type="dxa" w:w="30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RNF-03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SOAR-AUDIT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Prueba «a»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</w:t>
            </w:r>
          </w:p>
        </w:tc>
      </w:tr>
      <w:tr>
        <w:trPr>
          <w:cantSplit/>
        </w:trPr>
        <w:tc>
          <w:tcPr>
            <w:tcW w:type="dxa" w:w="10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RNF-05</w:t>
            </w:r>
          </w:p>
        </w:tc>
        <w:tc>
          <w:tcPr>
            <w:tcW w:type="dxa" w:w="20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Repositorio</w:t>
            </w:r>
          </w:p>
        </w:tc>
        <w:tc>
          <w:tcPr>
            <w:tcW w:type="dxa" w:w="33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Check R1 del CI</w:t>
            </w:r>
          </w:p>
        </w:tc>
        <w:tc>
          <w:tcPr>
            <w:tcW w:type="dxa" w:w="30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RNF-08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Repositorio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gitleaks del CI y pre-commit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RNF-01</w:t>
            </w:r>
          </w:p>
        </w:tc>
        <w:tc>
          <w:tcPr>
            <w:tcW w:type="dxa" w:w="20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SOAR-CLASSIFY</w:t>
            </w:r>
          </w:p>
        </w:tc>
        <w:tc>
          <w:tcPr>
            <w:tcW w:type="dxa" w:w="33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Medición de latencia con 3B y 7B</w:t>
            </w:r>
          </w:p>
        </w:tc>
        <w:tc>
          <w:tcPr>
            <w:tcW w:type="dxa" w:w="30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medido sin Wazuh ni PostgreSQL corriendo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RNF-06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SOAR-CORE-01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Prueba de reinicio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10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RNF-11</w:t>
            </w:r>
          </w:p>
        </w:tc>
        <w:tc>
          <w:tcPr>
            <w:tcW w:type="dxa" w:w="200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SOAR-AUDIT</w:t>
            </w:r>
          </w:p>
        </w:tc>
        <w:tc>
          <w:tcPr>
            <w:tcW w:type="dxa" w:w="33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Restauración probada</w:t>
            </w:r>
          </w:p>
        </w:tc>
        <w:tc>
          <w:tcPr>
            <w:tcW w:type="dxa" w:w="300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10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RF-10 a RF-19, RF-25</w:t>
            </w:r>
          </w:p>
        </w:tc>
        <w:tc>
          <w:tcPr>
            <w:tcW w:type="dxa" w:w="200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EXECUTE, NOTIFY, CONSOLE</w:t>
            </w:r>
          </w:p>
        </w:tc>
        <w:tc>
          <w:tcPr>
            <w:tcW w:type="dxa" w:w="333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16 (pendiente)</w:t>
            </w:r>
          </w:p>
        </w:tc>
        <w:tc>
          <w:tcPr>
            <w:tcW w:type="dxa" w:w="300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r>
        <w:t>La matriz completa, desde los objetivos específicos hasta la evidencia, está en el documento 00 (Índice documental y matriz de trazabilidad). La estrategia de pruebas está en el documento 15 (Plan de pruebas de software).</w:t>
      </w:r>
    </w:p>
    <w:p>
      <w:pPr>
        <w:pStyle w:val="Heading1"/>
      </w:pPr>
      <w:bookmarkStart w:id="1022" w:name="_Toc0022"/>
      <w:r>
        <w:t>11. Referencias</w:t>
      </w:r>
      <w:bookmarkEnd w:id="1022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Ley N.° 19.628, sobre protección de la vida privada. (1999).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Ley N.° 21.719, que regula la protección y el tratamiento de los datos personales y crea la Agencia de Protección de Datos Personales. (2024).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Ley N.° 21.663, Ley Marco de Ciberseguridad. (2024).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02 · Especificación de requerimientos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· Especificación de requerimientos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