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  <w:r>
        <w:rPr>
          <w:b/>
          <w:color w:val="1F3A5F"/>
          <w:sz w:val="60"/>
        </w:rPr>
        <w:t>KRONOS AI</w:t>
      </w:r>
    </w:p>
    <w:p>
      <w:pPr>
        <w:pBdr>
          <w:bottom w:val="single" w:sz="12" w:space="8" w:color="1F3A5F"/>
        </w:pBdr>
      </w:pPr>
      <w:r>
        <w:rPr>
          <w:color w:val="6B6B6B"/>
          <w:sz w:val="24"/>
        </w:rPr>
        <w:t>SOAR con clasificación de incidentes asistida por IA bajo control determinista</w:t>
      </w:r>
    </w:p>
    <w:p>
      <w:pPr>
        <w:spacing w:before="1800"/>
      </w:pPr>
      <w:r>
        <w:rPr>
          <w:b/>
          <w:color w:val="404040"/>
          <w:sz w:val="28"/>
        </w:rPr>
        <w:t>Documento 17</w:t>
      </w:r>
    </w:p>
    <w:p>
      <w:pPr>
        <w:spacing w:after="120"/>
      </w:pPr>
      <w:r>
        <w:rPr>
          <w:b/>
          <w:color w:val="1F3A5F"/>
          <w:sz w:val="52"/>
        </w:rPr>
        <w:t>Seguridad de la plataforma</w:t>
      </w:r>
    </w:p>
    <w:p>
      <w:r>
        <w:rPr>
          <w:i/>
          <w:color w:val="404040"/>
          <w:sz w:val="23"/>
        </w:rPr>
        <w:t>Activos, modelo de amenazas, controles, gestión de accesos, respuesta ante incidentes de la propia plataforma, cumplimiento normativo (borrador) y riesgos residuales.</w:t>
      </w:r>
    </w:p>
    <w:p>
      <w:pPr>
        <w:spacing w:before="360"/>
      </w:pPr>
      <w:r>
        <w:rPr>
          <w:color w:val="404040"/>
          <w:sz w:val="22"/>
        </w:rPr>
        <w:t>Versión 0.1 (borrador) · 14-10-2026</w:t>
      </w:r>
    </w:p>
    <w:p>
      <w:pPr>
        <w:spacing w:before="2400" w:after="40"/>
        <w:pBdr>
          <w:top w:val="single" w:sz="4" w:space="8" w:color="BFBFBF"/>
        </w:pBdr>
      </w:pPr>
      <w:r>
        <w:rPr>
          <w:b/>
          <w:color w:val="1F3A5F"/>
          <w:sz w:val="21"/>
        </w:rPr>
        <w:t xml:space="preserve">Integrantes: </w:t>
      </w:r>
      <w:r>
        <w:rPr>
          <w:sz w:val="21"/>
        </w:rPr>
        <w:t>Nicolás Zamora · Rodrigo Riveros · Patricio González</w:t>
      </w:r>
    </w:p>
    <w:p>
      <w:pPr>
        <w:spacing w:after="40"/>
      </w:pPr>
      <w:r>
        <w:rPr>
          <w:b/>
          <w:color w:val="1F3A5F"/>
          <w:sz w:val="21"/>
        </w:rPr>
        <w:t xml:space="preserve">Profesor guía: </w:t>
      </w:r>
      <w:r>
        <w:rPr>
          <w:sz w:val="21"/>
        </w:rPr>
        <w:t>Ceferino Aníbal Sotelo Becerra</w:t>
      </w:r>
    </w:p>
    <w:p>
      <w:pPr>
        <w:spacing w:after="40"/>
      </w:pPr>
      <w:r>
        <w:rPr>
          <w:b/>
          <w:color w:val="1F3A5F"/>
          <w:sz w:val="21"/>
        </w:rPr>
        <w:t xml:space="preserve">Asignatura: </w:t>
      </w:r>
      <w:r>
        <w:rPr>
          <w:sz w:val="21"/>
        </w:rPr>
        <w:t>Capstone — Portafolio de Título</w:t>
      </w:r>
    </w:p>
    <w:p>
      <w:pPr>
        <w:spacing w:after="40"/>
      </w:pPr>
      <w:r>
        <w:rPr>
          <w:b/>
          <w:color w:val="1F3A5F"/>
          <w:sz w:val="21"/>
        </w:rPr>
        <w:t xml:space="preserve">Carrera: </w:t>
      </w:r>
      <w:r>
        <w:rPr>
          <w:sz w:val="21"/>
        </w:rPr>
        <w:t>Ingeniería en Informática</w:t>
      </w:r>
    </w:p>
    <w:p>
      <w:pPr>
        <w:spacing w:after="40"/>
      </w:pPr>
      <w:r>
        <w:rPr>
          <w:b/>
          <w:color w:val="1F3A5F"/>
          <w:sz w:val="21"/>
        </w:rPr>
        <w:t xml:space="preserve">Institución: </w:t>
      </w:r>
      <w:r>
        <w:rPr>
          <w:sz w:val="21"/>
        </w:rPr>
        <w:t>DUOC UC, sede Padre Alonso de Ovalle, Santiago</w:t>
      </w:r>
    </w:p>
    <w:p>
      <w:pPr>
        <w:spacing w:after="0"/>
      </w:pPr>
      <w:r>
        <w:br w:type="page"/>
      </w:r>
    </w:p>
    <w:p>
      <w:pPr>
        <w:keepNext/>
        <w:spacing w:after="160" w:before="0"/>
      </w:pPr>
      <w:r>
        <w:rPr>
          <w:b/>
          <w:color w:val="1F3A5F"/>
          <w:sz w:val="32"/>
        </w:rPr>
        <w:t>Control del documento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268"/>
        <w:gridCol w:w="7138"/>
      </w:tblGrid>
      <w:tr>
        <w:trPr>
          <w:cantSplit/>
          <w:tblHeader/>
        </w:trPr>
        <w:tc>
          <w:tcPr>
            <w:tcW w:type="dxa" w:w="226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13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17 · Seguridad de la plataforma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Proyecto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Kronos AI — SOAR con clasificación asistida por IA bajo control determinista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Versión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0.1 (borrador)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Fecha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2026-10-14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Autor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Rodrigo Riveros (redacción asistida por IA)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Revisor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Por asignar en la revisión del PR (otro integrante, distinto del autor)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Estado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Borrador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Base bibliográfica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Pantaleo y Rinaudo, 13.2.3 (apoyo)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Archivo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docs/entregables/17_seguridad.docx</w:t>
            </w:r>
          </w:p>
        </w:tc>
      </w:tr>
    </w:tbl>
    <w:p>
      <w:pPr>
        <w:spacing w:after="40" w:line="192" w:lineRule="auto"/>
      </w:pPr>
    </w:p>
    <w:p>
      <w:pPr>
        <w:keepNext/>
        <w:spacing w:after="160" w:before="120"/>
      </w:pPr>
      <w:r>
        <w:rPr>
          <w:b/>
          <w:color w:val="1F3A5F"/>
          <w:sz w:val="26"/>
        </w:rPr>
        <w:t>Historial de versiones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020"/>
        <w:gridCol w:w="1360"/>
        <w:gridCol w:w="2608"/>
        <w:gridCol w:w="4416"/>
      </w:tblGrid>
      <w:tr>
        <w:trPr>
          <w:cantSplit/>
          <w:tblHeader/>
        </w:trPr>
        <w:tc>
          <w:tcPr>
            <w:tcW w:type="dxa" w:w="102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136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60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Autor</w:t>
            </w:r>
          </w:p>
        </w:tc>
        <w:tc>
          <w:tcPr>
            <w:tcW w:type="dxa" w:w="441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Cambios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0.1</w:t>
            </w:r>
          </w:p>
        </w:tc>
        <w:tc>
          <w:tcPr>
            <w:tcW w:type="dxa" w:w="136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2026-10-14</w:t>
            </w:r>
          </w:p>
        </w:tc>
        <w:tc>
          <w:tcPr>
            <w:tcW w:type="dxa" w:w="260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Rodrigo Riveros</w:t>
            </w:r>
          </w:p>
        </w:tc>
        <w:tc>
          <w:tcPr>
            <w:tcW w:type="dxa" w:w="441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Primera versión para la entrega del 16-10-2026</w:t>
            </w:r>
          </w:p>
        </w:tc>
      </w:tr>
    </w:tbl>
    <w:p>
      <w:pPr>
        <w:spacing w:after="40" w:line="192" w:lineRule="auto"/>
      </w:pPr>
    </w:p>
    <w:p>
      <w:pPr>
        <w:keepNext/>
        <w:spacing w:after="160" w:before="120"/>
      </w:pPr>
      <w:r>
        <w:rPr>
          <w:b/>
          <w:color w:val="1F3A5F"/>
          <w:sz w:val="26"/>
        </w:rPr>
        <w:t>Cómo leer este documento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041"/>
        <w:gridCol w:w="7365"/>
      </w:tblGrid>
      <w:tr>
        <w:trPr>
          <w:cantSplit/>
          <w:tblHeader/>
        </w:trPr>
        <w:tc>
          <w:tcPr>
            <w:tcW w:type="dxa" w:w="204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Marca</w:t>
            </w:r>
          </w:p>
        </w:tc>
        <w:tc>
          <w:tcPr>
            <w:tcW w:type="dxa" w:w="736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Verificado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Hay evidencia en el repositorio, en la salida de una terminal o en un documento del equipo.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Informado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Lo dice un documento o una herramienta, pero no se ha comprobado o la fuente es antigua.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Pendiente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Está decidido hacerlo, pero no se ha hecho.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Por confirmar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Falta el dato. No se inventa: se marca </w:t>
            </w:r>
            <w:r>
              <w:rPr>
                <w:b/>
                <w:color w:val="7A4A00"/>
                <w:sz w:val="19"/>
                <w:highlight w:val="yellow"/>
              </w:rPr>
              <w:t>[POR CONFIRMAR: …]</w:t>
            </w:r>
            <w:r>
              <w:rPr>
                <w:sz w:val="19"/>
              </w:rPr>
              <w:t xml:space="preserve"> y se agrega a docs/00-indice/preguntas-abiertas.md.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b/>
                <w:color w:val="004D40"/>
                <w:sz w:val="19"/>
                <w:highlight w:val="cyan"/>
              </w:rPr>
              <w:t>[PENDIENTE: …]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Depende de la instalación en la farmacia (D-28); se lista en docs/00-indice/pendientes-farmacia.md.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b/>
                <w:color w:val="8A2B0E"/>
                <w:sz w:val="19"/>
              </w:rPr>
              <w:t>«Propuesta»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Lo propone la redacción y el equipo aún no lo decide.</w:t>
            </w:r>
          </w:p>
        </w:tc>
      </w:tr>
    </w:tbl>
    <w:p>
      <w:pPr>
        <w:spacing w:after="40" w:line="192" w:lineRule="auto"/>
      </w:pPr>
    </w:p>
    <w:p>
      <w:r>
        <w:rPr>
          <w:sz w:val="19"/>
        </w:rPr>
        <w:t>Los documentos se identifican por su número y su nombre. Las remisiones a otro documento se escriben «documento NN (Nombre)». Este documento no contiene secretos, contraseñas, llaves, tokens, direcciones IP reales ni datos que identifiquen a la farmacia o a su personal.</w:t>
      </w:r>
    </w:p>
    <w:p>
      <w:pPr>
        <w:spacing w:after="0"/>
      </w:pPr>
      <w:r>
        <w:br w:type="page"/>
      </w:r>
    </w:p>
    <w:p>
      <w:pPr>
        <w:keepNext/>
        <w:spacing w:after="160" w:before="0"/>
      </w:pPr>
      <w:r>
        <w:rPr>
          <w:b/>
          <w:color w:val="1F3A5F"/>
          <w:sz w:val="32"/>
        </w:rPr>
        <w:t>Índice</w:t>
      </w:r>
    </w:p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0001" w:history="1">
        <w:r>
          <w:rPr/>
          <w:t xml:space="preserve">1. Propósito y alcance</w:t>
        </w:r>
        <w:r>
          <w:rPr/>
          <w:tab/>
        </w:r>
        <w:r>
          <w:rPr/>
          <w:t xml:space="preserve">4</w:t>
        </w:r>
      </w:hyperlink>
    </w:p>
    <w:p>
      <w:pPr>
        <w:pStyle w:val="TOC1"/>
      </w:pPr>
      <w:hyperlink w:anchor="_Toc0002" w:history="1">
        <w:r>
          <w:rPr/>
          <w:t xml:space="preserve">2. Activos</w:t>
        </w:r>
        <w:r>
          <w:rPr/>
          <w:tab/>
        </w:r>
        <w:r>
          <w:rPr/>
          <w:t xml:space="preserve">4</w:t>
        </w:r>
      </w:hyperlink>
    </w:p>
    <w:p>
      <w:pPr>
        <w:pStyle w:val="TOC1"/>
      </w:pPr>
      <w:hyperlink w:anchor="_Toc0003" w:history="1">
        <w:r>
          <w:rPr/>
          <w:t xml:space="preserve">3. Modelo de amenazas</w:t>
        </w:r>
        <w:r>
          <w:rPr/>
          <w:tab/>
        </w:r>
        <w:r>
          <w:rPr/>
          <w:t xml:space="preserve">5</w:t>
        </w:r>
      </w:hyperlink>
    </w:p>
    <w:p>
      <w:pPr>
        <w:pStyle w:val="TOC1"/>
      </w:pPr>
      <w:hyperlink w:anchor="_Toc0004" w:history="1">
        <w:r>
          <w:rPr/>
          <w:t xml:space="preserve">4. Controles</w:t>
        </w:r>
        <w:r>
          <w:rPr/>
          <w:tab/>
        </w:r>
        <w:r>
          <w:rPr/>
          <w:t xml:space="preserve">7</w:t>
        </w:r>
      </w:hyperlink>
    </w:p>
    <w:p>
      <w:pPr>
        <w:pStyle w:val="TOC2"/>
      </w:pPr>
      <w:hyperlink w:anchor="_Toc0005" w:history="1">
        <w:r>
          <w:rPr/>
          <w:t xml:space="preserve">4.1 Controles de diseño</w:t>
        </w:r>
        <w:r>
          <w:rPr/>
          <w:tab/>
        </w:r>
        <w:r>
          <w:rPr/>
          <w:t xml:space="preserve">7</w:t>
        </w:r>
      </w:hyperlink>
    </w:p>
    <w:p>
      <w:pPr>
        <w:pStyle w:val="TOC2"/>
      </w:pPr>
      <w:hyperlink w:anchor="_Toc0006" w:history="1">
        <w:r>
          <w:rPr/>
          <w:t xml:space="preserve">4.2 Controles de la base de datos</w:t>
        </w:r>
        <w:r>
          <w:rPr/>
          <w:tab/>
        </w:r>
        <w:r>
          <w:rPr/>
          <w:t xml:space="preserve">7</w:t>
        </w:r>
      </w:hyperlink>
    </w:p>
    <w:p>
      <w:pPr>
        <w:pStyle w:val="TOC2"/>
      </w:pPr>
      <w:hyperlink w:anchor="_Toc0007" w:history="1">
        <w:r>
          <w:rPr/>
          <w:t xml:space="preserve">4.3 Controles de red y del servidor</w:t>
        </w:r>
        <w:r>
          <w:rPr/>
          <w:tab/>
        </w:r>
        <w:r>
          <w:rPr/>
          <w:t xml:space="preserve">7</w:t>
        </w:r>
      </w:hyperlink>
    </w:p>
    <w:p>
      <w:pPr>
        <w:pStyle w:val="TOC2"/>
      </w:pPr>
      <w:hyperlink w:anchor="_Toc0008" w:history="1">
        <w:r>
          <w:rPr/>
          <w:t xml:space="preserve">4.4 Controles del proceso de desarrollo</w:t>
        </w:r>
        <w:r>
          <w:rPr/>
          <w:tab/>
        </w:r>
        <w:r>
          <w:rPr/>
          <w:t xml:space="preserve">8</w:t>
        </w:r>
      </w:hyperlink>
    </w:p>
    <w:p>
      <w:pPr>
        <w:pStyle w:val="TOC1"/>
      </w:pPr>
      <w:hyperlink w:anchor="_Toc0009" w:history="1">
        <w:r>
          <w:rPr/>
          <w:t xml:space="preserve">5. Gestión de accesos</w:t>
        </w:r>
        <w:r>
          <w:rPr/>
          <w:tab/>
        </w:r>
        <w:r>
          <w:rPr/>
          <w:t xml:space="preserve">8</w:t>
        </w:r>
      </w:hyperlink>
    </w:p>
    <w:p>
      <w:pPr>
        <w:pStyle w:val="TOC1"/>
      </w:pPr>
      <w:hyperlink w:anchor="_Toc0010" w:history="1">
        <w:r>
          <w:rPr/>
          <w:t xml:space="preserve">6. Monitoreo de la propia plataforma</w:t>
        </w:r>
        <w:r>
          <w:rPr/>
          <w:tab/>
        </w:r>
        <w:r>
          <w:rPr/>
          <w:t xml:space="preserve">8</w:t>
        </w:r>
      </w:hyperlink>
    </w:p>
    <w:p>
      <w:pPr>
        <w:pStyle w:val="TOC1"/>
      </w:pPr>
      <w:hyperlink w:anchor="_Toc0011" w:history="1">
        <w:r>
          <w:rPr/>
          <w:t xml:space="preserve">7. Respuesta ante incidentes de la plataforma</w:t>
        </w:r>
        <w:r>
          <w:rPr/>
          <w:tab/>
        </w:r>
        <w:r>
          <w:rPr/>
          <w:t xml:space="preserve">9</w:t>
        </w:r>
      </w:hyperlink>
    </w:p>
    <w:p>
      <w:pPr>
        <w:pStyle w:val="TOC1"/>
      </w:pPr>
      <w:hyperlink w:anchor="_Toc0012" w:history="1">
        <w:r>
          <w:rPr/>
          <w:t xml:space="preserve">8. Cumplimiento normativo (borrador)</w:t>
        </w:r>
        <w:r>
          <w:rPr/>
          <w:tab/>
        </w:r>
        <w:r>
          <w:rPr/>
          <w:t xml:space="preserve">9</w:t>
        </w:r>
      </w:hyperlink>
    </w:p>
    <w:p>
      <w:pPr>
        <w:pStyle w:val="TOC1"/>
      </w:pPr>
      <w:hyperlink w:anchor="_Toc0013" w:history="1">
        <w:r>
          <w:rPr/>
          <w:t xml:space="preserve">9. Riesgos residuales</w:t>
        </w:r>
        <w:r>
          <w:rPr/>
          <w:tab/>
        </w:r>
        <w:r>
          <w:rPr/>
          <w:t xml:space="preserve">10</w:t>
        </w:r>
      </w:hyperlink>
    </w:p>
    <w:p>
      <w:pPr>
        <w:pStyle w:val="TOC1"/>
      </w:pPr>
      <w:hyperlink w:anchor="_Toc0014" w:history="1">
        <w:r>
          <w:rPr/>
          <w:t xml:space="preserve">10. Referencias</w:t>
        </w:r>
        <w:r>
          <w:rPr/>
          <w:tab/>
        </w:r>
        <w:r>
          <w:rPr/>
          <w:t xml:space="preserve">10</w:t>
        </w:r>
      </w:hyperlink>
      <w:r>
        <w:fldChar w:fldCharType="end"/>
      </w:r>
    </w:p>
    <w:p>
      <w:pPr>
        <w:keepNext/>
        <w:spacing w:after="160" w:before="120"/>
      </w:pPr>
      <w:r>
        <w:rPr>
          <w:b/>
          <w:color w:val="1F3A5F"/>
          <w:sz w:val="26"/>
        </w:rPr>
        <w:t>Índice de tablas</w:t>
      </w:r>
    </w:p>
    <w:p>
      <w:pPr>
        <w:pStyle w:val="TableofFigures"/>
      </w:pPr>
      <w:r>
        <w:fldChar w:fldCharType="begin"/>
      </w:r>
      <w:r>
        <w:instrText xml:space="preserve"> TOC \h \z \c "Tabla" </w:instrText>
      </w:r>
      <w:r>
        <w:fldChar w:fldCharType="separate"/>
      </w:r>
      <w:hyperlink w:anchor="_Tab001" w:history="1">
        <w:r>
          <w:rPr/>
          <w:t xml:space="preserve">Tabla 1. Activos de la plataforma</w:t>
        </w:r>
        <w:r>
          <w:rPr/>
          <w:tab/>
        </w:r>
        <w:r>
          <w:rPr/>
          <w:t xml:space="preserve">4</w:t>
        </w:r>
      </w:hyperlink>
    </w:p>
    <w:p>
      <w:pPr>
        <w:pStyle w:val="TableofFigures"/>
      </w:pPr>
      <w:hyperlink w:anchor="_Tab002" w:history="1">
        <w:r>
          <w:rPr/>
          <w:t xml:space="preserve">Tabla 2. Amenazas y controles</w:t>
        </w:r>
        <w:r>
          <w:rPr/>
          <w:tab/>
        </w:r>
        <w:r>
          <w:rPr/>
          <w:t xml:space="preserve">5</w:t>
        </w:r>
      </w:hyperlink>
    </w:p>
    <w:p>
      <w:pPr>
        <w:pStyle w:val="TableofFigures"/>
      </w:pPr>
      <w:hyperlink w:anchor="_Tab003" w:history="1">
        <w:r>
          <w:rPr/>
          <w:t xml:space="preserve">Tabla 3. Restricciones y controles de diseño</w:t>
        </w:r>
        <w:r>
          <w:rPr/>
          <w:tab/>
        </w:r>
        <w:r>
          <w:rPr/>
          <w:t xml:space="preserve">7</w:t>
        </w:r>
      </w:hyperlink>
    </w:p>
    <w:p>
      <w:pPr>
        <w:pStyle w:val="TableofFigures"/>
      </w:pPr>
      <w:hyperlink w:anchor="_Tab004" w:history="1">
        <w:r>
          <w:rPr/>
          <w:t xml:space="preserve">Tabla 4. Controles de SOAR-AUDIT</w:t>
        </w:r>
        <w:r>
          <w:rPr/>
          <w:tab/>
        </w:r>
        <w:r>
          <w:rPr/>
          <w:t xml:space="preserve">7</w:t>
        </w:r>
      </w:hyperlink>
    </w:p>
    <w:p>
      <w:pPr>
        <w:pStyle w:val="TableofFigures"/>
      </w:pPr>
      <w:hyperlink w:anchor="_Tab005" w:history="1">
        <w:r>
          <w:rPr/>
          <w:t xml:space="preserve">Tabla 5. Accesos y su estado</w:t>
        </w:r>
        <w:r>
          <w:rPr/>
          <w:tab/>
        </w:r>
        <w:r>
          <w:rPr/>
          <w:t xml:space="preserve">8</w:t>
        </w:r>
      </w:hyperlink>
    </w:p>
    <w:p>
      <w:pPr>
        <w:pStyle w:val="TableofFigures"/>
      </w:pPr>
      <w:hyperlink w:anchor="_Tab006" w:history="1">
        <w:r>
          <w:rPr/>
          <w:t xml:space="preserve">Tabla 6. Respuesta ante un incidente de la propia plataforma</w:t>
        </w:r>
        <w:r>
          <w:rPr/>
          <w:tab/>
        </w:r>
        <w:r>
          <w:rPr/>
          <w:t xml:space="preserve">9</w:t>
        </w:r>
      </w:hyperlink>
    </w:p>
    <w:p>
      <w:pPr>
        <w:pStyle w:val="TableofFigures"/>
      </w:pPr>
      <w:hyperlink w:anchor="_Tab007" w:history="1">
        <w:r>
          <w:rPr/>
          <w:t xml:space="preserve">Tabla 7. Matriz de cumplimiento (borrador)</w:t>
        </w:r>
        <w:r>
          <w:rPr/>
          <w:tab/>
        </w:r>
        <w:r>
          <w:rPr/>
          <w:t xml:space="preserve">9</w:t>
        </w:r>
      </w:hyperlink>
    </w:p>
    <w:p>
      <w:pPr>
        <w:pStyle w:val="TableofFigures"/>
      </w:pPr>
      <w:hyperlink w:anchor="_Tab008" w:history="1">
        <w:r>
          <w:rPr/>
          <w:t xml:space="preserve">Tabla 8. Riesgos residuales de seguridad</w:t>
        </w:r>
        <w:r>
          <w:rPr/>
          <w:tab/>
        </w:r>
        <w:r>
          <w:rPr/>
          <w:t xml:space="preserve">10</w:t>
        </w:r>
      </w:hyperlink>
      <w:r>
        <w:fldChar w:fldCharType="end"/>
      </w:r>
    </w:p>
    <w:p>
      <w:pPr>
        <w:spacing w:after="0"/>
      </w:pPr>
      <w:r>
        <w:br w:type="page"/>
      </w:r>
    </w:p>
    <w:p>
      <w:pPr>
        <w:pStyle w:val="Heading1"/>
      </w:pPr>
      <w:bookmarkStart w:id="1001" w:name="_Toc0001"/>
      <w:r>
        <w:t>1. Propósito y alcance</w:t>
      </w:r>
      <w:bookmarkEnd w:id="1001"/>
    </w:p>
    <w:p>
      <w:r>
        <w:t>Kronos AI es una herramienta de seguridad que actúa sobre equipos reales. Si la propia plataforma se compromete, un atacante podría usarla para contener equipos legítimos o para ocultar su rastro. Este documento identifica qué hay que proteger, de qué amenazas y con qué controles.</w:t>
      </w:r>
    </w:p>
    <w:p>
      <w:r>
        <w:t>El ciclo de vida de cada credencial (generación, resguardo, entrega, rotación y revocación) está en el documento 20 (Procedimiento de gestión de secretos). Aquí sólo se resume. La retención de registros y el acuerdo con el proveedor están en el documento 18 (Cierre de brechas BR-01 y BR-05, pendiente).</w:t>
      </w:r>
    </w:p>
    <w:p>
      <w:r>
        <w:t>El libro trata la seguridad como un atributo de calidad que la arquitectura debe satisfacer con tácticas concretas: detectar, resistir y recuperarse de un ataque (Pantaleo y Rinaudo, 13.2.3). Este documento aplica esa idea a cada componente.</w:t>
      </w:r>
    </w:p>
    <w:p>
      <w:pPr>
        <w:pStyle w:val="Heading1"/>
      </w:pPr>
      <w:bookmarkStart w:id="1002" w:name="_Toc0002"/>
      <w:r>
        <w:t>2. Activos</w:t>
      </w:r>
      <w:bookmarkEnd w:id="1002"/>
    </w:p>
    <w:p>
      <w:pPr>
        <w:pStyle w:val="Caption"/>
        <w:keepNext/>
        <w:spacing w:before="120" w:after="80"/>
      </w:pPr>
      <w:bookmarkStart w:id="5001" w:name="_Tab001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1</w:t>
      </w:r>
      <w:r>
        <w:fldChar w:fldCharType="end"/>
      </w:r>
      <w:r>
        <w:t xml:space="preserve">. </w:t>
      </w:r>
      <w:r>
        <w:t>Activos de la plataforma</w:t>
      </w:r>
      <w:bookmarkEnd w:id="5001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315"/>
        <w:gridCol w:w="4558"/>
        <w:gridCol w:w="1157"/>
        <w:gridCol w:w="1374"/>
      </w:tblGrid>
      <w:tr>
        <w:trPr>
          <w:cantSplit/>
          <w:tblHeader/>
        </w:trPr>
        <w:tc>
          <w:tcPr>
            <w:tcW w:type="dxa" w:w="2315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455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Por qué importa</w:t>
            </w:r>
          </w:p>
        </w:tc>
        <w:tc>
          <w:tcPr>
            <w:tcW w:type="dxa" w:w="115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Dueño</w:t>
            </w:r>
          </w:p>
        </w:tc>
        <w:tc>
          <w:tcPr>
            <w:tcW w:type="dxa" w:w="1375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Criticidad</w:t>
            </w:r>
          </w:p>
        </w:tc>
      </w:tr>
      <w:tr>
        <w:trPr>
          <w:cantSplit/>
        </w:trPr>
        <w:tc>
          <w:tcPr>
            <w:tcW w:type="dxa" w:w="231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Capacidad de contención (Active Response vía SOAR-EXECUTE)</w:t>
            </w:r>
          </w:p>
        </w:tc>
        <w:tc>
          <w:tcPr>
            <w:tcW w:type="dxa" w:w="455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Puede aislar equipos, deshabilitar cuentas y detener servicios del cliente</w:t>
            </w:r>
          </w:p>
        </w:tc>
        <w:tc>
          <w:tcPr>
            <w:tcW w:type="dxa" w:w="115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Rodrigo y Nicolás</w:t>
            </w:r>
          </w:p>
        </w:tc>
        <w:tc>
          <w:tcPr>
            <w:tcW w:type="dxa" w:w="137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Crítica</w:t>
            </w:r>
          </w:p>
        </w:tc>
      </w:tr>
      <w:tr>
        <w:trPr>
          <w:cantSplit/>
        </w:trPr>
        <w:tc>
          <w:tcPr>
            <w:tcW w:type="dxa" w:w="231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Bitácora SOAR-AUDIT</w:t>
            </w:r>
          </w:p>
        </w:tc>
        <w:tc>
          <w:tcPr>
            <w:tcW w:type="dxa" w:w="455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Prueba qué decidió Kronos, cuándo y por qué; responde a la responsabilidad proactiva</w:t>
            </w:r>
          </w:p>
        </w:tc>
        <w:tc>
          <w:tcPr>
            <w:tcW w:type="dxa" w:w="115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Rodrigo</w:t>
            </w:r>
          </w:p>
        </w:tc>
        <w:tc>
          <w:tcPr>
            <w:tcW w:type="dxa" w:w="137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Crítica</w:t>
            </w:r>
          </w:p>
        </w:tc>
      </w:tr>
      <w:tr>
        <w:trPr>
          <w:cantSplit/>
        </w:trPr>
        <w:tc>
          <w:tcPr>
            <w:tcW w:type="dxa" w:w="231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Telemetría y alertas de los clientes</w:t>
            </w:r>
          </w:p>
        </w:tc>
        <w:tc>
          <w:tcPr>
            <w:tcW w:type="dxa" w:w="455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Datos del comportamiento de equipos y cuentas de personas reales</w:t>
            </w:r>
          </w:p>
        </w:tc>
        <w:tc>
          <w:tcPr>
            <w:tcW w:type="dxa" w:w="115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Nicolás</w:t>
            </w:r>
          </w:p>
        </w:tc>
        <w:tc>
          <w:tcPr>
            <w:tcW w:type="dxa" w:w="137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31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Catálogo y prompts</w:t>
            </w:r>
          </w:p>
        </w:tc>
        <w:tc>
          <w:tcPr>
            <w:tcW w:type="dxa" w:w="455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Definen qué puede hacer Kronos y cómo clasifica</w:t>
            </w:r>
          </w:p>
        </w:tc>
        <w:tc>
          <w:tcPr>
            <w:tcW w:type="dxa" w:w="115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Patricio</w:t>
            </w:r>
          </w:p>
        </w:tc>
        <w:tc>
          <w:tcPr>
            <w:tcW w:type="dxa" w:w="137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31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Secretos (base, Wazuh, Telegram, NetBird, TLS, tokens de enrolamiento)</w:t>
            </w:r>
          </w:p>
        </w:tc>
        <w:tc>
          <w:tcPr>
            <w:tcW w:type="dxa" w:w="455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Dan acceso a los activos anteriores</w:t>
            </w:r>
          </w:p>
        </w:tc>
        <w:tc>
          <w:tcPr>
            <w:tcW w:type="dxa" w:w="115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Rodrigo</w:t>
            </w:r>
          </w:p>
        </w:tc>
        <w:tc>
          <w:tcPr>
            <w:tcW w:type="dxa" w:w="137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Crítica</w:t>
            </w:r>
          </w:p>
        </w:tc>
      </w:tr>
      <w:tr>
        <w:trPr>
          <w:cantSplit/>
        </w:trPr>
        <w:tc>
          <w:tcPr>
            <w:tcW w:type="dxa" w:w="231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SOAR-CORE-01</w:t>
            </w:r>
          </w:p>
        </w:tc>
        <w:tc>
          <w:tcPr>
            <w:tcW w:type="dxa" w:w="455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Aloja todo; un compromiso de raíz anula los demás controles</w:t>
            </w:r>
          </w:p>
        </w:tc>
        <w:tc>
          <w:tcPr>
            <w:tcW w:type="dxa" w:w="115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Nicolás</w:t>
            </w:r>
          </w:p>
        </w:tc>
        <w:tc>
          <w:tcPr>
            <w:tcW w:type="dxa" w:w="137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Crítica</w:t>
            </w:r>
          </w:p>
        </w:tc>
      </w:tr>
      <w:tr>
        <w:trPr>
          <w:cantSplit/>
        </w:trPr>
        <w:tc>
          <w:tcPr>
            <w:tcW w:type="dxa" w:w="231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Repositorio y CI</w:t>
            </w:r>
          </w:p>
        </w:tc>
        <w:tc>
          <w:tcPr>
            <w:tcW w:type="dxa" w:w="455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Origen de todo lo que se despliega</w:t>
            </w:r>
          </w:p>
        </w:tc>
        <w:tc>
          <w:tcPr>
            <w:tcW w:type="dxa" w:w="115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Rodrigo</w:t>
            </w:r>
          </w:p>
        </w:tc>
        <w:tc>
          <w:tcPr>
            <w:tcW w:type="dxa" w:w="137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31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Cuentas de Telegram de los integrantes</w:t>
            </w:r>
          </w:p>
        </w:tc>
        <w:tc>
          <w:tcPr>
            <w:tcW w:type="dxa" w:w="455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Canal de aprobación del nivel 3</w:t>
            </w:r>
          </w:p>
        </w:tc>
        <w:tc>
          <w:tcPr>
            <w:tcW w:type="dxa" w:w="115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Cada integrante</w:t>
            </w:r>
          </w:p>
        </w:tc>
        <w:tc>
          <w:tcPr>
            <w:tcW w:type="dxa" w:w="137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Alta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03" w:name="_Toc0003"/>
      <w:r>
        <w:t>3. Modelo de amenazas</w:t>
      </w:r>
      <w:bookmarkEnd w:id="1003"/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4544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zonas_confianz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544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id="3001" w:name="_Fig00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</w:t>
      </w:r>
      <w:r>
        <w:fldChar w:fldCharType="end"/>
      </w:r>
      <w:r>
        <w:t xml:space="preserve">. </w:t>
      </w:r>
      <w:r>
        <w:t>Zonas de confianza</w:t>
      </w:r>
      <w:bookmarkEnd w:id="3001"/>
    </w:p>
    <w:p>
      <w:r>
        <w:t>La frontera más importante separa el texto de la alerta, que el atacante puede controlar, de cualquier acción sobre un equipo. El texto sólo llega al modelo, y el modelo sólo puede devolver un identificador del catálogo.</w:t>
      </w:r>
    </w:p>
    <w:p>
      <w:pPr>
        <w:pStyle w:val="Caption"/>
        <w:keepNext/>
        <w:spacing w:before="120" w:after="80"/>
      </w:pPr>
      <w:bookmarkStart w:id="5002" w:name="_Tab002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2</w:t>
      </w:r>
      <w:r>
        <w:fldChar w:fldCharType="end"/>
      </w:r>
      <w:r>
        <w:t xml:space="preserve">. </w:t>
      </w:r>
      <w:r>
        <w:t>Amenazas y controles</w:t>
      </w:r>
      <w:bookmarkEnd w:id="5002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651"/>
        <w:gridCol w:w="2677"/>
        <w:gridCol w:w="4196"/>
        <w:gridCol w:w="1881"/>
      </w:tblGrid>
      <w:tr>
        <w:trPr>
          <w:cantSplit/>
          <w:tblHeader/>
        </w:trPr>
        <w:tc>
          <w:tcPr>
            <w:tcW w:type="dxa" w:w="65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67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Amenaza</w:t>
            </w:r>
          </w:p>
        </w:tc>
        <w:tc>
          <w:tcPr>
            <w:tcW w:type="dxa" w:w="419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Controles</w:t>
            </w:r>
          </w:p>
        </w:tc>
        <w:tc>
          <w:tcPr>
            <w:tcW w:type="dxa" w:w="188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65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A1</w:t>
            </w:r>
          </w:p>
        </w:tc>
        <w:tc>
          <w:tcPr>
            <w:tcW w:type="dxa" w:w="267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Inyección de instrucciones en el texto de una alerta (por ejemplo, un nombre de usuario que ordena «responde F6»)</w:t>
            </w:r>
          </w:p>
        </w:tc>
        <w:tc>
          <w:tcPr>
            <w:tcW w:type="dxa" w:w="419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Regla de seguridad en los dos prompts; alerta al final del prompt; contrato JSON estricto; catálogo cerrado; chequeo 3 de familia; nivel fijo por playbook; R1</w:t>
            </w:r>
          </w:p>
        </w:tc>
        <w:tc>
          <w:tcPr>
            <w:tcW w:type="dxa" w:w="188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capas deterministas probadas con 10 casos (ESC-04); </w:t>
            </w: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medición contra el modelo</w:t>
            </w:r>
          </w:p>
        </w:tc>
      </w:tr>
      <w:tr>
        <w:trPr>
          <w:cantSplit/>
        </w:trPr>
        <w:tc>
          <w:tcPr>
            <w:tcW w:type="dxa" w:w="65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A2</w:t>
            </w:r>
          </w:p>
        </w:tc>
        <w:tc>
          <w:tcPr>
            <w:tcW w:type="dxa" w:w="267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Abuso de volumen: muchas alertas para provocar contenciones masivas</w:t>
            </w:r>
          </w:p>
        </w:tc>
        <w:tc>
          <w:tcPr>
            <w:tcW w:type="dxa" w:w="419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Contadores de tasa y cortacircuito (chequeo 5); sólo una persona cierra el cortacircuito</w:t>
            </w:r>
          </w:p>
        </w:tc>
        <w:tc>
          <w:tcPr>
            <w:tcW w:type="dxa" w:w="188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en el código; </w:t>
            </w: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contadores y topes</w:t>
            </w:r>
          </w:p>
        </w:tc>
      </w:tr>
      <w:tr>
        <w:trPr>
          <w:cantSplit/>
        </w:trPr>
        <w:tc>
          <w:tcPr>
            <w:tcW w:type="dxa" w:w="65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A3</w:t>
            </w:r>
          </w:p>
        </w:tc>
        <w:tc>
          <w:tcPr>
            <w:tcW w:type="dxa" w:w="267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Compromiso de SOAR-CORE-01</w:t>
            </w:r>
          </w:p>
        </w:tc>
        <w:tc>
          <w:tcPr>
            <w:tcW w:type="dxa" w:w="419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Servidor endurecido; SSH sólo con llave; firewall que deniega por defecto; fail2ban; administración sólo por NetBird; base sin puertos publicados</w:t>
            </w:r>
          </w:p>
        </w:tc>
        <w:tc>
          <w:tcPr>
            <w:tcW w:type="dxa" w:w="188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endurecimiento informado; </w:t>
            </w: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cierre de puertos en revisión (PR #7)</w:t>
            </w:r>
          </w:p>
        </w:tc>
      </w:tr>
      <w:tr>
        <w:trPr>
          <w:cantSplit/>
        </w:trPr>
        <w:tc>
          <w:tcPr>
            <w:tcW w:type="dxa" w:w="65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A4</w:t>
            </w:r>
          </w:p>
        </w:tc>
        <w:tc>
          <w:tcPr>
            <w:tcW w:type="dxa" w:w="267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El atacante apaga el agente del equipo comprometido</w:t>
            </w:r>
          </w:p>
        </w:tc>
        <w:tc>
          <w:tcPr>
            <w:tcW w:type="dxa" w:w="419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Latido y ticket por agente caído (RF-04)</w:t>
            </w:r>
          </w:p>
        </w:tc>
        <w:tc>
          <w:tcPr>
            <w:tcW w:type="dxa" w:w="188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65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A5</w:t>
            </w:r>
          </w:p>
        </w:tc>
        <w:tc>
          <w:tcPr>
            <w:tcW w:type="dxa" w:w="267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Robo de un token de enrolamiento para registrar un agente falso</w:t>
            </w:r>
          </w:p>
        </w:tc>
        <w:tc>
          <w:tcPr>
            <w:tcW w:type="dxa" w:w="419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Registro de agentes desde el servidor; 1515 sin publicar (D-17); tokens por inquilino</w:t>
            </w:r>
          </w:p>
        </w:tc>
        <w:tc>
          <w:tcPr>
            <w:tcW w:type="dxa" w:w="188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1515 cerrado según el PR #7</w:t>
            </w:r>
          </w:p>
        </w:tc>
      </w:tr>
      <w:tr>
        <w:trPr>
          <w:cantSplit/>
        </w:trPr>
        <w:tc>
          <w:tcPr>
            <w:tcW w:type="dxa" w:w="65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A6</w:t>
            </w:r>
          </w:p>
        </w:tc>
        <w:tc>
          <w:tcPr>
            <w:tcW w:type="dxa" w:w="267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Acceso no autorizado a SOAR-CONSOLE</w:t>
            </w:r>
          </w:p>
        </w:tc>
        <w:tc>
          <w:tcPr>
            <w:tcW w:type="dxa" w:w="419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Autenticación; vista filtrada por inquilino; TLS real</w:t>
            </w:r>
          </w:p>
        </w:tc>
        <w:tc>
          <w:tcPr>
            <w:tcW w:type="dxa" w:w="188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consola no existe; </w:t>
            </w:r>
            <w:r>
              <w:rPr>
                <w:b/>
                <w:color w:val="7A4A00"/>
                <w:sz w:val="19"/>
                <w:highlight w:val="yellow"/>
              </w:rPr>
              <w:t>[POR CONFIRMAR: método de autenticación de SOAR-CONSOLE y uso de segundo factor — preguntar a Rodrigo]</w:t>
            </w:r>
          </w:p>
        </w:tc>
      </w:tr>
      <w:tr>
        <w:trPr>
          <w:cantSplit/>
        </w:trPr>
        <w:tc>
          <w:tcPr>
            <w:tcW w:type="dxa" w:w="65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A7</w:t>
            </w:r>
          </w:p>
        </w:tc>
        <w:tc>
          <w:tcPr>
            <w:tcW w:type="dxa" w:w="267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Acceso no autorizado a la API de Wazuh, al Indexer o al Dashboard</w:t>
            </w:r>
          </w:p>
        </w:tc>
        <w:tc>
          <w:tcPr>
            <w:tcW w:type="dxa" w:w="419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Sólo por NetBird; usuario de API de permisos mínimos para EXECUTE; cambio de las tres contraseñas de Wazuh</w:t>
            </w:r>
          </w:p>
        </w:tc>
        <w:tc>
          <w:tcPr>
            <w:tcW w:type="dxa" w:w="188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cambio de contraseñas pendiente (Nicolás)</w:t>
            </w:r>
          </w:p>
        </w:tc>
      </w:tr>
      <w:tr>
        <w:trPr>
          <w:cantSplit/>
        </w:trPr>
        <w:tc>
          <w:tcPr>
            <w:tcW w:type="dxa" w:w="65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A8</w:t>
            </w:r>
          </w:p>
        </w:tc>
        <w:tc>
          <w:tcPr>
            <w:tcW w:type="dxa" w:w="267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Acceso no autorizado a NetBird</w:t>
            </w:r>
          </w:p>
        </w:tc>
        <w:tc>
          <w:tcPr>
            <w:tcW w:type="dxa" w:w="419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Cuentas nominales; roles mínimos</w:t>
            </w:r>
          </w:p>
        </w:tc>
        <w:tc>
          <w:tcPr>
            <w:tcW w:type="dxa" w:w="188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rol elevado de Rodrigo (R-06)</w:t>
            </w:r>
          </w:p>
        </w:tc>
      </w:tr>
      <w:tr>
        <w:trPr>
          <w:cantSplit/>
        </w:trPr>
        <w:tc>
          <w:tcPr>
            <w:tcW w:type="dxa" w:w="65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A9</w:t>
            </w:r>
          </w:p>
        </w:tc>
        <w:tc>
          <w:tcPr>
            <w:tcW w:type="dxa" w:w="267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Filtración de secretos por el repositorio</w:t>
            </w:r>
          </w:p>
        </w:tc>
        <w:tc>
          <w:tcPr>
            <w:tcW w:type="dxa" w:w="4196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.gitignore</w:t>
            </w:r>
            <w:r>
              <w:rPr>
                <w:sz w:val="19"/>
              </w:rPr>
              <w:t>; gitleaks en pre-commit y en el CI sobre todo el historial; secretos generados en el servidor (D-22)</w:t>
            </w:r>
          </w:p>
        </w:tc>
        <w:tc>
          <w:tcPr>
            <w:tcW w:type="dxa" w:w="188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65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A10</w:t>
            </w:r>
          </w:p>
        </w:tc>
        <w:tc>
          <w:tcPr>
            <w:tcW w:type="dxa" w:w="267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Alteración o borrado de la bitácora</w:t>
            </w:r>
          </w:p>
        </w:tc>
        <w:tc>
          <w:tcPr>
            <w:tcW w:type="dxa" w:w="419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Sólo inserción para todos los roles, superusuario incluido; cadena de hash por inquilino;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fn_verificar_cadena</w:t>
            </w:r>
          </w:p>
        </w:tc>
        <w:tc>
          <w:tcPr>
            <w:tcW w:type="dxa" w:w="188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>; límite: borrado de las últimas filas sin ancla externa (R-14)</w:t>
            </w:r>
          </w:p>
        </w:tc>
      </w:tr>
      <w:tr>
        <w:trPr>
          <w:cantSplit/>
        </w:trPr>
        <w:tc>
          <w:tcPr>
            <w:tcW w:type="dxa" w:w="65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A11</w:t>
            </w:r>
          </w:p>
        </w:tc>
        <w:tc>
          <w:tcPr>
            <w:tcW w:type="dxa" w:w="267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Robo de la cuenta de Telegram de un aprobador</w:t>
            </w:r>
          </w:p>
        </w:tc>
        <w:tc>
          <w:tcPr>
            <w:tcW w:type="dxa" w:w="419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Sólo el equipo aprueba (D-31); quien aprueba queda registrado; el rechazo exige justificación; la aprobación expira (Propuesta D-34)</w:t>
            </w:r>
          </w:p>
        </w:tc>
        <w:tc>
          <w:tcPr>
            <w:tcW w:type="dxa" w:w="188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; </w:t>
            </w:r>
            <w:r>
              <w:rPr>
                <w:b/>
                <w:color w:val="7A4A00"/>
                <w:sz w:val="19"/>
                <w:highlight w:val="yellow"/>
              </w:rPr>
              <w:t>[POR CONFIRMAR: verificación en dos pasos en las cuentas de Telegram de los aprobadores — preguntar al equipo]</w:t>
            </w:r>
          </w:p>
        </w:tc>
      </w:tr>
      <w:tr>
        <w:trPr>
          <w:cantSplit/>
        </w:trPr>
        <w:tc>
          <w:tcPr>
            <w:tcW w:type="dxa" w:w="65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A12</w:t>
            </w:r>
          </w:p>
        </w:tc>
        <w:tc>
          <w:tcPr>
            <w:tcW w:type="dxa" w:w="267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Error del modelo que propone una medida desproporcionada</w:t>
            </w:r>
          </w:p>
        </w:tc>
        <w:tc>
          <w:tcPr>
            <w:tcW w:type="dxa" w:w="419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Umbral de confianza 0,70; mapa de severidad (chequeo 6); lista de exclusión (chequeo 4); nivel 3 siempre con aprobación</w:t>
            </w:r>
          </w:p>
        </w:tc>
        <w:tc>
          <w:tcPr>
            <w:tcW w:type="dxa" w:w="188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en el código; </w:t>
            </w: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valores</w:t>
            </w:r>
          </w:p>
        </w:tc>
      </w:tr>
      <w:tr>
        <w:trPr>
          <w:cantSplit/>
        </w:trPr>
        <w:tc>
          <w:tcPr>
            <w:tcW w:type="dxa" w:w="65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A13</w:t>
            </w:r>
          </w:p>
        </w:tc>
        <w:tc>
          <w:tcPr>
            <w:tcW w:type="dxa" w:w="267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Uso indebido de la consola web de Contabo (VNC)</w:t>
            </w:r>
          </w:p>
        </w:tc>
        <w:tc>
          <w:tcPr>
            <w:tcW w:type="dxa" w:w="419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Desactivar el VNC cuando no se use</w:t>
            </w:r>
          </w:p>
        </w:tc>
        <w:tc>
          <w:tcPr>
            <w:tcW w:type="dxa" w:w="188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(Nicolás)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04" w:name="_Toc0004"/>
      <w:r>
        <w:t>4. Controles</w:t>
      </w:r>
      <w:bookmarkEnd w:id="1004"/>
    </w:p>
    <w:p>
      <w:pPr>
        <w:pStyle w:val="Heading2"/>
      </w:pPr>
      <w:bookmarkStart w:id="1005" w:name="_Toc0005"/>
      <w:r>
        <w:t>4.1 Controles de diseño</w:t>
      </w:r>
      <w:bookmarkEnd w:id="1005"/>
    </w:p>
    <w:p>
      <w:pPr>
        <w:pStyle w:val="Caption"/>
        <w:keepNext/>
        <w:spacing w:before="120" w:after="80"/>
      </w:pPr>
      <w:bookmarkStart w:id="5003" w:name="_Tab003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3</w:t>
      </w:r>
      <w:r>
        <w:fldChar w:fldCharType="end"/>
      </w:r>
      <w:r>
        <w:t xml:space="preserve">. </w:t>
      </w:r>
      <w:r>
        <w:t>Restricciones y controles de diseño</w:t>
      </w:r>
      <w:bookmarkEnd w:id="5003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881"/>
        <w:gridCol w:w="5209"/>
        <w:gridCol w:w="2315"/>
      </w:tblGrid>
      <w:tr>
        <w:trPr>
          <w:cantSplit/>
          <w:tblHeader/>
        </w:trPr>
        <w:tc>
          <w:tcPr>
            <w:tcW w:type="dxa" w:w="188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Control</w:t>
            </w:r>
          </w:p>
        </w:tc>
        <w:tc>
          <w:tcPr>
            <w:tcW w:type="dxa" w:w="5209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Descripción</w:t>
            </w:r>
          </w:p>
        </w:tc>
        <w:tc>
          <w:tcPr>
            <w:tcW w:type="dxa" w:w="2315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Referencia</w:t>
            </w:r>
          </w:p>
        </w:tc>
      </w:tr>
      <w:tr>
        <w:trPr>
          <w:cantSplit/>
        </w:trPr>
        <w:tc>
          <w:tcPr>
            <w:tcW w:type="dxa" w:w="188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R1</w:t>
            </w:r>
          </w:p>
        </w:tc>
        <w:tc>
          <w:tcPr>
            <w:tcW w:type="dxa" w:w="5209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decision/</w:t>
            </w:r>
            <w:r>
              <w:rPr>
                <w:sz w:val="19"/>
              </w:rPr>
              <w:t xml:space="preserve"> no importa la capa de efectos; se verifica en cada PR</w:t>
            </w:r>
          </w:p>
        </w:tc>
        <w:tc>
          <w:tcPr>
            <w:tcW w:type="dxa" w:w="231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Documento 09</w:t>
            </w:r>
          </w:p>
        </w:tc>
      </w:tr>
      <w:tr>
        <w:trPr>
          <w:cantSplit/>
        </w:trPr>
        <w:tc>
          <w:tcPr>
            <w:tcW w:type="dxa" w:w="188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R2</w:t>
            </w:r>
          </w:p>
        </w:tc>
        <w:tc>
          <w:tcPr>
            <w:tcW w:type="dxa" w:w="520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El catálogo no se amplía en caliente; el modelo no aprende</w:t>
            </w:r>
          </w:p>
        </w:tc>
        <w:tc>
          <w:tcPr>
            <w:tcW w:type="dxa" w:w="231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Documento 09</w:t>
            </w:r>
          </w:p>
        </w:tc>
      </w:tr>
      <w:tr>
        <w:trPr>
          <w:cantSplit/>
        </w:trPr>
        <w:tc>
          <w:tcPr>
            <w:tcW w:type="dxa" w:w="188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R3</w:t>
            </w:r>
          </w:p>
        </w:tc>
        <w:tc>
          <w:tcPr>
            <w:tcW w:type="dxa" w:w="520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Registro en la bitácora antes de ejecutar</w:t>
            </w:r>
          </w:p>
        </w:tc>
        <w:tc>
          <w:tcPr>
            <w:tcW w:type="dxa" w:w="231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Documento 09</w:t>
            </w:r>
          </w:p>
        </w:tc>
      </w:tr>
      <w:tr>
        <w:trPr>
          <w:cantSplit/>
        </w:trPr>
        <w:tc>
          <w:tcPr>
            <w:tcW w:type="dxa" w:w="188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R4</w:t>
            </w:r>
          </w:p>
        </w:tc>
        <w:tc>
          <w:tcPr>
            <w:tcW w:type="dxa" w:w="520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b/>
                <w:color w:val="7A4A00"/>
                <w:sz w:val="19"/>
                <w:highlight w:val="yellow"/>
              </w:rPr>
              <w:t>[POR CONFIRMAR: qué define la restricción R4 — preguntar al equipo]</w:t>
            </w:r>
          </w:p>
        </w:tc>
        <w:tc>
          <w:tcPr>
            <w:tcW w:type="dxa" w:w="231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88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Seis chequeos</w:t>
            </w:r>
          </w:p>
        </w:tc>
        <w:tc>
          <w:tcPr>
            <w:tcW w:type="dxa" w:w="520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Esquema, confianza ≥ 0,70, catálogo y familia, exclusión, tasa y cortacircuito, nivel por severidad</w:t>
            </w:r>
          </w:p>
        </w:tc>
        <w:tc>
          <w:tcPr>
            <w:tcW w:type="dxa" w:w="231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Documento 02</w:t>
            </w:r>
          </w:p>
        </w:tc>
      </w:tr>
      <w:tr>
        <w:trPr>
          <w:cantSplit/>
        </w:trPr>
        <w:tc>
          <w:tcPr>
            <w:tcW w:type="dxa" w:w="188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Falla segura</w:t>
            </w:r>
          </w:p>
        </w:tc>
        <w:tc>
          <w:tcPr>
            <w:tcW w:type="dxa" w:w="520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Ante cualquier duda, no se actúa y el caso pasa a una persona</w:t>
            </w:r>
          </w:p>
        </w:tc>
        <w:tc>
          <w:tcPr>
            <w:tcW w:type="dxa" w:w="231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Documento 02</w:t>
            </w:r>
          </w:p>
        </w:tc>
      </w:tr>
      <w:tr>
        <w:trPr>
          <w:cantSplit/>
        </w:trPr>
        <w:tc>
          <w:tcPr>
            <w:tcW w:type="dxa" w:w="188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Aprobación humana</w:t>
            </w:r>
          </w:p>
        </w:tc>
        <w:tc>
          <w:tcPr>
            <w:tcW w:type="dxa" w:w="520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El nivel 3 nunca se ejecuta sin un integrante del equipo; plazo de 2 días (D-32)</w:t>
            </w:r>
          </w:p>
        </w:tc>
        <w:tc>
          <w:tcPr>
            <w:tcW w:type="dxa" w:w="231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Documento 02</w:t>
            </w:r>
          </w:p>
        </w:tc>
      </w:tr>
      <w:tr>
        <w:trPr>
          <w:cantSplit/>
        </w:trPr>
        <w:tc>
          <w:tcPr>
            <w:tcW w:type="dxa" w:w="188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Revisión del nivel 2</w:t>
            </w:r>
          </w:p>
        </w:tc>
        <w:tc>
          <w:tcPr>
            <w:tcW w:type="dxa" w:w="520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Plazo de 2 días; recordatorio diario; sin reversión automática (D-33)</w:t>
            </w:r>
          </w:p>
        </w:tc>
        <w:tc>
          <w:tcPr>
            <w:tcW w:type="dxa" w:w="231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Documento 02</w:t>
            </w:r>
          </w:p>
        </w:tc>
      </w:tr>
    </w:tbl>
    <w:p>
      <w:pPr>
        <w:spacing w:after="40" w:line="192" w:lineRule="auto"/>
      </w:pPr>
    </w:p>
    <w:p>
      <w:pPr>
        <w:pStyle w:val="Heading2"/>
      </w:pPr>
      <w:bookmarkStart w:id="1006" w:name="_Toc0006"/>
      <w:r>
        <w:t>4.2 Controles de la base de datos</w:t>
      </w:r>
      <w:bookmarkEnd w:id="1006"/>
    </w:p>
    <w:p>
      <w:pPr>
        <w:pStyle w:val="Caption"/>
        <w:keepNext/>
        <w:spacing w:before="120" w:after="80"/>
      </w:pPr>
      <w:bookmarkStart w:id="5004" w:name="_Tab004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4</w:t>
      </w:r>
      <w:r>
        <w:fldChar w:fldCharType="end"/>
      </w:r>
      <w:r>
        <w:t xml:space="preserve">. </w:t>
      </w:r>
      <w:r>
        <w:t>Controles de SOAR-AUDIT</w:t>
      </w:r>
      <w:bookmarkEnd w:id="5004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460"/>
        <w:gridCol w:w="6946"/>
      </w:tblGrid>
      <w:tr>
        <w:trPr>
          <w:cantSplit/>
          <w:tblHeader/>
        </w:trPr>
        <w:tc>
          <w:tcPr>
            <w:tcW w:type="dxa" w:w="246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Control</w:t>
            </w:r>
          </w:p>
        </w:tc>
        <w:tc>
          <w:tcPr>
            <w:tcW w:type="dxa" w:w="6945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Detalle</w:t>
            </w:r>
          </w:p>
        </w:tc>
      </w:tr>
      <w:tr>
        <w:trPr>
          <w:cantSplit/>
        </w:trPr>
        <w:tc>
          <w:tcPr>
            <w:tcW w:type="dxa" w:w="246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Sin red externa</w:t>
            </w:r>
          </w:p>
        </w:tc>
        <w:tc>
          <w:tcPr>
            <w:tcW w:type="dxa" w:w="694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Red Docker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interna</w:t>
            </w:r>
            <w:r>
              <w:rPr>
                <w:sz w:val="19"/>
              </w:rPr>
              <w:t xml:space="preserve"> con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internal: true</w:t>
            </w:r>
            <w:r>
              <w:rPr>
                <w:sz w:val="19"/>
              </w:rPr>
              <w:t xml:space="preserve">: sin salida a internet ni acceso desde el host. Ningún puerto publicado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46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RLS forzada</w:t>
            </w:r>
          </w:p>
        </w:tc>
        <w:tc>
          <w:tcPr>
            <w:tcW w:type="dxa" w:w="694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Las cinco tablas tienen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tenant_id</w:t>
            </w:r>
            <w:r>
              <w:rPr>
                <w:sz w:val="19"/>
              </w:rPr>
              <w:t xml:space="preserve">, RLS habilitada y forzada. Sin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app.tenant_id</w:t>
            </w:r>
            <w:r>
              <w:rPr>
                <w:sz w:val="19"/>
              </w:rPr>
              <w:t xml:space="preserve"> fijado, la consulta falla (falla cerrada)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46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Roles mínimos</w:t>
            </w:r>
          </w:p>
        </w:tc>
        <w:tc>
          <w:tcPr>
            <w:tcW w:type="dxa" w:w="6945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kronos_worker</w:t>
            </w:r>
            <w:r>
              <w:rPr>
                <w:sz w:val="19"/>
              </w:rPr>
              <w:t xml:space="preserve"> sólo inserta y lee en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auditoria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cortacircuito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kronos_frontend</w:t>
            </w:r>
            <w:r>
              <w:rPr>
                <w:sz w:val="19"/>
              </w:rPr>
              <w:t xml:space="preserve"> sólo lee vistas filtradas del esquema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frontend</w:t>
            </w:r>
            <w:r>
              <w:rPr>
                <w:sz w:val="19"/>
              </w:rPr>
              <w:t xml:space="preserve">; ambos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NOSUPERUSER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NOBYPASSRLS</w:t>
            </w:r>
            <w:r>
              <w:rPr>
                <w:sz w:val="19"/>
              </w:rPr>
              <w:t xml:space="preserve">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46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Inmutabilidad</w:t>
            </w:r>
          </w:p>
        </w:tc>
        <w:tc>
          <w:tcPr>
            <w:tcW w:type="dxa" w:w="694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Triggers de sentencia rechazan UPDATE, DELETE y TRUNCATE en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auditoria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cortacircuito</w:t>
            </w:r>
            <w:r>
              <w:rPr>
                <w:sz w:val="19"/>
              </w:rPr>
              <w:t xml:space="preserve"> para todos los roles, activos aun con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session_replication_role = replica</w:t>
            </w:r>
            <w:r>
              <w:rPr>
                <w:sz w:val="19"/>
              </w:rPr>
              <w:t xml:space="preserve">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46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Cadena de hash</w:t>
            </w:r>
          </w:p>
        </w:tc>
        <w:tc>
          <w:tcPr>
            <w:tcW w:type="dxa" w:w="694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SHA-256 por fila, encadenado por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(tenant_id, seq)</w:t>
            </w:r>
            <w:r>
              <w:rPr>
                <w:sz w:val="19"/>
              </w:rPr>
              <w:t xml:space="preserve">; el trigger ignora lo que envíe el cliente;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UNIQUE (tenant_id, seq)</w:t>
            </w:r>
            <w:r>
              <w:rPr>
                <w:sz w:val="19"/>
              </w:rPr>
              <w:t xml:space="preserve"> impide bifurcar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246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Privilegios por defecto</w:t>
            </w:r>
          </w:p>
        </w:tc>
        <w:tc>
          <w:tcPr>
            <w:tcW w:type="dxa" w:w="694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Se revoca todo 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PUBLIC</w:t>
            </w:r>
            <w:r>
              <w:rPr>
                <w:sz w:val="19"/>
              </w:rPr>
              <w:t xml:space="preserve"> en la base y en los esquemas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</w:tbl>
    <w:p>
      <w:pPr>
        <w:spacing w:after="40" w:line="192" w:lineRule="auto"/>
      </w:pPr>
    </w:p>
    <w:p>
      <w:pPr>
        <w:pStyle w:val="Heading2"/>
      </w:pPr>
      <w:bookmarkStart w:id="1007" w:name="_Toc0007"/>
      <w:r>
        <w:t>4.3 Controles de red y del servidor</w:t>
      </w:r>
      <w:bookmarkEnd w:id="1007"/>
    </w:p>
    <w:p>
      <w:r>
        <w:t>Los puertos y su exposición están en el documento 09 (Documento de arquitectura). En resumen: sólo 1514 y, cuando exista la consola, 443 son públicos. SSH, la API de Wazuh, el Indexer y el Dashboard quedan detrás de NetBird.</w:t>
      </w:r>
    </w:p>
    <w:p>
      <w:pPr>
        <w:pStyle w:val="Heading2"/>
      </w:pPr>
      <w:bookmarkStart w:id="1008" w:name="_Toc0008"/>
      <w:r>
        <w:t>4.4 Controles del proceso de desarrollo</w:t>
      </w:r>
      <w:bookmarkEnd w:id="1008"/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t xml:space="preserve">gitleaks 8.30.1 en pre-commit y en el CI, sobre todo el historial </w:t>
      </w:r>
      <w:r>
        <w:rPr>
          <w:rFonts w:ascii="Segoe UI Emoji" w:hAnsi="Segoe UI Emoji"/>
        </w:rPr>
        <w:t>✅</w:t>
      </w:r>
      <w:r>
        <w:t>.</w:t>
      </w:r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t xml:space="preserve">Revisión del PR por otro integrante antes del merge. </w:t>
      </w:r>
      <w:r>
        <w:rPr>
          <w:rFonts w:ascii="Segoe UI Emoji" w:hAnsi="Segoe UI Emoji"/>
        </w:rPr>
        <w:t>⚠</w:t>
      </w:r>
      <w:r>
        <w:t xml:space="preserve"> En la práctica, los PR #2 a #6 se integraron sin revisión registrada en GitHub (ver documento 14, Proceso de integración continua).</w:t>
      </w:r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t xml:space="preserve">Despliegue sólo de lo versionado, empaquetado con </w:t>
      </w:r>
      <w:r>
        <w:rPr>
          <w:rFonts w:ascii="Consolas" w:hAnsi="Consolas"/>
          <w:sz w:val="19"/>
          <w:shd w:val="clear" w:color="auto" w:fill="F2F2F2"/>
        </w:rPr>
        <w:t>git archive</w:t>
      </w:r>
      <w:r>
        <w:t xml:space="preserve"> </w:t>
      </w:r>
      <w:r>
        <w:rPr>
          <w:rFonts w:ascii="Segoe UI Emoji" w:hAnsi="Segoe UI Emoji"/>
        </w:rPr>
        <w:t>✅</w:t>
      </w:r>
      <w:r>
        <w:t>.</w:t>
      </w:r>
    </w:p>
    <w:p>
      <w:pPr>
        <w:pStyle w:val="Viñeta"/>
        <w:tabs>
          <w:tab w:pos="510" w:val="left"/>
        </w:tabs>
        <w:spacing w:after="160"/>
      </w:pPr>
      <w:r>
        <w:rPr>
          <w:color w:val="1F3A5F"/>
        </w:rPr>
        <w:t>•</w:t>
        <w:tab/>
      </w:r>
      <w:r>
        <w:t xml:space="preserve">Secretos generados en el servidor, nunca en el repositorio ni en el paquete (D-22) </w:t>
      </w:r>
      <w:r>
        <w:rPr>
          <w:rFonts w:ascii="Segoe UI Emoji" w:hAnsi="Segoe UI Emoji"/>
        </w:rPr>
        <w:t>✅</w:t>
      </w:r>
      <w:r>
        <w:t>.</w:t>
      </w:r>
    </w:p>
    <w:p>
      <w:pPr>
        <w:pStyle w:val="Heading1"/>
      </w:pPr>
      <w:bookmarkStart w:id="1009" w:name="_Toc0009"/>
      <w:r>
        <w:t>5. Gestión de accesos</w:t>
      </w:r>
      <w:bookmarkEnd w:id="1009"/>
    </w:p>
    <w:p>
      <w:pPr>
        <w:pStyle w:val="Caption"/>
        <w:keepNext/>
        <w:spacing w:before="120" w:after="80"/>
      </w:pPr>
      <w:bookmarkStart w:id="5005" w:name="_Tab005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5</w:t>
      </w:r>
      <w:r>
        <w:fldChar w:fldCharType="end"/>
      </w:r>
      <w:r>
        <w:t xml:space="preserve">. </w:t>
      </w:r>
      <w:r>
        <w:t>Accesos y su estado</w:t>
      </w:r>
      <w:bookmarkEnd w:id="5005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170"/>
        <w:gridCol w:w="4486"/>
        <w:gridCol w:w="2749"/>
      </w:tblGrid>
      <w:tr>
        <w:trPr>
          <w:cantSplit/>
          <w:tblHeader/>
        </w:trPr>
        <w:tc>
          <w:tcPr>
            <w:tcW w:type="dxa" w:w="217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Acceso</w:t>
            </w:r>
          </w:p>
        </w:tc>
        <w:tc>
          <w:tcPr>
            <w:tcW w:type="dxa" w:w="448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Situación</w:t>
            </w:r>
          </w:p>
        </w:tc>
        <w:tc>
          <w:tcPr>
            <w:tcW w:type="dxa" w:w="2749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Panel de Contabo</w:t>
            </w:r>
          </w:p>
        </w:tc>
        <w:tc>
          <w:tcPr>
            <w:tcW w:type="dxa" w:w="448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Cuentas sin segundo factor por decisión del equipo (D-14)</w:t>
            </w:r>
          </w:p>
        </w:tc>
        <w:tc>
          <w:tcPr>
            <w:tcW w:type="dxa" w:w="274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Riesgo aceptado (R-07)</w:t>
            </w:r>
          </w:p>
        </w:tc>
      </w:tr>
      <w:tr>
        <w:trPr>
          <w:cantSplit/>
        </w:trPr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VNC de Contabo</w:t>
            </w:r>
          </w:p>
        </w:tc>
        <w:tc>
          <w:tcPr>
            <w:tcW w:type="dxa" w:w="448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Habilitado; debe desactivarse cuando no se use</w:t>
            </w:r>
          </w:p>
        </w:tc>
        <w:tc>
          <w:tcPr>
            <w:tcW w:type="dxa" w:w="274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SSH a SOAR-CORE-01</w:t>
            </w:r>
          </w:p>
        </w:tc>
        <w:tc>
          <w:tcPr>
            <w:tcW w:type="dxa" w:w="448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Usuario sin privilegios con sudo; sólo con llave; sin root directo</w:t>
            </w:r>
          </w:p>
        </w:tc>
        <w:tc>
          <w:tcPr>
            <w:tcW w:type="dxa" w:w="2749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informado</w:t>
            </w:r>
          </w:p>
        </w:tc>
      </w:tr>
      <w:tr>
        <w:trPr>
          <w:cantSplit/>
        </w:trPr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NetBird</w:t>
            </w:r>
          </w:p>
        </w:tc>
        <w:tc>
          <w:tcPr>
            <w:tcW w:type="dxa" w:w="448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Rodrigo tiene un rol elevado; revertirlo a usuario o acordar un respaldo con Nicolás</w:t>
            </w:r>
          </w:p>
        </w:tc>
        <w:tc>
          <w:tcPr>
            <w:tcW w:type="dxa" w:w="274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(R-06)</w:t>
            </w:r>
          </w:p>
        </w:tc>
      </w:tr>
      <w:tr>
        <w:trPr>
          <w:cantSplit/>
        </w:trPr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Wazuh (admin, API, Dashboard)</w:t>
            </w:r>
          </w:p>
        </w:tc>
        <w:tc>
          <w:tcPr>
            <w:tcW w:type="dxa" w:w="448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Tres contraseñas por cambiar desde los valores iniciales</w:t>
            </w:r>
          </w:p>
        </w:tc>
        <w:tc>
          <w:tcPr>
            <w:tcW w:type="dxa" w:w="2749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(Nicolás)</w:t>
            </w:r>
          </w:p>
        </w:tc>
      </w:tr>
      <w:tr>
        <w:trPr>
          <w:cantSplit/>
        </w:trPr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PostgreSQL</w:t>
            </w:r>
          </w:p>
        </w:tc>
        <w:tc>
          <w:tcPr>
            <w:tcW w:type="dxa" w:w="448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kronos_admin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kronos_worker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kronos_frontend</w:t>
            </w:r>
            <w:r>
              <w:rPr>
                <w:sz w:val="19"/>
              </w:rPr>
              <w:t xml:space="preserve"> con contraseñas generadas en el servidor</w:t>
            </w:r>
          </w:p>
        </w:tc>
        <w:tc>
          <w:tcPr>
            <w:tcW w:type="dxa" w:w="274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generadas; </w:t>
            </w: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resguardo en el gestor</w:t>
            </w:r>
          </w:p>
        </w:tc>
      </w:tr>
      <w:tr>
        <w:trPr>
          <w:cantSplit/>
        </w:trPr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Gestor de contraseñas</w:t>
            </w:r>
          </w:p>
        </w:tc>
        <w:tc>
          <w:tcPr>
            <w:tcW w:type="dxa" w:w="448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El equipo respondió «MFA». </w:t>
            </w:r>
            <w:r>
              <w:rPr>
                <w:b/>
                <w:color w:val="7A4A00"/>
                <w:sz w:val="19"/>
                <w:highlight w:val="yellow"/>
              </w:rPr>
              <w:t>[POR CONFIRMAR: qué gestor de contraseñas guarda los secretos del proyecto (D-29) — preguntar al equipo]</w:t>
            </w:r>
          </w:p>
        </w:tc>
        <w:tc>
          <w:tcPr>
            <w:tcW w:type="dxa" w:w="2749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(D-29)</w:t>
            </w:r>
          </w:p>
        </w:tc>
      </w:tr>
      <w:tr>
        <w:trPr>
          <w:cantSplit/>
        </w:trPr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GitHub</w:t>
            </w:r>
          </w:p>
        </w:tc>
        <w:tc>
          <w:tcPr>
            <w:tcW w:type="dxa" w:w="448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Repositorio privado; los PR aparecen creados desde la cuenta de la organización</w:t>
            </w:r>
          </w:p>
        </w:tc>
        <w:tc>
          <w:tcPr>
            <w:tcW w:type="dxa" w:w="274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10" w:name="_Toc0010"/>
      <w:r>
        <w:t>6. Monitoreo de la propia plataforma</w:t>
      </w:r>
      <w:bookmarkEnd w:id="1010"/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rPr>
          <w:b/>
        </w:rPr>
        <w:t>Latido de agentes:</w:t>
      </w:r>
      <w:r>
        <w:t xml:space="preserve"> un agente que deja de reportar abre un ticket </w:t>
      </w:r>
      <w:r>
        <w:rPr>
          <w:rFonts w:ascii="Segoe UI Emoji" w:hAnsi="Segoe UI Emoji"/>
        </w:rPr>
        <w:t>⏳</w:t>
      </w:r>
      <w:r>
        <w:t xml:space="preserve"> (RF-04).</w:t>
      </w:r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rPr>
          <w:b/>
        </w:rPr>
        <w:t>Verificación de la cadena:</w:t>
      </w:r>
      <w:r>
        <w:t xml:space="preserve"> </w:t>
      </w:r>
      <w:r>
        <w:rPr>
          <w:rFonts w:ascii="Consolas" w:hAnsi="Consolas"/>
          <w:sz w:val="19"/>
          <w:shd w:val="clear" w:color="auto" w:fill="F2F2F2"/>
        </w:rPr>
        <w:t>fn_verificar_cadena</w:t>
      </w:r>
      <w:r>
        <w:t xml:space="preserve"> se ejecuta a pedido desde la consola </w:t>
      </w:r>
      <w:r>
        <w:rPr>
          <w:rFonts w:ascii="Segoe UI Emoji" w:hAnsi="Segoe UI Emoji"/>
        </w:rPr>
        <w:t>⏳</w:t>
      </w:r>
      <w:r>
        <w:t xml:space="preserve"> y en cada restauración del respaldo (documento 19).</w:t>
      </w:r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rPr>
          <w:b/>
        </w:rPr>
        <w:t>Cortacircuito:</w:t>
      </w:r>
      <w:r>
        <w:t xml:space="preserve"> cada transición queda como una fila inmutable.</w:t>
      </w:r>
    </w:p>
    <w:p>
      <w:pPr>
        <w:pStyle w:val="Viñeta"/>
        <w:tabs>
          <w:tab w:pos="510" w:val="left"/>
        </w:tabs>
      </w:pPr>
      <w:r>
        <w:rPr>
          <w:color w:val="1F3A5F"/>
        </w:rPr>
        <w:t>•</w:t>
        <w:tab/>
      </w:r>
      <w:r>
        <w:rPr>
          <w:b/>
        </w:rPr>
        <w:t>Motor de inferencia:</w:t>
      </w:r>
      <w:r>
        <w:t xml:space="preserve"> su caída se registra como </w:t>
      </w:r>
      <w:r>
        <w:rPr>
          <w:rFonts w:ascii="Consolas" w:hAnsi="Consolas"/>
          <w:sz w:val="19"/>
          <w:shd w:val="clear" w:color="auto" w:fill="F2F2F2"/>
        </w:rPr>
        <w:t>MOTOR_INFERENCIA_NO_DISPONIBLE</w:t>
      </w:r>
      <w:r>
        <w:t xml:space="preserve"> en cada ticket afectado.</w:t>
      </w:r>
    </w:p>
    <w:p>
      <w:pPr>
        <w:pStyle w:val="Viñeta"/>
        <w:tabs>
          <w:tab w:pos="510" w:val="left"/>
        </w:tabs>
        <w:spacing w:after="160"/>
      </w:pPr>
      <w:r>
        <w:rPr>
          <w:color w:val="1F3A5F"/>
        </w:rPr>
        <w:t>•</w:t>
        <w:tab/>
      </w:r>
      <w:r>
        <w:rPr>
          <w:b/>
          <w:color w:val="8A2B0E"/>
        </w:rPr>
        <w:t>«Propuesta»</w:t>
      </w:r>
      <w:r>
        <w:t xml:space="preserve">: revisar una vez por semana los tickets en </w:t>
      </w:r>
      <w:r>
        <w:rPr>
          <w:rFonts w:ascii="Consolas" w:hAnsi="Consolas"/>
          <w:sz w:val="19"/>
          <w:shd w:val="clear" w:color="auto" w:fill="F2F2F2"/>
        </w:rPr>
        <w:t>MANUAL_TRIAGE</w:t>
      </w:r>
      <w:r>
        <w:t xml:space="preserve"> y las activaciones del cortacircuito, como parte del seguimiento del documento 08 (Seguimiento y control).</w:t>
      </w:r>
    </w:p>
    <w:p>
      <w:pPr>
        <w:pStyle w:val="Heading1"/>
      </w:pPr>
      <w:bookmarkStart w:id="1011" w:name="_Toc0011"/>
      <w:r>
        <w:t>7. Respuesta ante incidentes de la plataforma</w:t>
      </w:r>
      <w:bookmarkEnd w:id="1011"/>
    </w:p>
    <w:p>
      <w:r>
        <w:rPr>
          <w:b/>
          <w:color w:val="8A2B0E"/>
        </w:rPr>
        <w:t>«Propuesta»</w:t>
      </w:r>
      <w:r>
        <w:t xml:space="preserve"> de procedimiento. El equipo debe aprobarlo.</w:t>
      </w:r>
    </w:p>
    <w:p>
      <w:pPr>
        <w:pStyle w:val="Caption"/>
        <w:keepNext/>
        <w:spacing w:before="120" w:after="80"/>
      </w:pPr>
      <w:bookmarkStart w:id="5006" w:name="_Tab006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6</w:t>
      </w:r>
      <w:r>
        <w:fldChar w:fldCharType="end"/>
      </w:r>
      <w:r>
        <w:t xml:space="preserve">. </w:t>
      </w:r>
      <w:r>
        <w:t>Respuesta ante un incidente de la propia plataforma</w:t>
      </w:r>
      <w:bookmarkEnd w:id="5006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736"/>
        <w:gridCol w:w="7669"/>
      </w:tblGrid>
      <w:tr>
        <w:trPr>
          <w:cantSplit/>
          <w:tblHeader/>
        </w:trPr>
        <w:tc>
          <w:tcPr>
            <w:tcW w:type="dxa" w:w="173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type="dxa" w:w="7669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Acción</w:t>
            </w:r>
          </w:p>
        </w:tc>
      </w:tr>
      <w:tr>
        <w:trPr>
          <w:cantSplit/>
        </w:trPr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1. Contener</w:t>
            </w:r>
          </w:p>
        </w:tc>
        <w:tc>
          <w:tcPr>
            <w:tcW w:type="dxa" w:w="766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Abrir el cortacircuito de todos los ámbitos para detener cualquier acción automática</w:t>
            </w:r>
          </w:p>
        </w:tc>
      </w:tr>
      <w:tr>
        <w:trPr>
          <w:cantSplit/>
        </w:trPr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2. Avisar</w:t>
            </w:r>
          </w:p>
        </w:tc>
        <w:tc>
          <w:tcPr>
            <w:tcW w:type="dxa" w:w="766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Avisar a los tres integrantes por un canal distinto del posiblemente comprometido. Si hay clientes afectados, avisar a su encargado</w:t>
            </w:r>
          </w:p>
        </w:tc>
      </w:tr>
      <w:tr>
        <w:trPr>
          <w:cantSplit/>
        </w:trPr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3. Preservar</w:t>
            </w:r>
          </w:p>
        </w:tc>
        <w:tc>
          <w:tcPr>
            <w:tcW w:type="dxa" w:w="766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No reiniciar ni borrar. Copiar la bitácora y los registros de Wazuh y verificar la cadena</w:t>
            </w:r>
          </w:p>
        </w:tc>
      </w:tr>
      <w:tr>
        <w:trPr>
          <w:cantSplit/>
        </w:trPr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4. Revocar</w:t>
            </w:r>
          </w:p>
        </w:tc>
        <w:tc>
          <w:tcPr>
            <w:tcW w:type="dxa" w:w="766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Rotar los secretos expuestos según el documento 20 (Procedimiento de gestión de secretos). Un secreto que entró al historial de git se rota aunque se borre</w:t>
            </w:r>
          </w:p>
        </w:tc>
      </w:tr>
      <w:tr>
        <w:trPr>
          <w:cantSplit/>
        </w:trPr>
        <w:tc>
          <w:tcPr>
            <w:tcW w:type="dxa" w:w="173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5. Recuperar</w:t>
            </w:r>
          </w:p>
        </w:tc>
        <w:tc>
          <w:tcPr>
            <w:tcW w:type="dxa" w:w="766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Restaurar desde el último respaldo verificado (documento 19) y comprobar la cadena</w:t>
            </w:r>
          </w:p>
        </w:tc>
      </w:tr>
      <w:tr>
        <w:trPr>
          <w:cantSplit/>
        </w:trPr>
        <w:tc>
          <w:tcPr>
            <w:tcW w:type="dxa" w:w="173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6. Revisar</w:t>
            </w:r>
          </w:p>
        </w:tc>
        <w:tc>
          <w:tcPr>
            <w:tcW w:type="dxa" w:w="766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Dejar un registro de trabajo con causa, línea de tiempo y lecciones; actualizar este documento</w:t>
            </w:r>
          </w:p>
        </w:tc>
      </w:tr>
    </w:tbl>
    <w:p>
      <w:pPr>
        <w:spacing w:after="40" w:line="192" w:lineRule="auto"/>
      </w:pPr>
    </w:p>
    <w:p>
      <w:r>
        <w:rPr>
          <w:b/>
          <w:color w:val="7A4A00"/>
          <w:highlight w:val="yellow"/>
        </w:rPr>
        <w:t>[POR CONFIRMAR: si un incidente de la plataforma con datos de la farmacia exige avisar a algún organismo y en qué plazo — preguntar al profesor guía]</w:t>
      </w:r>
    </w:p>
    <w:p>
      <w:pPr>
        <w:pStyle w:val="Heading1"/>
      </w:pPr>
      <w:bookmarkStart w:id="1012" w:name="_Toc0012"/>
      <w:r>
        <w:t>8. Cumplimiento normativo (borrador)</w:t>
      </w:r>
      <w:bookmarkEnd w:id="1012"/>
    </w:p>
    <w:p>
      <w:pPr>
        <w:pStyle w:val="Nota"/>
      </w:pPr>
      <w:r>
        <w:rPr>
          <w:b/>
          <w:sz w:val="20"/>
        </w:rPr>
        <w:t>Borrador técnico.</w:t>
      </w:r>
      <w:r>
        <w:rPr>
          <w:sz w:val="20"/>
        </w:rPr>
        <w:t xml:space="preserve"> Esta sección no es una opinión legal. Requiere revisión del profesor guía o de una asesoría legal antes de usarse frente a un cliente.</w:t>
      </w:r>
    </w:p>
    <w:p>
      <w:pPr>
        <w:pStyle w:val="Caption"/>
        <w:keepNext/>
        <w:spacing w:before="120" w:after="80"/>
      </w:pPr>
      <w:bookmarkStart w:id="5007" w:name="_Tab007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7</w:t>
      </w:r>
      <w:r>
        <w:fldChar w:fldCharType="end"/>
      </w:r>
      <w:r>
        <w:t xml:space="preserve">. </w:t>
      </w:r>
      <w:r>
        <w:t>Matriz de cumplimiento (borrador)</w:t>
      </w:r>
      <w:bookmarkEnd w:id="5007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387"/>
        <w:gridCol w:w="4124"/>
        <w:gridCol w:w="2894"/>
      </w:tblGrid>
      <w:tr>
        <w:trPr>
          <w:cantSplit/>
          <w:tblHeader/>
        </w:trPr>
        <w:tc>
          <w:tcPr>
            <w:tcW w:type="dxa" w:w="238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Exigencia</w:t>
            </w:r>
          </w:p>
        </w:tc>
        <w:tc>
          <w:tcPr>
            <w:tcW w:type="dxa" w:w="412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Cómo la atiende Kronos</w:t>
            </w:r>
          </w:p>
        </w:tc>
        <w:tc>
          <w:tcPr>
            <w:tcW w:type="dxa" w:w="289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238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Ley 19.628 modificada por la Ley 21.719 (vigencia de las modificaciones: 1 de diciembre de 2026 </w:t>
            </w: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>). Proporcionalidad</w:t>
            </w:r>
          </w:p>
        </w:tc>
        <w:tc>
          <w:tcPr>
            <w:tcW w:type="dxa" w:w="412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Niveles de autonomía fijos por playbook; el nivel 3 siempre con aprobación humana</w:t>
            </w:r>
          </w:p>
        </w:tc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por diseño</w:t>
            </w:r>
          </w:p>
        </w:tc>
      </w:tr>
      <w:tr>
        <w:trPr>
          <w:cantSplit/>
        </w:trPr>
        <w:tc>
          <w:tcPr>
            <w:tcW w:type="dxa" w:w="23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Ley 21.719. Responsabilidad proactiva</w:t>
            </w:r>
          </w:p>
        </w:tc>
        <w:tc>
          <w:tcPr>
            <w:tcW w:type="dxa" w:w="412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Registro de la decisión antes de actuar; bitácora inmutable y verificable</w:t>
            </w:r>
          </w:p>
        </w:tc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esquema; </w:t>
            </w: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servicio</w:t>
            </w:r>
          </w:p>
        </w:tc>
      </w:tr>
      <w:tr>
        <w:trPr>
          <w:cantSplit/>
        </w:trPr>
        <w:tc>
          <w:tcPr>
            <w:tcW w:type="dxa" w:w="238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Ley 21.719. Minimización</w:t>
            </w:r>
          </w:p>
        </w:tc>
        <w:tc>
          <w:tcPr>
            <w:tcW w:type="dxa" w:w="412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No se leen recetas, fichas, datos médicos ni contenidos de documentos, correos o bases de datos</w:t>
            </w:r>
          </w:p>
        </w:tc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por diseño</w:t>
            </w:r>
          </w:p>
        </w:tc>
      </w:tr>
      <w:tr>
        <w:trPr>
          <w:cantSplit/>
        </w:trPr>
        <w:tc>
          <w:tcPr>
            <w:tcW w:type="dxa" w:w="23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Ley 21.719. Información a la persona afectada</w:t>
            </w:r>
          </w:p>
        </w:tc>
        <w:tc>
          <w:tcPr>
            <w:tcW w:type="dxa" w:w="412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Aviso por correo electrónico, enviado a mano por un integrante del equipo, para cada medida de nivel 2 (D-35)</w:t>
            </w:r>
          </w:p>
        </w:tc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; </w:t>
            </w:r>
            <w:r>
              <w:rPr>
                <w:b/>
                <w:color w:val="004D40"/>
                <w:sz w:val="19"/>
                <w:highlight w:val="cyan"/>
              </w:rPr>
              <w:t>[PENDIENTE: posterior a la instalación en la farmacia — correos de contacto para el aviso a las personas afectadas]</w:t>
            </w:r>
          </w:p>
        </w:tc>
      </w:tr>
      <w:tr>
        <w:trPr>
          <w:cantSplit/>
        </w:trPr>
        <w:tc>
          <w:tcPr>
            <w:tcW w:type="dxa" w:w="238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Ley 21.719. Transferencia internacional</w:t>
            </w:r>
          </w:p>
        </w:tc>
        <w:tc>
          <w:tcPr>
            <w:tcW w:type="dxa" w:w="412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El servidor está en Francia. Acuerdo de tratamiento con el proveedor</w:t>
            </w:r>
          </w:p>
        </w:tc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BR-05, documento 18 (pendiente)</w:t>
            </w:r>
          </w:p>
        </w:tc>
      </w:tr>
      <w:tr>
        <w:trPr>
          <w:cantSplit/>
        </w:trPr>
        <w:tc>
          <w:tcPr>
            <w:tcW w:type="dxa" w:w="23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Ley 21.663, artículo 8, letra b)</w:t>
            </w:r>
          </w:p>
        </w:tc>
        <w:tc>
          <w:tcPr>
            <w:tcW w:type="dxa" w:w="412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Obliga a los operadores de importancia vital a registrar las acciones de su sistema de gestión de seguridad. No fija un plazo de conservación. No se afirma que la farmacia esté obligada por esta ley</w:t>
            </w:r>
          </w:p>
        </w:tc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Referencia</w:t>
            </w:r>
          </w:p>
        </w:tc>
      </w:tr>
      <w:tr>
        <w:trPr>
          <w:cantSplit/>
        </w:trPr>
        <w:tc>
          <w:tcPr>
            <w:tcW w:type="dxa" w:w="238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Retención de 2 años</w:t>
            </w:r>
          </w:p>
        </w:tc>
        <w:tc>
          <w:tcPr>
            <w:tcW w:type="dxa" w:w="412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Decisión interna (D-27), fundada en la Ley 21.663 y proporcional según la Ley 21.719. Ninguna de las dos leyes fija ese plazo</w:t>
            </w:r>
          </w:p>
        </w:tc>
        <w:tc>
          <w:tcPr>
            <w:tcW w:type="dxa" w:w="2894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política en el documento 18 (pendiente)</w:t>
            </w:r>
          </w:p>
        </w:tc>
      </w:tr>
      <w:tr>
        <w:trPr>
          <w:cantSplit/>
        </w:trPr>
        <w:tc>
          <w:tcPr>
            <w:tcW w:type="dxa" w:w="23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Requisitos previos a instalar</w:t>
            </w:r>
          </w:p>
        </w:tc>
        <w:tc>
          <w:tcPr>
            <w:tcW w:type="dxa" w:w="412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Autorización escrita, aviso a los trabajadores y aceptación de la contención: cubiertos por los tres documentos firmados</w:t>
            </w:r>
          </w:p>
        </w:tc>
        <w:tc>
          <w:tcPr>
            <w:tcW w:type="dxa" w:w="28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13" w:name="_Toc0013"/>
      <w:r>
        <w:t>9. Riesgos residuales</w:t>
      </w:r>
      <w:bookmarkEnd w:id="1013"/>
    </w:p>
    <w:p>
      <w:pPr>
        <w:pStyle w:val="Caption"/>
        <w:keepNext/>
        <w:spacing w:before="120" w:after="80"/>
      </w:pPr>
      <w:bookmarkStart w:id="5008" w:name="_Tab008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8</w:t>
      </w:r>
      <w:r>
        <w:fldChar w:fldCharType="end"/>
      </w:r>
      <w:r>
        <w:t xml:space="preserve">. </w:t>
      </w:r>
      <w:r>
        <w:t>Riesgos residuales de seguridad</w:t>
      </w:r>
      <w:bookmarkEnd w:id="5008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940"/>
        <w:gridCol w:w="6295"/>
        <w:gridCol w:w="2170"/>
      </w:tblGrid>
      <w:tr>
        <w:trPr>
          <w:cantSplit/>
          <w:tblHeader/>
        </w:trPr>
        <w:tc>
          <w:tcPr>
            <w:tcW w:type="dxa" w:w="94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629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Riesgo</w:t>
            </w:r>
          </w:p>
        </w:tc>
        <w:tc>
          <w:tcPr>
            <w:tcW w:type="dxa" w:w="217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Tratamiento</w:t>
            </w:r>
          </w:p>
        </w:tc>
      </w:tr>
      <w:tr>
        <w:trPr>
          <w:cantSplit/>
        </w:trPr>
        <w:tc>
          <w:tcPr>
            <w:tcW w:type="dxa" w:w="94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R-01</w:t>
            </w:r>
          </w:p>
        </w:tc>
        <w:tc>
          <w:tcPr>
            <w:tcW w:type="dxa" w:w="62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No existe respaldo de SOAR-AUDIT ni de la configuración de Wazuh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Documento 19</w:t>
            </w:r>
          </w:p>
        </w:tc>
      </w:tr>
      <w:tr>
        <w:trPr>
          <w:cantSplit/>
        </w:trPr>
        <w:tc>
          <w:tcPr>
            <w:tcW w:type="dxa" w:w="9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R-05</w:t>
            </w:r>
          </w:p>
        </w:tc>
        <w:tc>
          <w:tcPr>
            <w:tcW w:type="dxa" w:w="62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Los secretos del servidor no se pueden recuperar si no se guardan en el gestor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Documento 20</w:t>
            </w:r>
          </w:p>
        </w:tc>
      </w:tr>
      <w:tr>
        <w:trPr>
          <w:cantSplit/>
        </w:trPr>
        <w:tc>
          <w:tcPr>
            <w:tcW w:type="dxa" w:w="94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R-06</w:t>
            </w:r>
          </w:p>
        </w:tc>
        <w:tc>
          <w:tcPr>
            <w:tcW w:type="dxa" w:w="62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Rol elevado de Rodrigo en NetBird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Revertir o acordar respaldo</w:t>
            </w:r>
          </w:p>
        </w:tc>
      </w:tr>
      <w:tr>
        <w:trPr>
          <w:cantSplit/>
        </w:trPr>
        <w:tc>
          <w:tcPr>
            <w:tcW w:type="dxa" w:w="9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R-07</w:t>
            </w:r>
          </w:p>
        </w:tc>
        <w:tc>
          <w:tcPr>
            <w:tcW w:type="dxa" w:w="62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Cuentas de Contabo sin 2FA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Aceptado (D-14)</w:t>
            </w:r>
          </w:p>
        </w:tc>
      </w:tr>
      <w:tr>
        <w:trPr>
          <w:cantSplit/>
        </w:trPr>
        <w:tc>
          <w:tcPr>
            <w:tcW w:type="dxa" w:w="94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R-10</w:t>
            </w:r>
          </w:p>
        </w:tc>
        <w:tc>
          <w:tcPr>
            <w:tcW w:type="dxa" w:w="62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La copia de respaldo, con datos de clientes reales, queda en un PC personal (D-26)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Condiciones en el documento 19</w:t>
            </w:r>
          </w:p>
        </w:tc>
      </w:tr>
      <w:tr>
        <w:trPr>
          <w:cantSplit/>
        </w:trPr>
        <w:tc>
          <w:tcPr>
            <w:tcW w:type="dxa" w:w="9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R-12</w:t>
            </w:r>
          </w:p>
        </w:tc>
        <w:tc>
          <w:tcPr>
            <w:tcW w:type="dxa" w:w="62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Sin inspección de tráfico no se detecta fuga de datos en el contenido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Aceptado; DNS y conexiones de Sysmon</w:t>
            </w:r>
          </w:p>
        </w:tc>
      </w:tr>
      <w:tr>
        <w:trPr>
          <w:cantSplit/>
        </w:trPr>
        <w:tc>
          <w:tcPr>
            <w:tcW w:type="dxa" w:w="94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R-13</w:t>
            </w:r>
          </w:p>
        </w:tc>
        <w:tc>
          <w:tcPr>
            <w:tcW w:type="dxa" w:w="62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La consola necesita escribir y su rol es de sólo lectura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Documento 10 (pendiente)</w:t>
            </w:r>
          </w:p>
        </w:tc>
      </w:tr>
      <w:tr>
        <w:trPr>
          <w:cantSplit/>
        </w:trPr>
        <w:tc>
          <w:tcPr>
            <w:tcW w:type="dxa" w:w="9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R-14</w:t>
            </w:r>
          </w:p>
        </w:tc>
        <w:tc>
          <w:tcPr>
            <w:tcW w:type="dxa" w:w="629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Sin ancla externa no se detecta el borrado de las últimas filas</w:t>
            </w:r>
          </w:p>
        </w:tc>
        <w:tc>
          <w:tcPr>
            <w:tcW w:type="dxa" w:w="21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Documento 10 (pendiente)</w:t>
            </w:r>
          </w:p>
        </w:tc>
      </w:tr>
      <w:tr>
        <w:trPr>
          <w:cantSplit/>
        </w:trPr>
        <w:tc>
          <w:tcPr>
            <w:tcW w:type="dxa" w:w="94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R-16</w:t>
            </w:r>
          </w:p>
        </w:tc>
        <w:tc>
          <w:tcPr>
            <w:tcW w:type="dxa" w:w="629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La contención sólo opera donde hay agente</w:t>
            </w:r>
          </w:p>
        </w:tc>
        <w:tc>
          <w:tcPr>
            <w:tcW w:type="dxa" w:w="21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Límite declarado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14" w:name="_Toc0014"/>
      <w:r>
        <w:t>10. Referencias</w:t>
      </w:r>
      <w:bookmarkEnd w:id="1014"/>
    </w:p>
    <w:p>
      <w:pPr>
        <w:ind w:left="567" w:hanging="567"/>
      </w:pPr>
      <w:r>
        <w:rPr>
          <w:sz w:val="20"/>
        </w:rPr>
        <w:t>Pantaleo, G., y Rinaudo, L. (</w:t>
      </w:r>
      <w:r>
        <w:rPr>
          <w:b/>
          <w:color w:val="7A4A00"/>
          <w:sz w:val="20"/>
          <w:highlight w:val="yellow"/>
        </w:rPr>
        <w:t>[POR CONFIRMAR: año y edición, tomados de la portada del libro — preguntar a Patricio]</w:t>
      </w:r>
      <w:r>
        <w:rPr>
          <w:sz w:val="20"/>
        </w:rPr>
        <w:t xml:space="preserve">). </w:t>
      </w:r>
      <w:r>
        <w:rPr>
          <w:i/>
          <w:sz w:val="20"/>
        </w:rPr>
        <w:t>Ingeniería de software</w:t>
      </w:r>
      <w:r>
        <w:rPr>
          <w:sz w:val="20"/>
        </w:rPr>
        <w:t>. Alfaomega.</w:t>
      </w:r>
    </w:p>
    <w:p>
      <w:pPr>
        <w:ind w:left="567" w:hanging="567"/>
      </w:pPr>
      <w:r>
        <w:rPr>
          <w:sz w:val="20"/>
        </w:rPr>
        <w:t xml:space="preserve">Ley N.° 19.628, sobre protección de la vida privada. (1999). </w:t>
      </w:r>
      <w:r>
        <w:rPr>
          <w:i/>
          <w:sz w:val="20"/>
        </w:rPr>
        <w:t>Diario Oficial de la República de Chile</w:t>
      </w:r>
      <w:r>
        <w:rPr>
          <w:sz w:val="20"/>
        </w:rPr>
        <w:t>.</w:t>
      </w:r>
    </w:p>
    <w:p>
      <w:pPr>
        <w:ind w:left="567" w:hanging="567"/>
      </w:pPr>
      <w:r>
        <w:rPr>
          <w:sz w:val="20"/>
        </w:rPr>
        <w:t xml:space="preserve">Ley N.° 21.719, que regula la protección y el tratamiento de los datos personales y crea la Agencia de Protección de Datos Personales. (2024). </w:t>
      </w:r>
      <w:r>
        <w:rPr>
          <w:i/>
          <w:sz w:val="20"/>
        </w:rPr>
        <w:t>Diario Oficial de la República de Chile</w:t>
      </w:r>
      <w:r>
        <w:rPr>
          <w:sz w:val="20"/>
        </w:rPr>
        <w:t>.</w:t>
      </w:r>
    </w:p>
    <w:p>
      <w:pPr>
        <w:ind w:left="567" w:hanging="567"/>
      </w:pPr>
      <w:r>
        <w:rPr>
          <w:sz w:val="20"/>
        </w:rPr>
        <w:t xml:space="preserve">Ley N.° 21.663, Ley Marco de Ciberseguridad. (2024). </w:t>
      </w:r>
      <w:r>
        <w:rPr>
          <w:i/>
          <w:sz w:val="20"/>
        </w:rPr>
        <w:t>Diario Oficial de la República de Chile</w:t>
      </w:r>
      <w:r>
        <w:rPr>
          <w:sz w:val="20"/>
        </w:rPr>
        <w:t>.</w:t>
      </w:r>
    </w:p>
    <w:p>
      <w:pPr>
        <w:ind w:left="567" w:hanging="567"/>
      </w:pPr>
      <w:r>
        <w:rPr>
          <w:sz w:val="20"/>
        </w:rPr>
        <w:t xml:space="preserve">Equipo Kronos AI. (2026). </w:t>
      </w:r>
      <w:r>
        <w:rPr>
          <w:i/>
          <w:sz w:val="20"/>
        </w:rPr>
        <w:t>Kronos AI — Contexto maestro para la redacción de documentos</w:t>
      </w:r>
      <w:r>
        <w:rPr>
          <w:sz w:val="20"/>
        </w:rPr>
        <w:t xml:space="preserve"> (versión 2.1, 14-10-2026) [Documento interno].</w:t>
      </w:r>
    </w:p>
    <w:p>
      <w:pPr>
        <w:ind w:left="567" w:hanging="567"/>
      </w:pPr>
      <w:r>
        <w:rPr>
          <w:sz w:val="20"/>
        </w:rPr>
        <w:t xml:space="preserve">Equipo Kronos AI. (2026). </w:t>
      </w:r>
      <w:r>
        <w:rPr>
          <w:i/>
          <w:sz w:val="20"/>
        </w:rPr>
        <w:t>soarai2026/kronos-ai</w:t>
      </w:r>
      <w:r>
        <w:rPr>
          <w:sz w:val="20"/>
        </w:rPr>
        <w:t xml:space="preserve"> [Repositorio privado, rama develop]. GitHub.</w:t>
      </w:r>
    </w:p>
    <w:p>
      <w:pPr>
        <w:ind w:left="567" w:hanging="567"/>
      </w:pPr>
      <w:r>
        <w:rPr>
          <w:sz w:val="20"/>
        </w:rPr>
        <w:t xml:space="preserve">Riveros, R. (2026). </w:t>
      </w:r>
      <w:r>
        <w:rPr>
          <w:i/>
          <w:sz w:val="20"/>
        </w:rPr>
        <w:t>Registro de trabajo KRO-LOG-RR-2026-10-08</w:t>
      </w:r>
      <w:r>
        <w:rPr>
          <w:sz w:val="20"/>
        </w:rPr>
        <w:t xml:space="preserve"> [Documento interno].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05" w:val="right"/>
      </w:tabs>
      <w:pBdr>
        <w:top w:val="single" w:sz="4" w:space="4" w:color="BFBFBF"/>
      </w:pBdr>
    </w:pPr>
    <w:r>
      <w:rPr>
        <w:color w:val="6B6B6B"/>
        <w:sz w:val="18"/>
      </w:rPr>
      <w:t>Uso interno · Versión 0.1</w:t>
    </w:r>
    <w:r>
      <w:rPr>
        <w:color w:val="6B6B6B"/>
        <w:sz w:val="18"/>
      </w:rPr>
      <w:tab/>
      <w:t xml:space="preserve">Página </w:t>
    </w:r>
    <w:r>
      <w:rPr>
        <w:color w:val="6B6B6B"/>
        <w:sz w:val="18"/>
      </w:rPr>
      <w:fldChar w:fldCharType="begin"/>
    </w:r>
    <w:r>
      <w:rPr>
        <w:color w:val="6B6B6B"/>
        <w:sz w:val="18"/>
      </w:rPr>
      <w:instrText xml:space="preserve"> PAGE </w:instrText>
    </w:r>
    <w:r>
      <w:rPr>
        <w:color w:val="6B6B6B"/>
        <w:sz w:val="18"/>
      </w:rPr>
      <w:fldChar w:fldCharType="separate"/>
    </w:r>
    <w:r>
      <w:rPr>
        <w:color w:val="6B6B6B"/>
        <w:sz w:val="18"/>
      </w:rPr>
      <w:t>1</w:t>
    </w:r>
    <w:r>
      <w:rPr>
        <w:color w:val="6B6B6B"/>
        <w:sz w:val="18"/>
      </w:rPr>
      <w:fldChar w:fldCharType="end"/>
    </w:r>
    <w:r>
      <w:rPr>
        <w:color w:val="6B6B6B"/>
        <w:sz w:val="18"/>
      </w:rPr>
      <w:t xml:space="preserve"> de </w:t>
    </w:r>
    <w:r>
      <w:rPr>
        <w:color w:val="6B6B6B"/>
        <w:sz w:val="18"/>
      </w:rPr>
      <w:fldChar w:fldCharType="begin"/>
    </w:r>
    <w:r>
      <w:rPr>
        <w:color w:val="6B6B6B"/>
        <w:sz w:val="18"/>
      </w:rPr>
      <w:instrText xml:space="preserve"> NUMPAGES </w:instrText>
    </w:r>
    <w:r>
      <w:rPr>
        <w:color w:val="6B6B6B"/>
        <w:sz w:val="18"/>
      </w:rPr>
      <w:fldChar w:fldCharType="separate"/>
    </w:r>
    <w:r>
      <w:rPr>
        <w:color w:val="6B6B6B"/>
        <w:sz w:val="18"/>
      </w:rPr>
      <w:t>1</w:t>
    </w:r>
    <w:r>
      <w:rPr>
        <w:color w:val="6B6B6B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05" w:val="right"/>
      </w:tabs>
      <w:pBdr>
        <w:bottom w:val="single" w:sz="4" w:space="4" w:color="BFBFBF"/>
      </w:pBdr>
    </w:pPr>
    <w:r>
      <w:rPr>
        <w:b/>
        <w:color w:val="1F3A5F"/>
        <w:sz w:val="18"/>
      </w:rPr>
      <w:t>Kronos AI</w:t>
    </w:r>
    <w:r>
      <w:rPr>
        <w:color w:val="6B6B6B"/>
        <w:sz w:val="18"/>
      </w:rPr>
      <w:tab/>
      <w:t>Documento 17 · Seguridad de la plataforma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</w:pPr>
    <w:rPr>
      <w:rFonts w:ascii="Calibri" w:hAnsi="Calibri" w:eastAsia="Calibri"/>
      <w:sz w:val="22"/>
      <w:lang w:val="es-CL" w:eastAsia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40" w:lineRule="auto"/>
      <w:outlineLvl w:val="0"/>
      <w:pBdr>
        <w:bottom w:val="single" w:sz="6" w:space="4" w:color="1F3A5F"/>
      </w:pBdr>
    </w:pPr>
    <w:rPr>
      <w:rFonts w:ascii="Calibri" w:hAnsi="Calibri" w:eastAsia="Calibri" w:cs="Calibri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="Calibri" w:hAnsi="Calibri" w:eastAsia="Calibri" w:cs="Calibri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40" w:lineRule="auto"/>
      <w:outlineLvl w:val="2"/>
    </w:pPr>
    <w:rPr>
      <w:rFonts w:ascii="Calibri" w:hAnsi="Calibri" w:eastAsia="Calibri" w:cs="Calibri"/>
      <w:b/>
      <w:bCs/>
      <w:i w:val="0"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00"/>
    </w:pPr>
    <w:rPr>
      <w:rFonts w:ascii="Calibri" w:hAnsi="Calibri"/>
      <w:b w:val="0"/>
      <w:bCs/>
      <w:i/>
      <w:color w:val="40404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ódigo">
    <w:name w:val="Código"/>
    <w:basedOn w:val="Normal"/>
    <w:pPr>
      <w:keepLines/>
      <w:spacing w:line="240" w:lineRule="auto" w:after="160"/>
      <w:ind w:left="113" w:right="113"/>
      <w:shd w:val="clear" w:color="auto" w:fill="F2F2F2"/>
      <w:pBdr>
        <w:top w:val="single" w:sz="4" w:space="4" w:color="D9D9D9"/>
        <w:left w:val="single" w:sz="4" w:space="4" w:color="D9D9D9"/>
        <w:bottom w:val="single" w:sz="4" w:space="4" w:color="D9D9D9"/>
        <w:right w:val="single" w:sz="4" w:space="4" w:color="D9D9D9"/>
      </w:pBdr>
    </w:pPr>
    <w:rPr>
      <w:rFonts w:ascii="Consolas" w:hAnsi="Consolas" w:eastAsia="Consolas"/>
      <w:sz w:val="17"/>
    </w:rPr>
  </w:style>
  <w:style w:type="paragraph" w:customStyle="1" w:styleId="Nota">
    <w:name w:val="Nota"/>
    <w:basedOn w:val="Normal"/>
    <w:pPr>
      <w:spacing w:before="80" w:after="160"/>
      <w:ind w:left="170" w:right="113"/>
      <w:shd w:val="clear" w:color="auto" w:fill="EEF3F8"/>
      <w:pBdr>
        <w:left w:val="single" w:sz="24" w:space="6" w:color="1F3A5F"/>
      </w:pBdr>
    </w:pPr>
    <w:rPr>
      <w:sz w:val="20"/>
    </w:rPr>
  </w:style>
  <w:style w:type="paragraph" w:customStyle="1" w:styleId="Textodetabla">
    <w:name w:val="Texto de tabla"/>
    <w:basedOn w:val="Normal"/>
    <w:pPr>
      <w:spacing w:after="0" w:before="0" w:line="240" w:lineRule="auto"/>
    </w:pPr>
    <w:rPr>
      <w:sz w:val="19"/>
    </w:rPr>
  </w:style>
  <w:style w:type="paragraph" w:customStyle="1" w:styleId="Viñeta">
    <w:name w:val="Viñeta"/>
    <w:basedOn w:val="Normal"/>
    <w:pPr>
      <w:spacing w:after="60"/>
      <w:ind w:left="510" w:hanging="255"/>
    </w:pPr>
  </w:style>
  <w:style w:type="paragraph" w:customStyle="1" w:styleId="Viñeta2">
    <w:name w:val="Viñeta 2"/>
    <w:basedOn w:val="Viñeta"/>
    <w:pPr>
      <w:ind w:left="907" w:hanging="255"/>
    </w:pPr>
  </w:style>
  <w:style w:type="paragraph" w:customStyle="1" w:styleId="TOC1">
    <w:name w:val="TOC 1"/>
    <w:basedOn w:val="Normal"/>
    <w:pPr>
      <w:tabs>
        <w:tab w:pos="9405" w:val="right" w:leader="dot"/>
      </w:tabs>
      <w:spacing w:after="80" w:before="80"/>
      <w:ind w:left="0"/>
    </w:pPr>
    <w:rPr>
      <w:b/>
      <w:sz w:val="21"/>
    </w:rPr>
  </w:style>
  <w:style w:type="paragraph" w:customStyle="1" w:styleId="TOC2">
    <w:name w:val="TOC 2"/>
    <w:basedOn w:val="Normal"/>
    <w:pPr>
      <w:tabs>
        <w:tab w:pos="9405" w:val="right" w:leader="dot"/>
      </w:tabs>
      <w:spacing w:after="40" w:before="0"/>
      <w:ind w:left="340"/>
    </w:pPr>
    <w:rPr>
      <w:b w:val="0"/>
      <w:sz w:val="20"/>
    </w:rPr>
  </w:style>
  <w:style w:type="paragraph" w:customStyle="1" w:styleId="TOC3">
    <w:name w:val="TOC 3"/>
    <w:basedOn w:val="Normal"/>
    <w:pPr>
      <w:tabs>
        <w:tab w:pos="9405" w:val="right" w:leader="dot"/>
      </w:tabs>
      <w:spacing w:after="40" w:before="0"/>
      <w:ind w:left="680"/>
    </w:pPr>
    <w:rPr>
      <w:b w:val="0"/>
      <w:sz w:val="20"/>
    </w:rPr>
  </w:style>
  <w:style w:type="paragraph" w:customStyle="1" w:styleId="TableofFigures">
    <w:name w:val="Table of Figures"/>
    <w:basedOn w:val="Normal"/>
    <w:pPr>
      <w:tabs>
        <w:tab w:pos="9405" w:val="right" w:leader="dot"/>
      </w:tabs>
      <w:spacing w:after="40"/>
    </w:pPr>
    <w:rPr>
      <w:sz w:val="20"/>
    </w:rPr>
  </w:style>
  <w:style w:type="paragraph" w:customStyle="1" w:styleId="Listanumerada">
    <w:name w:val="Lista numerada"/>
    <w:basedOn w:val="Viñeta"/>
    <w:pPr>
      <w:ind w:left="510" w:hanging="34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 · Seguridad de la plataforma</dc:title>
  <dc:subject>Kronos AI</dc:subject>
  <dc:creator>Equipo Kronos AI</dc:creator>
  <cp:keywords>Kronos AI; Capstone; DUOC UC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