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olor w:val="1F3A5F"/>
          <w:sz w:val="60"/>
        </w:rPr>
        <w:t>KRONOS AI</w:t>
      </w:r>
    </w:p>
    <w:p>
      <w:pPr>
        <w:pBdr>
          <w:bottom w:val="single" w:sz="12" w:space="8" w:color="1F3A5F"/>
        </w:pBdr>
      </w:pPr>
      <w:r>
        <w:rPr>
          <w:color w:val="6B6B6B"/>
          <w:sz w:val="24"/>
        </w:rPr>
        <w:t>SOAR con clasificación de incidentes asistida por IA bajo control determinista</w:t>
      </w:r>
    </w:p>
    <w:p>
      <w:pPr>
        <w:spacing w:before="1800"/>
      </w:pPr>
      <w:r>
        <w:rPr>
          <w:b/>
          <w:color w:val="404040"/>
          <w:sz w:val="28"/>
        </w:rPr>
        <w:t>Documento 00</w:t>
      </w:r>
    </w:p>
    <w:p>
      <w:pPr>
        <w:spacing w:after="120"/>
      </w:pPr>
      <w:r>
        <w:rPr>
          <w:b/>
          <w:color w:val="1F3A5F"/>
          <w:sz w:val="52"/>
        </w:rPr>
        <w:t>Índice documental y matriz de trazabilidad</w:t>
      </w:r>
    </w:p>
    <w:p>
      <w:r>
        <w:rPr>
          <w:i/>
          <w:color w:val="404040"/>
          <w:sz w:val="23"/>
        </w:rPr>
        <w:t>Lista de documentos del proyecto con su ubicación y estado, documentos pendientes, relación con la bibliografía, trazabilidad desde los objetivos hasta la evidencia y diferencias entre fuentes.</w:t>
      </w:r>
    </w:p>
    <w:p>
      <w:pPr>
        <w:spacing w:before="360"/>
      </w:pPr>
      <w:r>
        <w:rPr>
          <w:color w:val="404040"/>
          <w:sz w:val="22"/>
        </w:rPr>
        <w:t>Versión 0.1 (borrador) · 14-10-2026</w:t>
      </w:r>
    </w:p>
    <w:p>
      <w:pPr>
        <w:spacing w:before="2400" w:after="40"/>
        <w:pBdr>
          <w:top w:val="single" w:sz="4" w:space="8" w:color="BFBFBF"/>
        </w:pBdr>
      </w:pPr>
      <w:r>
        <w:rPr>
          <w:b/>
          <w:color w:val="1F3A5F"/>
          <w:sz w:val="21"/>
        </w:rPr>
        <w:t xml:space="preserve">Integrantes: </w:t>
      </w:r>
      <w:r>
        <w:rPr>
          <w:sz w:val="21"/>
        </w:rPr>
        <w:t>Nicolás Zamora · Rodrigo Riveros · Patricio González</w:t>
      </w:r>
    </w:p>
    <w:p>
      <w:pPr>
        <w:spacing w:after="40"/>
      </w:pPr>
      <w:r>
        <w:rPr>
          <w:b/>
          <w:color w:val="1F3A5F"/>
          <w:sz w:val="21"/>
        </w:rPr>
        <w:t xml:space="preserve">Profesor guía: </w:t>
      </w:r>
      <w:r>
        <w:rPr>
          <w:sz w:val="21"/>
        </w:rPr>
        <w:t>Ceferino Aníbal Sotelo Becerra</w:t>
      </w:r>
    </w:p>
    <w:p>
      <w:pPr>
        <w:spacing w:after="40"/>
      </w:pPr>
      <w:r>
        <w:rPr>
          <w:b/>
          <w:color w:val="1F3A5F"/>
          <w:sz w:val="21"/>
        </w:rPr>
        <w:t xml:space="preserve">Asignatura: </w:t>
      </w:r>
      <w:r>
        <w:rPr>
          <w:sz w:val="21"/>
        </w:rPr>
        <w:t>Capstone — Portafolio de Título</w:t>
      </w:r>
    </w:p>
    <w:p>
      <w:pPr>
        <w:spacing w:after="40"/>
      </w:pPr>
      <w:r>
        <w:rPr>
          <w:b/>
          <w:color w:val="1F3A5F"/>
          <w:sz w:val="21"/>
        </w:rPr>
        <w:t xml:space="preserve">Carrera: </w:t>
      </w:r>
      <w:r>
        <w:rPr>
          <w:sz w:val="21"/>
        </w:rPr>
        <w:t>Ingeniería en Informática</w:t>
      </w:r>
    </w:p>
    <w:p>
      <w:pPr>
        <w:spacing w:after="40"/>
      </w:pPr>
      <w:r>
        <w:rPr>
          <w:b/>
          <w:color w:val="1F3A5F"/>
          <w:sz w:val="21"/>
        </w:rPr>
        <w:t xml:space="preserve">Institución: </w:t>
      </w:r>
      <w:r>
        <w:rPr>
          <w:sz w:val="21"/>
        </w:rPr>
        <w:t>DUOC UC, sede Padre Alonso de Ovalle, Santiago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Control del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268"/>
        <w:gridCol w:w="7138"/>
      </w:tblGrid>
      <w:tr>
        <w:trPr>
          <w:cantSplit/>
          <w:tblHeader/>
        </w:trPr>
        <w:tc>
          <w:tcPr>
            <w:tcW w:type="dxa" w:w="226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13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00 · Índice documental y matriz de trazabilidad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Proyecto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Kronos AI — SOAR con clasificación asistida por IA bajo control determinista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Versión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 (borrador)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Fecha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Autor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Equipo Kronos AI (redacción asistida por IA)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Revisor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Por asignar en la revisión del PR (otro integrante, distinto del autor)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Estado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Base bibliográfica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Referencias cruzadas a los capítulos que cita cada documento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Archivo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docs/entregables/00_indice.docx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Historial de versiones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020"/>
        <w:gridCol w:w="1360"/>
        <w:gridCol w:w="2608"/>
        <w:gridCol w:w="4416"/>
      </w:tblGrid>
      <w:tr>
        <w:trPr>
          <w:cantSplit/>
          <w:tblHeader/>
        </w:trPr>
        <w:tc>
          <w:tcPr>
            <w:tcW w:type="dxa" w:w="102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60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441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Cambios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136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  <w:tc>
          <w:tcPr>
            <w:tcW w:type="dxa" w:w="260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Equipo Kronos AI</w:t>
            </w:r>
          </w:p>
        </w:tc>
        <w:tc>
          <w:tcPr>
            <w:tcW w:type="dxa" w:w="441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Primera versión para la entrega del 16-10-2026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Cómo leer este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041"/>
        <w:gridCol w:w="7365"/>
      </w:tblGrid>
      <w:tr>
        <w:trPr>
          <w:cantSplit/>
          <w:tblHeader/>
        </w:trPr>
        <w:tc>
          <w:tcPr>
            <w:tcW w:type="dxa" w:w="204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Marca</w:t>
            </w:r>
          </w:p>
        </w:tc>
        <w:tc>
          <w:tcPr>
            <w:tcW w:type="dxa" w:w="736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Verificado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Hay evidencia en el repositorio, en la salida de una terminal o en un documento del equipo.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Informado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dice un documento o una herramienta, pero no se ha comprobado o la fuente es antigua.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Pendiente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Está decidido hacerlo, pero no se ha hecho.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Por confirmar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Falta el dato. No se inventa: se marca </w:t>
            </w:r>
            <w:r>
              <w:rPr>
                <w:b/>
                <w:color w:val="7A4A00"/>
                <w:sz w:val="19"/>
                <w:highlight w:val="yellow"/>
              </w:rPr>
              <w:t>[POR CONFIRMAR: …]</w:t>
            </w:r>
            <w:r>
              <w:rPr>
                <w:sz w:val="19"/>
              </w:rPr>
              <w:t xml:space="preserve"> y se agrega a docs/00-indice/preguntas-abiertas.md.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b/>
                <w:color w:val="004D40"/>
                <w:sz w:val="19"/>
                <w:highlight w:val="cyan"/>
              </w:rPr>
              <w:t>[PENDIENTE: …]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Depende de la instalación en la farmacia (D-28); se lista en docs/00-indice/pendientes-farmacia.md.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b/>
                <w:color w:val="8A2B0E"/>
                <w:sz w:val="19"/>
              </w:rPr>
              <w:t>«Propuesta»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propone la redacción y el equipo aún no lo decide.</w:t>
            </w:r>
          </w:p>
        </w:tc>
      </w:tr>
    </w:tbl>
    <w:p>
      <w:pPr>
        <w:spacing w:after="40" w:line="192" w:lineRule="auto"/>
      </w:pPr>
    </w:p>
    <w:p>
      <w:r>
        <w:rPr>
          <w:sz w:val="19"/>
        </w:rPr>
        <w:t>Los documentos se identifican por su número y su nombre. Las remisiones a otro documento se escriben «documento NN (Nombre)». Este documento no contiene secretos, contraseñas, llaves, tokens, direcciones IP reales ni datos que identifiquen a la farmacia o a su personal.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Índice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0001" w:history="1">
        <w:r>
          <w:rPr/>
          <w:t xml:space="preserve">1. Propósito y alcance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2" w:history="1">
        <w:r>
          <w:rPr/>
          <w:t xml:space="preserve">2. Documentos de esta entrega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3" w:history="1">
        <w:r>
          <w:rPr/>
          <w:t xml:space="preserve">3. Documentos pendientes</w:t>
        </w:r>
        <w:r>
          <w:rPr/>
          <w:tab/>
        </w:r>
        <w:r>
          <w:rPr/>
          <w:t xml:space="preserve">5</w:t>
        </w:r>
      </w:hyperlink>
    </w:p>
    <w:p>
      <w:pPr>
        <w:pStyle w:val="TOC1"/>
      </w:pPr>
      <w:hyperlink w:anchor="_Toc0004" w:history="1">
        <w:r>
          <w:rPr/>
          <w:t xml:space="preserve">4. Documentos existentes que no se redactan de nuevo</w:t>
        </w:r>
        <w:r>
          <w:rPr/>
          <w:tab/>
        </w:r>
        <w:r>
          <w:rPr/>
          <w:t xml:space="preserve">5</w:t>
        </w:r>
      </w:hyperlink>
    </w:p>
    <w:p>
      <w:pPr>
        <w:pStyle w:val="TOC1"/>
      </w:pPr>
      <w:hyperlink w:anchor="_Toc0005" w:history="1">
        <w:r>
          <w:rPr/>
          <w:t xml:space="preserve">5. Relación con la bibliografía</w:t>
        </w:r>
        <w:r>
          <w:rPr/>
          <w:tab/>
        </w:r>
        <w:r>
          <w:rPr/>
          <w:t xml:space="preserve">6</w:t>
        </w:r>
      </w:hyperlink>
    </w:p>
    <w:p>
      <w:pPr>
        <w:pStyle w:val="TOC1"/>
      </w:pPr>
      <w:hyperlink w:anchor="_Toc0006" w:history="1">
        <w:r>
          <w:rPr/>
          <w:t xml:space="preserve">6. Matriz de trazabilidad</w:t>
        </w:r>
        <w:r>
          <w:rPr/>
          <w:tab/>
        </w:r>
        <w:r>
          <w:rPr/>
          <w:t xml:space="preserve">7</w:t>
        </w:r>
      </w:hyperlink>
    </w:p>
    <w:p>
      <w:pPr>
        <w:pStyle w:val="TOC1"/>
      </w:pPr>
      <w:hyperlink w:anchor="_Toc0007" w:history="1">
        <w:r>
          <w:rPr/>
          <w:t xml:space="preserve">7. Diferencias entre las fuentes</w:t>
        </w:r>
        <w:r>
          <w:rPr/>
          <w:tab/>
        </w:r>
        <w:r>
          <w:rPr/>
          <w:t xml:space="preserve">7</w:t>
        </w:r>
      </w:hyperlink>
    </w:p>
    <w:p>
      <w:pPr>
        <w:pStyle w:val="TOC1"/>
      </w:pPr>
      <w:hyperlink w:anchor="_Toc0008" w:history="1">
        <w:r>
          <w:rPr/>
          <w:t xml:space="preserve">8. Referencias</w:t>
        </w:r>
        <w:r>
          <w:rPr/>
          <w:tab/>
        </w:r>
        <w:r>
          <w:rPr/>
          <w:t xml:space="preserve">8</w:t>
        </w:r>
      </w:hyperlink>
      <w:r>
        <w:fldChar w:fldCharType="end"/>
      </w:r>
    </w:p>
    <w:p>
      <w:pPr>
        <w:keepNext/>
        <w:spacing w:after="160" w:before="120"/>
      </w:pPr>
      <w:r>
        <w:rPr>
          <w:b/>
          <w:color w:val="1F3A5F"/>
          <w:sz w:val="26"/>
        </w:rPr>
        <w:t>Índice de tablas</w:t>
      </w:r>
    </w:p>
    <w:p>
      <w:pPr>
        <w:pStyle w:val="TableofFigures"/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ab001" w:history="1">
        <w:r>
          <w:rPr/>
          <w:t xml:space="preserve">Tabla 1. Documentos de la entrega del 16-10-2026</w:t>
        </w:r>
        <w:r>
          <w:rPr/>
          <w:tab/>
        </w:r>
        <w:r>
          <w:rPr/>
          <w:t xml:space="preserve">4</w:t>
        </w:r>
      </w:hyperlink>
    </w:p>
    <w:p>
      <w:pPr>
        <w:pStyle w:val="TableofFigures"/>
      </w:pPr>
      <w:hyperlink w:anchor="_Tab002" w:history="1">
        <w:r>
          <w:rPr/>
          <w:t xml:space="preserve">Tabla 2. Documentos pendientes y lo que les falta</w:t>
        </w:r>
        <w:r>
          <w:rPr/>
          <w:tab/>
        </w:r>
        <w:r>
          <w:rPr/>
          <w:t xml:space="preserve">5</w:t>
        </w:r>
      </w:hyperlink>
    </w:p>
    <w:p>
      <w:pPr>
        <w:pStyle w:val="TableofFigures"/>
      </w:pPr>
      <w:hyperlink w:anchor="_Tab003" w:history="1">
        <w:r>
          <w:rPr/>
          <w:t xml:space="preserve">Tabla 3. Documentos existentes</w:t>
        </w:r>
        <w:r>
          <w:rPr/>
          <w:tab/>
        </w:r>
        <w:r>
          <w:rPr/>
          <w:t xml:space="preserve">5</w:t>
        </w:r>
      </w:hyperlink>
    </w:p>
    <w:p>
      <w:pPr>
        <w:pStyle w:val="TableofFigures"/>
      </w:pPr>
      <w:hyperlink w:anchor="_Tab004" w:history="1">
        <w:r>
          <w:rPr/>
          <w:t xml:space="preserve">Tabla 4. Documento y capítulos de Pantaleo y Rinaudo</w:t>
        </w:r>
        <w:r>
          <w:rPr/>
          <w:tab/>
        </w:r>
        <w:r>
          <w:rPr/>
          <w:t xml:space="preserve">6</w:t>
        </w:r>
      </w:hyperlink>
    </w:p>
    <w:p>
      <w:pPr>
        <w:pStyle w:val="TableofFigures"/>
      </w:pPr>
      <w:hyperlink w:anchor="_Tab005" w:history="1">
        <w:r>
          <w:rPr/>
          <w:t xml:space="preserve">Tabla 5. Trazabilidad desde los objetivos específicos hasta la evidencia</w:t>
        </w:r>
        <w:r>
          <w:rPr/>
          <w:tab/>
        </w:r>
        <w:r>
          <w:rPr/>
          <w:t xml:space="preserve">7</w:t>
        </w:r>
      </w:hyperlink>
    </w:p>
    <w:p>
      <w:pPr>
        <w:pStyle w:val="TableofFigures"/>
      </w:pPr>
      <w:hyperlink w:anchor="_Tab006" w:history="1">
        <w:r>
          <w:rPr/>
          <w:t xml:space="preserve">Tabla 6. Diferencias encontradas al redactar</w:t>
        </w:r>
        <w:r>
          <w:rPr/>
          <w:tab/>
        </w:r>
        <w:r>
          <w:rPr/>
          <w:t xml:space="preserve">7</w:t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1001" w:name="_Toc0001"/>
      <w:r>
        <w:t>1. Propósito y alcance</w:t>
      </w:r>
      <w:bookmarkEnd w:id="1001"/>
    </w:p>
    <w:p>
      <w:r>
        <w:t>Este documento es la puerta de entrada a la documentación de Kronos AI. Indica qué documentos existen, dónde están, quién los mantiene y en qué estado se encuentran. También relaciona cada objetivo específico con sus requerimientos, componentes, pruebas y evidencia, y registra las diferencias encontradas entre las fuentes.</w:t>
      </w:r>
    </w:p>
    <w:p>
      <w:r>
        <w:t xml:space="preserve">El índice navegable en GitHub está en </w:t>
      </w:r>
      <w:r>
        <w:rPr>
          <w:rFonts w:ascii="Consolas" w:hAnsi="Consolas"/>
          <w:sz w:val="19"/>
          <w:shd w:val="clear" w:color="auto" w:fill="F2F2F2"/>
        </w:rPr>
        <w:t>docs/00-indice/README.md</w:t>
      </w:r>
      <w:r>
        <w:t xml:space="preserve">. Las preguntas abiertas están en </w:t>
      </w:r>
      <w:r>
        <w:rPr>
          <w:rFonts w:ascii="Consolas" w:hAnsi="Consolas"/>
          <w:sz w:val="19"/>
          <w:shd w:val="clear" w:color="auto" w:fill="F2F2F2"/>
        </w:rPr>
        <w:t>docs/00-indice/preguntas-abiertas.md</w:t>
      </w:r>
      <w:r>
        <w:t xml:space="preserve"> y lo que depende de la farmacia en </w:t>
      </w:r>
      <w:r>
        <w:rPr>
          <w:rFonts w:ascii="Consolas" w:hAnsi="Consolas"/>
          <w:sz w:val="19"/>
          <w:shd w:val="clear" w:color="auto" w:fill="F2F2F2"/>
        </w:rPr>
        <w:t>docs/00-indice/pendientes-farmacia.md</w:t>
      </w:r>
      <w:r>
        <w:t>.</w:t>
      </w:r>
    </w:p>
    <w:p>
      <w:pPr>
        <w:pStyle w:val="Heading1"/>
      </w:pPr>
      <w:bookmarkStart w:id="1002" w:name="_Toc0002"/>
      <w:r>
        <w:t>2. Documentos de esta entrega</w:t>
      </w:r>
      <w:bookmarkEnd w:id="1002"/>
    </w:p>
    <w:p>
      <w:r>
        <w:t xml:space="preserve">Los 17 documentos siguientes se entregan el 16-10-2026 en Word, en </w:t>
      </w:r>
      <w:r>
        <w:rPr>
          <w:rFonts w:ascii="Consolas" w:hAnsi="Consolas"/>
          <w:sz w:val="19"/>
          <w:shd w:val="clear" w:color="auto" w:fill="F2F2F2"/>
        </w:rPr>
        <w:t>docs/entregables/</w:t>
      </w:r>
      <w:r>
        <w:t>. Todos están en versión 0.1 (borrador) y deben ser revisados por un integrante distinto del autor.</w:t>
      </w:r>
    </w:p>
    <w:p>
      <w:pPr>
        <w:pStyle w:val="Caption"/>
        <w:keepNext/>
        <w:spacing w:before="120" w:after="80"/>
      </w:pPr>
      <w:bookmarkStart w:id="5001" w:name="_Tab00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>
        <w:t>Documentos de la entrega del 16-10-2026</w:t>
      </w:r>
      <w:bookmarkEnd w:id="5001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596"/>
        <w:gridCol w:w="3047"/>
        <w:gridCol w:w="2782"/>
        <w:gridCol w:w="2186"/>
        <w:gridCol w:w="794"/>
      </w:tblGrid>
      <w:tr>
        <w:trPr>
          <w:cantSplit/>
          <w:tblHeader/>
        </w:trPr>
        <w:tc>
          <w:tcPr>
            <w:tcW w:type="dxa" w:w="59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N.°</w:t>
            </w:r>
          </w:p>
        </w:tc>
        <w:tc>
          <w:tcPr>
            <w:tcW w:type="dxa" w:w="304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278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218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79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Prio.</w:t>
            </w:r>
          </w:p>
        </w:tc>
      </w:tr>
      <w:tr>
        <w:trPr>
          <w:cantSplit/>
        </w:trPr>
        <w:tc>
          <w:tcPr>
            <w:tcW w:type="dxa" w:w="59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00</w:t>
            </w:r>
          </w:p>
        </w:tc>
        <w:tc>
          <w:tcPr>
            <w:tcW w:type="dxa" w:w="304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Índice documental y matriz de trazabilidad</w:t>
            </w:r>
          </w:p>
        </w:tc>
        <w:tc>
          <w:tcPr>
            <w:tcW w:type="dxa" w:w="2782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00_indice.docx</w:t>
            </w:r>
          </w:p>
        </w:tc>
        <w:tc>
          <w:tcPr>
            <w:tcW w:type="dxa" w:w="218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Equipo</w:t>
            </w:r>
          </w:p>
        </w:tc>
        <w:tc>
          <w:tcPr>
            <w:tcW w:type="dxa" w:w="79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59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01</w:t>
            </w:r>
          </w:p>
        </w:tc>
        <w:tc>
          <w:tcPr>
            <w:tcW w:type="dxa" w:w="30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Visión de la solución</w:t>
            </w:r>
          </w:p>
        </w:tc>
        <w:tc>
          <w:tcPr>
            <w:tcW w:type="dxa" w:w="278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01_vision.docx</w:t>
            </w:r>
          </w:p>
        </w:tc>
        <w:tc>
          <w:tcPr>
            <w:tcW w:type="dxa" w:w="218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Equipo</w:t>
            </w:r>
          </w:p>
        </w:tc>
        <w:tc>
          <w:tcPr>
            <w:tcW w:type="dxa" w:w="79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59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02</w:t>
            </w:r>
          </w:p>
        </w:tc>
        <w:tc>
          <w:tcPr>
            <w:tcW w:type="dxa" w:w="304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Especificación de requerimientos</w:t>
            </w:r>
          </w:p>
        </w:tc>
        <w:tc>
          <w:tcPr>
            <w:tcW w:type="dxa" w:w="2782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02_requerimientos.docx</w:t>
            </w:r>
          </w:p>
        </w:tc>
        <w:tc>
          <w:tcPr>
            <w:tcW w:type="dxa" w:w="218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  <w:tc>
          <w:tcPr>
            <w:tcW w:type="dxa" w:w="79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59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03</w:t>
            </w:r>
          </w:p>
        </w:tc>
        <w:tc>
          <w:tcPr>
            <w:tcW w:type="dxa" w:w="30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Justificación metodológica</w:t>
            </w:r>
          </w:p>
        </w:tc>
        <w:tc>
          <w:tcPr>
            <w:tcW w:type="dxa" w:w="278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03_metodologia.docx</w:t>
            </w:r>
          </w:p>
        </w:tc>
        <w:tc>
          <w:tcPr>
            <w:tcW w:type="dxa" w:w="218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  <w:tc>
          <w:tcPr>
            <w:tcW w:type="dxa" w:w="79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59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04</w:t>
            </w:r>
          </w:p>
        </w:tc>
        <w:tc>
          <w:tcPr>
            <w:tcW w:type="dxa" w:w="304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Estimación y planificación</w:t>
            </w:r>
          </w:p>
        </w:tc>
        <w:tc>
          <w:tcPr>
            <w:tcW w:type="dxa" w:w="2782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04_planificacion.docx</w:t>
            </w:r>
          </w:p>
        </w:tc>
        <w:tc>
          <w:tcPr>
            <w:tcW w:type="dxa" w:w="218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  <w:tc>
          <w:tcPr>
            <w:tcW w:type="dxa" w:w="79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59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05</w:t>
            </w:r>
          </w:p>
        </w:tc>
        <w:tc>
          <w:tcPr>
            <w:tcW w:type="dxa" w:w="30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Plan de administración de la configuración</w:t>
            </w:r>
          </w:p>
        </w:tc>
        <w:tc>
          <w:tcPr>
            <w:tcW w:type="dxa" w:w="278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05_configuracion.docx</w:t>
            </w:r>
          </w:p>
        </w:tc>
        <w:tc>
          <w:tcPr>
            <w:tcW w:type="dxa" w:w="218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Rodrigo</w:t>
            </w:r>
          </w:p>
        </w:tc>
        <w:tc>
          <w:tcPr>
            <w:tcW w:type="dxa" w:w="79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59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06</w:t>
            </w:r>
          </w:p>
        </w:tc>
        <w:tc>
          <w:tcPr>
            <w:tcW w:type="dxa" w:w="304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Plan de calidad</w:t>
            </w:r>
          </w:p>
        </w:tc>
        <w:tc>
          <w:tcPr>
            <w:tcW w:type="dxa" w:w="2782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06_calidad.docx</w:t>
            </w:r>
          </w:p>
        </w:tc>
        <w:tc>
          <w:tcPr>
            <w:tcW w:type="dxa" w:w="218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  <w:tc>
          <w:tcPr>
            <w:tcW w:type="dxa" w:w="79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59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07</w:t>
            </w:r>
          </w:p>
        </w:tc>
        <w:tc>
          <w:tcPr>
            <w:tcW w:type="dxa" w:w="30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Plan de métricas y medición</w:t>
            </w:r>
          </w:p>
        </w:tc>
        <w:tc>
          <w:tcPr>
            <w:tcW w:type="dxa" w:w="278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07_metricas.docx</w:t>
            </w:r>
          </w:p>
        </w:tc>
        <w:tc>
          <w:tcPr>
            <w:tcW w:type="dxa" w:w="218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  <w:tc>
          <w:tcPr>
            <w:tcW w:type="dxa" w:w="79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P3</w:t>
            </w:r>
          </w:p>
        </w:tc>
      </w:tr>
      <w:tr>
        <w:trPr>
          <w:cantSplit/>
        </w:trPr>
        <w:tc>
          <w:tcPr>
            <w:tcW w:type="dxa" w:w="59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08</w:t>
            </w:r>
          </w:p>
        </w:tc>
        <w:tc>
          <w:tcPr>
            <w:tcW w:type="dxa" w:w="304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Seguimiento y control</w:t>
            </w:r>
          </w:p>
        </w:tc>
        <w:tc>
          <w:tcPr>
            <w:tcW w:type="dxa" w:w="2782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08_seguimiento.docx</w:t>
            </w:r>
          </w:p>
        </w:tc>
        <w:tc>
          <w:tcPr>
            <w:tcW w:type="dxa" w:w="218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Equipo</w:t>
            </w:r>
          </w:p>
        </w:tc>
        <w:tc>
          <w:tcPr>
            <w:tcW w:type="dxa" w:w="79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P3</w:t>
            </w:r>
          </w:p>
        </w:tc>
      </w:tr>
      <w:tr>
        <w:trPr>
          <w:cantSplit/>
        </w:trPr>
        <w:tc>
          <w:tcPr>
            <w:tcW w:type="dxa" w:w="59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09</w:t>
            </w:r>
          </w:p>
        </w:tc>
        <w:tc>
          <w:tcPr>
            <w:tcW w:type="dxa" w:w="30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Documento de arquitectura</w:t>
            </w:r>
          </w:p>
        </w:tc>
        <w:tc>
          <w:tcPr>
            <w:tcW w:type="dxa" w:w="278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09_arquitectura.docx</w:t>
            </w:r>
          </w:p>
        </w:tc>
        <w:tc>
          <w:tcPr>
            <w:tcW w:type="dxa" w:w="218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Nicolás y Rodrigo</w:t>
            </w:r>
          </w:p>
        </w:tc>
        <w:tc>
          <w:tcPr>
            <w:tcW w:type="dxa" w:w="79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59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11</w:t>
            </w:r>
          </w:p>
        </w:tc>
        <w:tc>
          <w:tcPr>
            <w:tcW w:type="dxa" w:w="304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Especificación de prompts</w:t>
            </w:r>
          </w:p>
        </w:tc>
        <w:tc>
          <w:tcPr>
            <w:tcW w:type="dxa" w:w="2782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11_prompts.docx</w:t>
            </w:r>
          </w:p>
        </w:tc>
        <w:tc>
          <w:tcPr>
            <w:tcW w:type="dxa" w:w="218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  <w:tc>
          <w:tcPr>
            <w:tcW w:type="dxa" w:w="79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59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13</w:t>
            </w:r>
          </w:p>
        </w:tc>
        <w:tc>
          <w:tcPr>
            <w:tcW w:type="dxa" w:w="30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Estándares de codificación</w:t>
            </w:r>
          </w:p>
        </w:tc>
        <w:tc>
          <w:tcPr>
            <w:tcW w:type="dxa" w:w="278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13_estandares.docx</w:t>
            </w:r>
          </w:p>
        </w:tc>
        <w:tc>
          <w:tcPr>
            <w:tcW w:type="dxa" w:w="218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Rodrigo</w:t>
            </w:r>
          </w:p>
        </w:tc>
        <w:tc>
          <w:tcPr>
            <w:tcW w:type="dxa" w:w="79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59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14</w:t>
            </w:r>
          </w:p>
        </w:tc>
        <w:tc>
          <w:tcPr>
            <w:tcW w:type="dxa" w:w="304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Proceso de integración continua</w:t>
            </w:r>
          </w:p>
        </w:tc>
        <w:tc>
          <w:tcPr>
            <w:tcW w:type="dxa" w:w="2782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14_integracion-continua.docx</w:t>
            </w:r>
          </w:p>
        </w:tc>
        <w:tc>
          <w:tcPr>
            <w:tcW w:type="dxa" w:w="218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Rodrigo</w:t>
            </w:r>
          </w:p>
        </w:tc>
        <w:tc>
          <w:tcPr>
            <w:tcW w:type="dxa" w:w="79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59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15</w:t>
            </w:r>
          </w:p>
        </w:tc>
        <w:tc>
          <w:tcPr>
            <w:tcW w:type="dxa" w:w="30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Plan de pruebas de software</w:t>
            </w:r>
          </w:p>
        </w:tc>
        <w:tc>
          <w:tcPr>
            <w:tcW w:type="dxa" w:w="278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15_plan-pruebas.docx</w:t>
            </w:r>
          </w:p>
        </w:tc>
        <w:tc>
          <w:tcPr>
            <w:tcW w:type="dxa" w:w="218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Nicolás y Patricio</w:t>
            </w:r>
          </w:p>
        </w:tc>
        <w:tc>
          <w:tcPr>
            <w:tcW w:type="dxa" w:w="79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59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17</w:t>
            </w:r>
          </w:p>
        </w:tc>
        <w:tc>
          <w:tcPr>
            <w:tcW w:type="dxa" w:w="304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Seguridad de la plataforma</w:t>
            </w:r>
          </w:p>
        </w:tc>
        <w:tc>
          <w:tcPr>
            <w:tcW w:type="dxa" w:w="2782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17_seguridad.docx</w:t>
            </w:r>
          </w:p>
        </w:tc>
        <w:tc>
          <w:tcPr>
            <w:tcW w:type="dxa" w:w="218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Rodrigo</w:t>
            </w:r>
          </w:p>
        </w:tc>
        <w:tc>
          <w:tcPr>
            <w:tcW w:type="dxa" w:w="79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59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19</w:t>
            </w:r>
          </w:p>
        </w:tc>
        <w:tc>
          <w:tcPr>
            <w:tcW w:type="dxa" w:w="30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Política de respaldo y retención</w:t>
            </w:r>
          </w:p>
        </w:tc>
        <w:tc>
          <w:tcPr>
            <w:tcW w:type="dxa" w:w="278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19_respaldo-retencion.docx</w:t>
            </w:r>
          </w:p>
        </w:tc>
        <w:tc>
          <w:tcPr>
            <w:tcW w:type="dxa" w:w="218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Rodrigo</w:t>
            </w:r>
          </w:p>
        </w:tc>
        <w:tc>
          <w:tcPr>
            <w:tcW w:type="dxa" w:w="79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59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20</w:t>
            </w:r>
          </w:p>
        </w:tc>
        <w:tc>
          <w:tcPr>
            <w:tcW w:type="dxa" w:w="304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Procedimiento de gestión de secretos</w:t>
            </w:r>
          </w:p>
        </w:tc>
        <w:tc>
          <w:tcPr>
            <w:tcW w:type="dxa" w:w="2782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20_secretos.docx</w:t>
            </w:r>
          </w:p>
        </w:tc>
        <w:tc>
          <w:tcPr>
            <w:tcW w:type="dxa" w:w="218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Rodrigo</w:t>
            </w:r>
          </w:p>
        </w:tc>
        <w:tc>
          <w:tcPr>
            <w:tcW w:type="dxa" w:w="79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P2</w:t>
            </w:r>
          </w:p>
        </w:tc>
      </w:tr>
    </w:tbl>
    <w:p>
      <w:pPr>
        <w:spacing w:after="40" w:line="192" w:lineRule="auto"/>
      </w:pPr>
    </w:p>
    <w:p>
      <w:r>
        <w:t>Prioridades: P1 define el producto o lo pidió el equipo como pendiente explícito; P2 lo completa; P3 depende de decisiones abiertas.</w:t>
      </w:r>
    </w:p>
    <w:p>
      <w:pPr>
        <w:pStyle w:val="Heading1"/>
      </w:pPr>
      <w:bookmarkStart w:id="1003" w:name="_Toc0003"/>
      <w:r>
        <w:t>3. Documentos pendientes</w:t>
      </w:r>
      <w:bookmarkEnd w:id="1003"/>
    </w:p>
    <w:p>
      <w:r>
        <w:t>Estos documentos no se redactan en esta entrega. Los documentos entregados remiten a ellos por número y nombre.</w:t>
      </w:r>
    </w:p>
    <w:p>
      <w:pPr>
        <w:pStyle w:val="Caption"/>
        <w:keepNext/>
        <w:spacing w:before="120" w:after="80"/>
      </w:pPr>
      <w:bookmarkStart w:id="5002" w:name="_Tab00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2</w:t>
      </w:r>
      <w:r>
        <w:fldChar w:fldCharType="end"/>
      </w:r>
      <w:r>
        <w:t xml:space="preserve">. </w:t>
      </w:r>
      <w:r>
        <w:t>Documentos pendientes y lo que les falta</w:t>
      </w:r>
      <w:bookmarkEnd w:id="5002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651"/>
        <w:gridCol w:w="2894"/>
        <w:gridCol w:w="1881"/>
        <w:gridCol w:w="3979"/>
      </w:tblGrid>
      <w:tr>
        <w:trPr>
          <w:cantSplit/>
          <w:tblHeader/>
        </w:trPr>
        <w:tc>
          <w:tcPr>
            <w:tcW w:type="dxa" w:w="65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N.°</w:t>
            </w:r>
          </w:p>
        </w:tc>
        <w:tc>
          <w:tcPr>
            <w:tcW w:type="dxa" w:w="289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188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397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Qué le falta</w:t>
            </w:r>
          </w:p>
        </w:tc>
      </w:tr>
      <w:tr>
        <w:trPr>
          <w:cantSplit/>
        </w:trPr>
        <w:tc>
          <w:tcPr>
            <w:tcW w:type="dxa" w:w="65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10</w:t>
            </w:r>
          </w:p>
        </w:tc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 de diseño</w:t>
            </w:r>
          </w:p>
        </w:tc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Rodrigo y Patricio</w:t>
            </w:r>
          </w:p>
        </w:tc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Decidir cómo escribe la consola (R-13), cómo se conectan los servicios a la base, cómo se llevan los plazos de 2 días, el estado del ticket mientras espera aprobación y el ancla externa</w:t>
            </w:r>
          </w:p>
        </w:tc>
      </w:tr>
      <w:tr>
        <w:trPr>
          <w:cantSplit/>
        </w:trPr>
        <w:tc>
          <w:tcPr>
            <w:tcW w:type="dxa" w:w="65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12</w:t>
            </w:r>
          </w:p>
        </w:tc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Catálogo de playbooks, versión de trabajo</w:t>
            </w:r>
          </w:p>
        </w:tc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Plazos de reversión del nivel 1, restauración de cuarentenas y tareas, las tres acciones adicionales, consultas de nivel 0, carpeta de cuarentena y si los playbooks serán de varios pasos. La versión 0.1 ya existe como datos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decision/catalogo/kro-cat-01.json</w:t>
            </w:r>
          </w:p>
        </w:tc>
      </w:tr>
      <w:tr>
        <w:trPr>
          <w:cantSplit/>
        </w:trPr>
        <w:tc>
          <w:tcPr>
            <w:tcW w:type="dxa" w:w="65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16</w:t>
            </w:r>
          </w:p>
        </w:tc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Casos de prueba y plan de aceptación en el laboratorio</w:t>
            </w:r>
          </w:p>
        </w:tc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Nicolás</w:t>
            </w:r>
          </w:p>
        </w:tc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Laboratorio funcionando, SOAR-EXECUTE, nombres de los escenarios CU-C01 a CU-C10 y CU-S01 a CU-S12</w:t>
            </w:r>
          </w:p>
        </w:tc>
      </w:tr>
      <w:tr>
        <w:trPr>
          <w:cantSplit/>
        </w:trPr>
        <w:tc>
          <w:tcPr>
            <w:tcW w:type="dxa" w:w="65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18</w:t>
            </w:r>
          </w:p>
        </w:tc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Cierre de brechas BR-01 y BR-05</w:t>
            </w:r>
          </w:p>
        </w:tc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Rodrigo y Nicolás</w:t>
            </w:r>
          </w:p>
        </w:tc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Política de retención aprobada, forma de expirar una cadena inmutable (R-09), acuerdo de tratamiento con el proveedor y destino de los datos tras el 10-12-2026 (R-15)</w:t>
            </w:r>
          </w:p>
        </w:tc>
      </w:tr>
      <w:tr>
        <w:trPr>
          <w:cantSplit/>
        </w:trPr>
        <w:tc>
          <w:tcPr>
            <w:tcW w:type="dxa" w:w="65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21</w:t>
            </w:r>
          </w:p>
        </w:tc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Guía de instalación</w:t>
            </w:r>
          </w:p>
        </w:tc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Cada uno su parte</w:t>
            </w:r>
          </w:p>
        </w:tc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Se escribe al instalar cada componente (D-18); las partes 13 y 14 dependen de la farmacia</w:t>
            </w:r>
          </w:p>
        </w:tc>
      </w:tr>
      <w:tr>
        <w:trPr>
          <w:cantSplit/>
        </w:trPr>
        <w:tc>
          <w:tcPr>
            <w:tcW w:type="dxa" w:w="65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22</w:t>
            </w:r>
          </w:p>
        </w:tc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Cierre del proyecto</w:t>
            </w:r>
          </w:p>
        </w:tc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Equipo</w:t>
            </w:r>
          </w:p>
        </w:tc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 completa en S6</w:t>
            </w:r>
          </w:p>
        </w:tc>
      </w:tr>
    </w:tbl>
    <w:p>
      <w:pPr>
        <w:spacing w:after="40" w:line="192" w:lineRule="auto"/>
      </w:pPr>
    </w:p>
    <w:p>
      <w:r>
        <w:t xml:space="preserve">Además quedan pospuestos, por depender de la farmacia (D-28), el relevamiento con sus datos y las versiones finales de «Casos de uso y operaciones en los equipos de la farmacia» y del «Plan de instalación de agentes en la farmacia». </w:t>
      </w:r>
      <w:r>
        <w:rPr>
          <w:b/>
          <w:color w:val="004D40"/>
          <w:highlight w:val="cyan"/>
        </w:rPr>
        <w:t>[PENDIENTE: posterior a la instalación en la farmacia — relevamiento de la farmacia y versiones finales de sus dos documentos]</w:t>
      </w:r>
    </w:p>
    <w:p>
      <w:pPr>
        <w:pStyle w:val="Heading1"/>
      </w:pPr>
      <w:bookmarkStart w:id="1004" w:name="_Toc0004"/>
      <w:r>
        <w:t>4. Documentos existentes que no se redactan de nuevo</w:t>
      </w:r>
      <w:bookmarkEnd w:id="1004"/>
    </w:p>
    <w:p>
      <w:pPr>
        <w:pStyle w:val="Caption"/>
        <w:keepNext/>
        <w:spacing w:before="120" w:after="80"/>
      </w:pPr>
      <w:bookmarkStart w:id="5003" w:name="_Tab00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3</w:t>
      </w:r>
      <w:r>
        <w:fldChar w:fldCharType="end"/>
      </w:r>
      <w:r>
        <w:t xml:space="preserve">. </w:t>
      </w:r>
      <w:r>
        <w:t>Documentos existentes</w:t>
      </w:r>
      <w:bookmarkEnd w:id="5003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4052"/>
        <w:gridCol w:w="2460"/>
        <w:gridCol w:w="2894"/>
      </w:tblGrid>
      <w:tr>
        <w:trPr>
          <w:cantSplit/>
          <w:tblHeader/>
        </w:trPr>
        <w:tc>
          <w:tcPr>
            <w:tcW w:type="dxa" w:w="405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246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289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Uso</w:t>
            </w:r>
          </w:p>
        </w:tc>
      </w:tr>
      <w:tr>
        <w:trPr>
          <w:cantSplit/>
        </w:trPr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Autorización de Instalación y Monitoreo; Aviso de Monitoreo a Trabajadores; Aceptación de Acciones de Contención</w:t>
            </w:r>
          </w:p>
        </w:tc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Firmados en papel</w:t>
            </w:r>
          </w:p>
        </w:tc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Se citan por su nombre</w:t>
            </w:r>
          </w:p>
        </w:tc>
      </w:tr>
      <w:tr>
        <w:trPr>
          <w:cantSplit/>
        </w:trPr>
        <w:tc>
          <w:tcPr>
            <w:tcW w:type="dxa" w:w="405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«Kronos AI — Replanteamiento como SaaS» (25-09-2026)</w:t>
            </w:r>
          </w:p>
        </w:tc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Decisión de fondo</w:t>
            </w:r>
          </w:p>
        </w:tc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Fuente de D-01 a D-07</w:t>
            </w:r>
          </w:p>
        </w:tc>
      </w:tr>
      <w:tr>
        <w:trPr>
          <w:cantSplit/>
        </w:trPr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«Kronos AI — Tareas por integrante»</w:t>
            </w:r>
          </w:p>
        </w:tc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 vivo</w:t>
            </w:r>
          </w:p>
        </w:tc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Fuente de estado y de tareas</w:t>
            </w:r>
          </w:p>
        </w:tc>
      </w:tr>
      <w:tr>
        <w:trPr>
          <w:cantSplit/>
        </w:trPr>
        <w:tc>
          <w:tcPr>
            <w:tcW w:type="dxa" w:w="405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«Casos de uso y operaciones en los equipos de la farmacia»</w:t>
            </w:r>
          </w:p>
        </w:tc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Borrador 0.1</w:t>
            </w:r>
          </w:p>
        </w:tc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 completa después de la farmacia</w:t>
            </w:r>
          </w:p>
        </w:tc>
      </w:tr>
      <w:tr>
        <w:trPr>
          <w:cantSplit/>
        </w:trPr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«Anexo — Catálogo de medidas»</w:t>
            </w:r>
          </w:p>
        </w:tc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Borrador 0.1</w:t>
            </w:r>
          </w:p>
        </w:tc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Base del documento 12 y del catálogo 0.1</w:t>
            </w:r>
          </w:p>
        </w:tc>
      </w:tr>
      <w:tr>
        <w:trPr>
          <w:cantSplit/>
        </w:trPr>
        <w:tc>
          <w:tcPr>
            <w:tcW w:type="dxa" w:w="405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«Plan de instalación de agentes en la farmacia»</w:t>
            </w:r>
          </w:p>
        </w:tc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Versión del 08-10-2026</w:t>
            </w:r>
          </w:p>
        </w:tc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 completa después de la farmacia</w:t>
            </w:r>
          </w:p>
        </w:tc>
      </w:tr>
      <w:tr>
        <w:trPr>
          <w:cantSplit/>
        </w:trPr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 Maestro (versión 2) y sus nueve derivados</w:t>
            </w:r>
          </w:p>
        </w:tc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Existen</w:t>
            </w:r>
          </w:p>
        </w:tc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Se actualizan en S6. </w:t>
            </w:r>
            <w:r>
              <w:rPr>
                <w:b/>
                <w:color w:val="7A4A00"/>
                <w:sz w:val="19"/>
                <w:highlight w:val="yellow"/>
              </w:rPr>
              <w:t>[POR CONFIRMAR: ubicación del Documento Maestro versión 2 — preguntar al equipo]</w:t>
            </w:r>
          </w:p>
        </w:tc>
      </w:tr>
      <w:tr>
        <w:trPr>
          <w:cantSplit/>
        </w:trPr>
        <w:tc>
          <w:tcPr>
            <w:tcW w:type="dxa" w:w="405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Registros de trabajo</w:t>
            </w:r>
          </w:p>
        </w:tc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Uno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docs/registro/</w:t>
            </w:r>
          </w:p>
        </w:tc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KRO-LOG-RR-2026-10-08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5" w:name="_Toc0005"/>
      <w:r>
        <w:t>5. Relación con la bibliografía</w:t>
      </w:r>
      <w:bookmarkEnd w:id="1005"/>
    </w:p>
    <w:p>
      <w:pPr>
        <w:pStyle w:val="Caption"/>
        <w:keepNext/>
        <w:spacing w:before="120" w:after="80"/>
      </w:pPr>
      <w:bookmarkStart w:id="5004" w:name="_Tab00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4</w:t>
      </w:r>
      <w:r>
        <w:fldChar w:fldCharType="end"/>
      </w:r>
      <w:r>
        <w:t xml:space="preserve">. </w:t>
      </w:r>
      <w:r>
        <w:t>Documento y capítulos de Pantaleo y Rinaudo</w:t>
      </w:r>
      <w:bookmarkEnd w:id="5004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646"/>
        <w:gridCol w:w="3733"/>
        <w:gridCol w:w="5026"/>
      </w:tblGrid>
      <w:tr>
        <w:trPr>
          <w:cantSplit/>
          <w:tblHeader/>
        </w:trPr>
        <w:tc>
          <w:tcPr>
            <w:tcW w:type="dxa" w:w="64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N.°</w:t>
            </w:r>
          </w:p>
        </w:tc>
        <w:tc>
          <w:tcPr>
            <w:tcW w:type="dxa" w:w="373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502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Capítulos y secciones</w:t>
            </w:r>
          </w:p>
        </w:tc>
      </w:tr>
      <w:tr>
        <w:trPr>
          <w:cantSplit/>
        </w:trPr>
        <w:tc>
          <w:tcPr>
            <w:tcW w:type="dxa" w:w="64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01</w:t>
            </w:r>
          </w:p>
        </w:tc>
        <w:tc>
          <w:tcPr>
            <w:tcW w:type="dxa" w:w="373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Visión de la solución</w:t>
            </w:r>
          </w:p>
        </w:tc>
        <w:tc>
          <w:tcPr>
            <w:tcW w:type="dxa" w:w="502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20.7</w:t>
            </w:r>
          </w:p>
        </w:tc>
      </w:tr>
      <w:tr>
        <w:trPr>
          <w:cantSplit/>
        </w:trPr>
        <w:tc>
          <w:tcPr>
            <w:tcW w:type="dxa" w:w="64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02</w:t>
            </w:r>
          </w:p>
        </w:tc>
        <w:tc>
          <w:tcPr>
            <w:tcW w:type="dxa" w:w="373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Especificación de requerimientos</w:t>
            </w:r>
          </w:p>
        </w:tc>
        <w:tc>
          <w:tcPr>
            <w:tcW w:type="dxa" w:w="50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10.2; caps. 11 y 12; 9.3</w:t>
            </w:r>
          </w:p>
        </w:tc>
      </w:tr>
      <w:tr>
        <w:trPr>
          <w:cantSplit/>
        </w:trPr>
        <w:tc>
          <w:tcPr>
            <w:tcW w:type="dxa" w:w="64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03</w:t>
            </w:r>
          </w:p>
        </w:tc>
        <w:tc>
          <w:tcPr>
            <w:tcW w:type="dxa" w:w="373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Justificación metodológica</w:t>
            </w:r>
          </w:p>
        </w:tc>
        <w:tc>
          <w:tcPr>
            <w:tcW w:type="dxa" w:w="502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Caps. 4 y 6; 2.4</w:t>
            </w:r>
          </w:p>
        </w:tc>
      </w:tr>
      <w:tr>
        <w:trPr>
          <w:cantSplit/>
        </w:trPr>
        <w:tc>
          <w:tcPr>
            <w:tcW w:type="dxa" w:w="64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04</w:t>
            </w:r>
          </w:p>
        </w:tc>
        <w:tc>
          <w:tcPr>
            <w:tcW w:type="dxa" w:w="373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Estimación y planificación</w:t>
            </w:r>
          </w:p>
        </w:tc>
        <w:tc>
          <w:tcPr>
            <w:tcW w:type="dxa" w:w="50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Cap. 18; 20.3; 5.9</w:t>
            </w:r>
          </w:p>
        </w:tc>
      </w:tr>
      <w:tr>
        <w:trPr>
          <w:cantSplit/>
        </w:trPr>
        <w:tc>
          <w:tcPr>
            <w:tcW w:type="dxa" w:w="64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05</w:t>
            </w:r>
          </w:p>
        </w:tc>
        <w:tc>
          <w:tcPr>
            <w:tcW w:type="dxa" w:w="373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Plan de administración de la configuración</w:t>
            </w:r>
          </w:p>
        </w:tc>
        <w:tc>
          <w:tcPr>
            <w:tcW w:type="dxa" w:w="502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5.10.1</w:t>
            </w:r>
          </w:p>
        </w:tc>
      </w:tr>
      <w:tr>
        <w:trPr>
          <w:cantSplit/>
        </w:trPr>
        <w:tc>
          <w:tcPr>
            <w:tcW w:type="dxa" w:w="64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06</w:t>
            </w:r>
          </w:p>
        </w:tc>
        <w:tc>
          <w:tcPr>
            <w:tcW w:type="dxa" w:w="373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Plan de calidad</w:t>
            </w:r>
          </w:p>
        </w:tc>
        <w:tc>
          <w:tcPr>
            <w:tcW w:type="dxa" w:w="50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5.10.2; caps. 22 y 24; cap. 25 como referencia</w:t>
            </w:r>
          </w:p>
        </w:tc>
      </w:tr>
      <w:tr>
        <w:trPr>
          <w:cantSplit/>
        </w:trPr>
        <w:tc>
          <w:tcPr>
            <w:tcW w:type="dxa" w:w="64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07</w:t>
            </w:r>
          </w:p>
        </w:tc>
        <w:tc>
          <w:tcPr>
            <w:tcW w:type="dxa" w:w="373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Plan de métricas y medición</w:t>
            </w:r>
          </w:p>
        </w:tc>
        <w:tc>
          <w:tcPr>
            <w:tcW w:type="dxa" w:w="502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Cap. 15; 22.2</w:t>
            </w:r>
          </w:p>
        </w:tc>
      </w:tr>
      <w:tr>
        <w:trPr>
          <w:cantSplit/>
        </w:trPr>
        <w:tc>
          <w:tcPr>
            <w:tcW w:type="dxa" w:w="64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08</w:t>
            </w:r>
          </w:p>
        </w:tc>
        <w:tc>
          <w:tcPr>
            <w:tcW w:type="dxa" w:w="373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Seguimiento y control</w:t>
            </w:r>
          </w:p>
        </w:tc>
        <w:tc>
          <w:tcPr>
            <w:tcW w:type="dxa" w:w="50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Caps. 19 y 21</w:t>
            </w:r>
          </w:p>
        </w:tc>
      </w:tr>
      <w:tr>
        <w:trPr>
          <w:cantSplit/>
        </w:trPr>
        <w:tc>
          <w:tcPr>
            <w:tcW w:type="dxa" w:w="64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09</w:t>
            </w:r>
          </w:p>
        </w:tc>
        <w:tc>
          <w:tcPr>
            <w:tcW w:type="dxa" w:w="373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 de arquitectura</w:t>
            </w:r>
          </w:p>
        </w:tc>
        <w:tc>
          <w:tcPr>
            <w:tcW w:type="dxa" w:w="502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Cap. 13; 8.5; 8.6; 5.11.1</w:t>
            </w:r>
          </w:p>
        </w:tc>
      </w:tr>
      <w:tr>
        <w:trPr>
          <w:cantSplit/>
        </w:trPr>
        <w:tc>
          <w:tcPr>
            <w:tcW w:type="dxa" w:w="64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11</w:t>
            </w:r>
          </w:p>
        </w:tc>
        <w:tc>
          <w:tcPr>
            <w:tcW w:type="dxa" w:w="373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Especificación de prompts</w:t>
            </w:r>
          </w:p>
        </w:tc>
        <w:tc>
          <w:tcPr>
            <w:tcW w:type="dxa" w:w="50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14.1.2 (apoyo)</w:t>
            </w:r>
          </w:p>
        </w:tc>
      </w:tr>
      <w:tr>
        <w:trPr>
          <w:cantSplit/>
        </w:trPr>
        <w:tc>
          <w:tcPr>
            <w:tcW w:type="dxa" w:w="64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13</w:t>
            </w:r>
          </w:p>
        </w:tc>
        <w:tc>
          <w:tcPr>
            <w:tcW w:type="dxa" w:w="373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Estándares de codificación</w:t>
            </w:r>
          </w:p>
        </w:tc>
        <w:tc>
          <w:tcPr>
            <w:tcW w:type="dxa" w:w="502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15.4</w:t>
            </w:r>
          </w:p>
        </w:tc>
      </w:tr>
      <w:tr>
        <w:trPr>
          <w:cantSplit/>
        </w:trPr>
        <w:tc>
          <w:tcPr>
            <w:tcW w:type="dxa" w:w="64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14</w:t>
            </w:r>
          </w:p>
        </w:tc>
        <w:tc>
          <w:tcPr>
            <w:tcW w:type="dxa" w:w="373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Proceso de integración continua</w:t>
            </w:r>
          </w:p>
        </w:tc>
        <w:tc>
          <w:tcPr>
            <w:tcW w:type="dxa" w:w="50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17.2; 17.3</w:t>
            </w:r>
          </w:p>
        </w:tc>
      </w:tr>
      <w:tr>
        <w:trPr>
          <w:cantSplit/>
        </w:trPr>
        <w:tc>
          <w:tcPr>
            <w:tcW w:type="dxa" w:w="64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15</w:t>
            </w:r>
          </w:p>
        </w:tc>
        <w:tc>
          <w:tcPr>
            <w:tcW w:type="dxa" w:w="373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Plan de pruebas de software</w:t>
            </w:r>
          </w:p>
        </w:tc>
        <w:tc>
          <w:tcPr>
            <w:tcW w:type="dxa" w:w="502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Cap. 16; 17.1; 12.3</w:t>
            </w:r>
          </w:p>
        </w:tc>
      </w:tr>
      <w:tr>
        <w:trPr>
          <w:cantSplit/>
        </w:trPr>
        <w:tc>
          <w:tcPr>
            <w:tcW w:type="dxa" w:w="64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17</w:t>
            </w:r>
          </w:p>
        </w:tc>
        <w:tc>
          <w:tcPr>
            <w:tcW w:type="dxa" w:w="373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Seguridad de la plataforma</w:t>
            </w:r>
          </w:p>
        </w:tc>
        <w:tc>
          <w:tcPr>
            <w:tcW w:type="dxa" w:w="50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13.2.3 (apoyo)</w:t>
            </w:r>
          </w:p>
        </w:tc>
      </w:tr>
      <w:tr>
        <w:trPr>
          <w:cantSplit/>
        </w:trPr>
        <w:tc>
          <w:tcPr>
            <w:tcW w:type="dxa" w:w="64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19 y 20</w:t>
            </w:r>
          </w:p>
        </w:tc>
        <w:tc>
          <w:tcPr>
            <w:tcW w:type="dxa" w:w="373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Respaldo y retención; gestión de secretos</w:t>
            </w:r>
          </w:p>
        </w:tc>
        <w:tc>
          <w:tcPr>
            <w:tcW w:type="dxa" w:w="502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Documentos operativos, sin capítulo propio</w:t>
            </w:r>
          </w:p>
        </w:tc>
      </w:tr>
    </w:tbl>
    <w:p>
      <w:pPr>
        <w:spacing w:after="40" w:line="192" w:lineRule="auto"/>
      </w:pPr>
    </w:p>
    <w:p>
      <w:r>
        <w:t>Los documentos explican con palabras propias y citan capítulo y sección; no copian texto del libro.</w:t>
      </w:r>
    </w:p>
    <w:p>
      <w:pPr>
        <w:pStyle w:val="Heading1"/>
      </w:pPr>
      <w:bookmarkStart w:id="1006" w:name="_Toc0006"/>
      <w:r>
        <w:t>6. Matriz de trazabilidad</w:t>
      </w:r>
      <w:bookmarkEnd w:id="1006"/>
    </w:p>
    <w:p>
      <w:pPr>
        <w:pStyle w:val="Caption"/>
        <w:keepNext/>
        <w:spacing w:before="120" w:after="80"/>
      </w:pPr>
      <w:bookmarkStart w:id="5005" w:name="_Tab00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5</w:t>
      </w:r>
      <w:r>
        <w:fldChar w:fldCharType="end"/>
      </w:r>
      <w:r>
        <w:t xml:space="preserve">. </w:t>
      </w:r>
      <w:r>
        <w:t>Trazabilidad desde los objetivos específicos hasta la evidencia</w:t>
      </w:r>
      <w:bookmarkEnd w:id="5005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521"/>
        <w:gridCol w:w="1798"/>
        <w:gridCol w:w="1659"/>
        <w:gridCol w:w="2213"/>
        <w:gridCol w:w="2213"/>
      </w:tblGrid>
      <w:tr>
        <w:trPr>
          <w:cantSplit/>
          <w:tblHeader/>
        </w:trPr>
        <w:tc>
          <w:tcPr>
            <w:tcW w:type="dxa" w:w="152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Objetivo específico</w:t>
            </w:r>
          </w:p>
        </w:tc>
        <w:tc>
          <w:tcPr>
            <w:tcW w:type="dxa" w:w="179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Requerimientos</w:t>
            </w:r>
          </w:p>
        </w:tc>
        <w:tc>
          <w:tcPr>
            <w:tcW w:type="dxa" w:w="166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Componentes</w:t>
            </w:r>
          </w:p>
        </w:tc>
        <w:tc>
          <w:tcPr>
            <w:tcW w:type="dxa" w:w="221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Pruebas</w:t>
            </w:r>
          </w:p>
        </w:tc>
        <w:tc>
          <w:tcPr>
            <w:tcW w:type="dxa" w:w="221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Evidencia y estado</w:t>
            </w:r>
          </w:p>
        </w:tc>
      </w:tr>
      <w:tr>
        <w:trPr>
          <w:cantSplit/>
        </w:trPr>
        <w:tc>
          <w:tcPr>
            <w:tcW w:type="dxa" w:w="152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OE1 Infraestructura de detección con Wazuh</w:t>
            </w:r>
          </w:p>
        </w:tc>
        <w:tc>
          <w:tcPr>
            <w:tcW w:type="dxa" w:w="179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RF-01 a RF-04; RNF-06; RNF-07</w:t>
            </w:r>
          </w:p>
        </w:tc>
        <w:tc>
          <w:tcPr>
            <w:tcW w:type="dxa" w:w="16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SOAR-COLLECT, SOAR-DETECT, SOAR-CORE-01</w:t>
            </w:r>
          </w:p>
        </w:tc>
        <w:tc>
          <w:tcPr>
            <w:tcW w:type="dxa" w:w="221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Hito S1; prueba de reinicio; escaneo de puertos</w:t>
            </w:r>
          </w:p>
        </w:tc>
        <w:tc>
          <w:tcPr>
            <w:tcW w:type="dxa" w:w="2213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PR #7 (puertos);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laboratorio y reinicio</w:t>
            </w:r>
          </w:p>
        </w:tc>
      </w:tr>
      <w:tr>
        <w:trPr>
          <w:cantSplit/>
        </w:trPr>
        <w:tc>
          <w:tcPr>
            <w:tcW w:type="dxa" w:w="152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OE2 Catálogo de 25 playbooks en 4 niveles</w:t>
            </w:r>
          </w:p>
        </w:tc>
        <w:tc>
          <w:tcPr>
            <w:tcW w:type="dxa" w:w="179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RF-06; RF-10 a RF-15; RL-05; R2</w:t>
            </w:r>
          </w:p>
        </w:tc>
        <w:tc>
          <w:tcPr>
            <w:tcW w:type="dxa" w:w="16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SOAR-VALIDATE, SOAR-EXECUTE</w:t>
            </w:r>
          </w:p>
        </w:tc>
        <w:tc>
          <w:tcPr>
            <w:tcW w:type="dxa" w:w="221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tests/unit/test_catalogo.py</w:t>
            </w:r>
            <w:r>
              <w:rPr>
                <w:sz w:val="19"/>
              </w:rPr>
              <w:t>; documento 16</w:t>
            </w:r>
          </w:p>
        </w:tc>
        <w:tc>
          <w:tcPr>
            <w:tcW w:type="dxa" w:w="221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decision/catalogo/kro-cat-01.json</w:t>
            </w:r>
            <w:r>
              <w:rPr>
                <w:sz w:val="19"/>
              </w:rPr>
              <w:t xml:space="preserve"> (0.1);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actuadores</w:t>
            </w:r>
          </w:p>
        </w:tc>
      </w:tr>
      <w:tr>
        <w:trPr>
          <w:cantSplit/>
        </w:trPr>
        <w:tc>
          <w:tcPr>
            <w:tcW w:type="dxa" w:w="152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OE3 Modelo local con clasificación en dos pasos</w:t>
            </w:r>
          </w:p>
        </w:tc>
        <w:tc>
          <w:tcPr>
            <w:tcW w:type="dxa" w:w="179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RF-06 a RF-08; RNF-01; RNF-02; RNF-09; RNF-10</w:t>
            </w:r>
          </w:p>
        </w:tc>
        <w:tc>
          <w:tcPr>
            <w:tcW w:type="dxa" w:w="16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SOAR-CLASSIFY, SOAR-VALIDATE</w:t>
            </w:r>
          </w:p>
        </w:tc>
        <w:tc>
          <w:tcPr>
            <w:tcW w:type="dxa" w:w="2213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test_inferencia.py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test_contrato.py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test_inyeccion.py</w:t>
            </w:r>
            <w:r>
              <w:rPr>
                <w:sz w:val="19"/>
              </w:rPr>
              <w:t>; medición; ESC-04 y ESC-05</w:t>
            </w:r>
          </w:p>
        </w:tc>
        <w:tc>
          <w:tcPr>
            <w:tcW w:type="dxa" w:w="2213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CSV del 06-10 y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casos_inyeccion.json</w:t>
            </w:r>
            <w:r>
              <w:rPr>
                <w:sz w:val="19"/>
              </w:rPr>
              <w:t xml:space="preserve">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inyección contra el modelo</w:t>
            </w:r>
          </w:p>
        </w:tc>
      </w:tr>
      <w:tr>
        <w:trPr>
          <w:cantSplit/>
        </w:trPr>
        <w:tc>
          <w:tcPr>
            <w:tcW w:type="dxa" w:w="152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OE4 Orquestación con limitador de tasa y cortacircuito</w:t>
            </w:r>
          </w:p>
        </w:tc>
        <w:tc>
          <w:tcPr>
            <w:tcW w:type="dxa" w:w="179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RF-21; RF-25</w:t>
            </w:r>
          </w:p>
        </w:tc>
        <w:tc>
          <w:tcPr>
            <w:tcW w:type="dxa" w:w="16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SOAR-VALIDATE, SOAR-AUDIT</w:t>
            </w:r>
          </w:p>
        </w:tc>
        <w:tc>
          <w:tcPr>
            <w:tcW w:type="dxa" w:w="221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test_chequeos.py</w:t>
            </w:r>
            <w:r>
              <w:rPr>
                <w:sz w:val="19"/>
              </w:rPr>
              <w:t>; prueba de estrés de 30 alertas en 10 minutos</w:t>
            </w:r>
          </w:p>
        </w:tc>
        <w:tc>
          <w:tcPr>
            <w:tcW w:type="dxa" w:w="221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chequeo 5 en el código;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prueba de estrés</w:t>
            </w:r>
          </w:p>
        </w:tc>
      </w:tr>
      <w:tr>
        <w:trPr>
          <w:cantSplit/>
        </w:trPr>
        <w:tc>
          <w:tcPr>
            <w:tcW w:type="dxa" w:w="152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OE5 Persistencia inmutable</w:t>
            </w:r>
          </w:p>
        </w:tc>
        <w:tc>
          <w:tcPr>
            <w:tcW w:type="dxa" w:w="179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RF-09; RF-22; RF-24; RNF-03; RNF-04; RNF-11; RL-06</w:t>
            </w:r>
          </w:p>
        </w:tc>
        <w:tc>
          <w:tcPr>
            <w:tcW w:type="dxa" w:w="16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SOAR-AUDIT</w:t>
            </w:r>
          </w:p>
        </w:tc>
        <w:tc>
          <w:tcPr>
            <w:tcW w:type="dxa" w:w="2213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tests/sql</w:t>
            </w:r>
            <w:r>
              <w:rPr>
                <w:sz w:val="19"/>
              </w:rPr>
              <w:t xml:space="preserve"> a–d; restauración del respaldo</w:t>
            </w:r>
          </w:p>
        </w:tc>
        <w:tc>
          <w:tcPr>
            <w:tcW w:type="dxa" w:w="2213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docs/evidencia/esquema-audit-*.txt</w:t>
            </w:r>
            <w:r>
              <w:rPr>
                <w:sz w:val="19"/>
              </w:rPr>
              <w:t xml:space="preserve">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restauración</w:t>
            </w:r>
          </w:p>
        </w:tc>
      </w:tr>
    </w:tbl>
    <w:p>
      <w:pPr>
        <w:spacing w:after="40" w:line="192" w:lineRule="auto"/>
      </w:pPr>
    </w:p>
    <w:p>
      <w:r>
        <w:t>El detalle requerimiento por requerimiento está en el documento 02 (Especificación de requerimientos), sección «Trazabilidad». La estrategia de pruebas está en el documento 15 (Plan de pruebas de software).</w:t>
      </w:r>
    </w:p>
    <w:p>
      <w:pPr>
        <w:pStyle w:val="Heading1"/>
      </w:pPr>
      <w:bookmarkStart w:id="1007" w:name="_Toc0007"/>
      <w:r>
        <w:t>7. Diferencias entre las fuentes</w:t>
      </w:r>
      <w:bookmarkEnd w:id="1007"/>
    </w:p>
    <w:p>
      <w:r>
        <w:t>La precedencia es: repositorio, respuestas del equipo del 14-10-2026, «Tareas por integrante», registro KRO-LOG-RR-2026-10-08, plan de instalación y catálogo de medidas, casos de uso, replanteamiento SaaS y documentos de la Fase 1. Toda diferencia se anota.</w:t>
      </w:r>
    </w:p>
    <w:p>
      <w:pPr>
        <w:pStyle w:val="Caption"/>
        <w:keepNext/>
        <w:spacing w:before="120" w:after="80"/>
      </w:pPr>
      <w:bookmarkStart w:id="5006" w:name="_Tab00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6</w:t>
      </w:r>
      <w:r>
        <w:fldChar w:fldCharType="end"/>
      </w:r>
      <w:r>
        <w:t xml:space="preserve">. </w:t>
      </w:r>
      <w:r>
        <w:t>Diferencias encontradas al redactar</w:t>
      </w:r>
      <w:bookmarkEnd w:id="5006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578"/>
        <w:gridCol w:w="3979"/>
        <w:gridCol w:w="3328"/>
        <w:gridCol w:w="1519"/>
      </w:tblGrid>
      <w:tr>
        <w:trPr>
          <w:cantSplit/>
          <w:tblHeader/>
        </w:trPr>
        <w:tc>
          <w:tcPr>
            <w:tcW w:type="dxa" w:w="57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97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Diferencia</w:t>
            </w:r>
          </w:p>
        </w:tc>
        <w:tc>
          <w:tcPr>
            <w:tcW w:type="dxa" w:w="332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Qué se usó</w:t>
            </w:r>
          </w:p>
        </w:tc>
        <w:tc>
          <w:tcPr>
            <w:tcW w:type="dxa" w:w="151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Fuentes</w:t>
            </w:r>
          </w:p>
        </w:tc>
      </w:tr>
      <w:tr>
        <w:trPr>
          <w:cantSplit/>
        </w:trPr>
        <w:tc>
          <w:tcPr>
            <w:tcW w:type="dxa" w:w="5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</w:t>
            </w:r>
          </w:p>
        </w:tc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El contexto maestro sitúa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develop</w:t>
            </w:r>
            <w:r>
              <w:rPr>
                <w:sz w:val="19"/>
              </w:rPr>
              <w:t xml:space="preserve"> en el commit del PR #4. El repositorio ya integró los PR #5 y #6 el 14-10-2026</w:t>
            </w:r>
          </w:p>
        </w:tc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repositorio</w:t>
            </w:r>
          </w:p>
        </w:tc>
        <w:tc>
          <w:tcPr>
            <w:tcW w:type="dxa" w:w="151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Contexto y repositorio</w:t>
            </w:r>
          </w:p>
        </w:tc>
      </w:tr>
      <w:tr>
        <w:trPr>
          <w:cantSplit/>
        </w:trPr>
        <w:tc>
          <w:tcPr>
            <w:tcW w:type="dxa" w:w="5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</w:t>
            </w:r>
          </w:p>
        </w:tc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El contexto marca SOAR-VALIDATE como «no existe».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develop</w:t>
            </w:r>
            <w:r>
              <w:rPr>
                <w:sz w:val="19"/>
              </w:rPr>
              <w:t xml:space="preserve"> ya tiene el contrato JSON, los dos pasos con falla segura y los chequeos 2 a 6</w:t>
            </w:r>
          </w:p>
        </w:tc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El repositorio: núcleo lógico </w:t>
            </w: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, servicio </w:t>
            </w:r>
            <w:r>
              <w:rPr>
                <w:rFonts w:ascii="Segoe UI Emoji" w:hAnsi="Segoe UI Emoji"/>
                <w:sz w:val="19"/>
              </w:rPr>
              <w:t>⏳</w:t>
            </w:r>
          </w:p>
        </w:tc>
        <w:tc>
          <w:tcPr>
            <w:tcW w:type="dxa" w:w="151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Contexto y repositorio</w:t>
            </w:r>
          </w:p>
        </w:tc>
      </w:tr>
      <w:tr>
        <w:trPr>
          <w:cantSplit/>
        </w:trPr>
        <w:tc>
          <w:tcPr>
            <w:tcW w:type="dxa" w:w="5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3</w:t>
            </w:r>
          </w:p>
        </w:tc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contexto dice que el catálogo se define como datos en la etapa 3. Ya existe la versión de trabajo 0.1 como datos</w:t>
            </w:r>
          </w:p>
        </w:tc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repositorio</w:t>
            </w:r>
          </w:p>
        </w:tc>
        <w:tc>
          <w:tcPr>
            <w:tcW w:type="dxa" w:w="151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Contexto y repositorio</w:t>
            </w:r>
          </w:p>
        </w:tc>
      </w:tr>
      <w:tr>
        <w:trPr>
          <w:cantSplit/>
        </w:trPr>
        <w:tc>
          <w:tcPr>
            <w:tcW w:type="dxa" w:w="5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4</w:t>
            </w:r>
          </w:p>
        </w:tc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El contexto lista los 10 casos adversariales como «no ubicados» y la rama de casos de frontera como «sin integrar». Ambos están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develop</w:t>
            </w:r>
          </w:p>
        </w:tc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El repositorio</w:t>
            </w:r>
          </w:p>
        </w:tc>
        <w:tc>
          <w:tcPr>
            <w:tcW w:type="dxa" w:w="151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Contexto y repositorio</w:t>
            </w:r>
          </w:p>
        </w:tc>
      </w:tr>
      <w:tr>
        <w:trPr>
          <w:cantSplit/>
        </w:trPr>
        <w:tc>
          <w:tcPr>
            <w:tcW w:type="dxa" w:w="5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5</w:t>
            </w:r>
          </w:p>
        </w:tc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contexto registra como excepción a la revisión sólo los PR #2 y #3 (D-20). GitHub no muestra revisiones en ningún PR integrado (#1 a #6)</w:t>
            </w:r>
          </w:p>
        </w:tc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GitHub; se marca por confirmar</w:t>
            </w:r>
          </w:p>
        </w:tc>
        <w:tc>
          <w:tcPr>
            <w:tcW w:type="dxa" w:w="151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Contexto y GitHub</w:t>
            </w:r>
          </w:p>
        </w:tc>
      </w:tr>
      <w:tr>
        <w:trPr>
          <w:cantSplit/>
        </w:trPr>
        <w:tc>
          <w:tcPr>
            <w:tcW w:type="dxa" w:w="5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6</w:t>
            </w:r>
          </w:p>
        </w:tc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El contexto marca el 1514 como «por publicar». El PR #7, abierto, informa que ya se publicó y que 1515 y 55000 están cerrados</w:t>
            </w:r>
          </w:p>
        </w:tc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hasta revisar el PR #7</w:t>
            </w:r>
          </w:p>
        </w:tc>
        <w:tc>
          <w:tcPr>
            <w:tcW w:type="dxa" w:w="151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Contexto y PR #7</w:t>
            </w:r>
          </w:p>
        </w:tc>
      </w:tr>
      <w:tr>
        <w:trPr>
          <w:cantSplit/>
        </w:trPr>
        <w:tc>
          <w:tcPr>
            <w:tcW w:type="dxa" w:w="5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7</w:t>
            </w:r>
          </w:p>
        </w:tc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contexto ubica Ollama en el 11434. El cliente y el script de medición usan por defecto un puerto local distinto (11435)</w:t>
            </w:r>
          </w:p>
        </w:tc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Se marca por confirmar</w:t>
            </w:r>
          </w:p>
        </w:tc>
        <w:tc>
          <w:tcPr>
            <w:tcW w:type="dxa" w:w="151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Contexto y repositorio</w:t>
            </w:r>
          </w:p>
        </w:tc>
      </w:tr>
      <w:tr>
        <w:trPr>
          <w:cantSplit/>
        </w:trPr>
        <w:tc>
          <w:tcPr>
            <w:tcW w:type="dxa" w:w="5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8</w:t>
            </w:r>
          </w:p>
        </w:tc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El paso 2 usa el catálogo provisional y el chequeo 3 valida contra el catálogo 0.1, con los mismos códigos y otro significado</w:t>
            </w:r>
          </w:p>
        </w:tc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 documenta como riesgo</w:t>
            </w:r>
          </w:p>
        </w:tc>
        <w:tc>
          <w:tcPr>
            <w:tcW w:type="dxa" w:w="151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Repositorio</w:t>
            </w:r>
          </w:p>
        </w:tc>
      </w:tr>
      <w:tr>
        <w:trPr>
          <w:cantSplit/>
        </w:trPr>
        <w:tc>
          <w:tcPr>
            <w:tcW w:type="dxa" w:w="5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9</w:t>
            </w:r>
          </w:p>
        </w:tc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contexto dice que el nivel 1 se revierte solo. En el catálogo 0.1, tres medidas de nivel 1 (PB-F2-02, PB-F5-01 y PB-F5-02) tienen reversión manual y lo marcan como pendiente</w:t>
            </w:r>
          </w:p>
        </w:tc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Se documenta como punto abierto del catálogo</w:t>
            </w:r>
          </w:p>
        </w:tc>
        <w:tc>
          <w:tcPr>
            <w:tcW w:type="dxa" w:w="151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Contexto y repositorio</w:t>
            </w:r>
          </w:p>
        </w:tc>
      </w:tr>
      <w:tr>
        <w:trPr>
          <w:cantSplit/>
        </w:trPr>
        <w:tc>
          <w:tcPr>
            <w:tcW w:type="dxa" w:w="5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10</w:t>
            </w:r>
          </w:p>
        </w:tc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El registro del 08-10-2026 pedía una copia de respaldo «sin pasar por PC personales». D-26 la ubica en el PC de Nicolás</w:t>
            </w:r>
          </w:p>
        </w:tc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D-26, con sus condiciones y R-10</w:t>
            </w:r>
          </w:p>
        </w:tc>
        <w:tc>
          <w:tcPr>
            <w:tcW w:type="dxa" w:w="151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Registro y respuestas del equipo</w:t>
            </w:r>
          </w:p>
        </w:tc>
      </w:tr>
      <w:tr>
        <w:trPr>
          <w:cantSplit/>
        </w:trPr>
        <w:tc>
          <w:tcPr>
            <w:tcW w:type="dxa" w:w="5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11</w:t>
            </w:r>
          </w:p>
        </w:tc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El registro y las ramas usan etapas numeradas (etapa 1,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e2</w:t>
            </w:r>
            <w:r>
              <w:rPr>
                <w:sz w:val="19"/>
              </w:rPr>
              <w:t>); el equipo dice que la numeración está por definir (D-30)</w:t>
            </w:r>
          </w:p>
        </w:tc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Sprints como calendario</w:t>
            </w:r>
          </w:p>
        </w:tc>
        <w:tc>
          <w:tcPr>
            <w:tcW w:type="dxa" w:w="151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Registro, repositorio y respuestas</w:t>
            </w:r>
          </w:p>
        </w:tc>
      </w:tr>
      <w:tr>
        <w:trPr>
          <w:cantSplit/>
        </w:trPr>
        <w:tc>
          <w:tcPr>
            <w:tcW w:type="dxa" w:w="5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12</w:t>
            </w:r>
          </w:p>
        </w:tc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El contexto no menciona las 72 pruebas unitarias de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tests/unit</w:t>
            </w:r>
            <w:r>
              <w:rPr>
                <w:sz w:val="19"/>
              </w:rPr>
              <w:t>, que el CI no ejecuta</w:t>
            </w:r>
          </w:p>
        </w:tc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El repositorio</w:t>
            </w:r>
          </w:p>
        </w:tc>
        <w:tc>
          <w:tcPr>
            <w:tcW w:type="dxa" w:w="151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Contexto y repositorio</w:t>
            </w:r>
          </w:p>
        </w:tc>
      </w:tr>
      <w:tr>
        <w:trPr>
          <w:cantSplit/>
        </w:trPr>
        <w:tc>
          <w:tcPr>
            <w:tcW w:type="dxa" w:w="5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13</w:t>
            </w:r>
          </w:p>
        </w:tc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El contexto prevé nombres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KRO-DOC-NN_tema.docx</w:t>
            </w:r>
            <w:r>
              <w:rPr>
                <w:sz w:val="19"/>
              </w:rPr>
              <w:t xml:space="preserve"> y otra lista de pospuestos en su sección 12.3. La instrucción de esta entrega pide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NN_tema.docx</w:t>
            </w:r>
            <w:r>
              <w:rPr>
                <w:sz w:val="19"/>
              </w:rPr>
              <w:t>, sin otros códigos, y pospone los documentos 10, 12, 16, 18, 21 y 22</w:t>
            </w:r>
          </w:p>
        </w:tc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 instrucción de la entrega</w:t>
            </w:r>
          </w:p>
        </w:tc>
        <w:tc>
          <w:tcPr>
            <w:tcW w:type="dxa" w:w="151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Contexto e instrucción del equipo</w:t>
            </w:r>
          </w:p>
        </w:tc>
      </w:tr>
      <w:tr>
        <w:trPr>
          <w:cantSplit/>
        </w:trPr>
        <w:tc>
          <w:tcPr>
            <w:tcW w:type="dxa" w:w="5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14</w:t>
            </w:r>
          </w:p>
        </w:tc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El contexto asigna a SOAR-NOTIFY un correo transaccional según el replanteamiento; D-35 hace manual el aviso a la persona afectada</w:t>
            </w:r>
          </w:p>
        </w:tc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 marca por confirmar el uso del correo</w:t>
            </w:r>
          </w:p>
        </w:tc>
        <w:tc>
          <w:tcPr>
            <w:tcW w:type="dxa" w:w="151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Contexto</w:t>
            </w:r>
          </w:p>
        </w:tc>
      </w:tr>
      <w:tr>
        <w:trPr>
          <w:cantSplit/>
        </w:trPr>
        <w:tc>
          <w:tcPr>
            <w:tcW w:type="dxa" w:w="5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15</w:t>
            </w:r>
          </w:p>
        </w:tc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registro del 08-10-2026 contiene una dirección IP de la red privada</w:t>
            </w:r>
          </w:p>
        </w:tc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Se copió 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docs/registro/</w:t>
            </w:r>
            <w:r>
              <w:rPr>
                <w:sz w:val="19"/>
              </w:rPr>
              <w:t xml:space="preserve"> con esa dirección omitida</w:t>
            </w:r>
          </w:p>
        </w:tc>
        <w:tc>
          <w:tcPr>
            <w:tcW w:type="dxa" w:w="151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Registro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8" w:name="_Toc0008"/>
      <w:r>
        <w:t>8. Referencias</w:t>
      </w:r>
      <w:bookmarkEnd w:id="1008"/>
    </w:p>
    <w:p>
      <w:pPr>
        <w:ind w:left="567" w:hanging="567"/>
      </w:pPr>
      <w:r>
        <w:rPr>
          <w:sz w:val="20"/>
        </w:rPr>
        <w:t>Pantaleo, G., y Rinaudo, L. (</w:t>
      </w:r>
      <w:r>
        <w:rPr>
          <w:b/>
          <w:color w:val="7A4A00"/>
          <w:sz w:val="20"/>
          <w:highlight w:val="yellow"/>
        </w:rPr>
        <w:t>[POR CONFIRMAR: año y edición, tomados de la portada del libro — preguntar a Patricio]</w:t>
      </w:r>
      <w:r>
        <w:rPr>
          <w:sz w:val="20"/>
        </w:rPr>
        <w:t xml:space="preserve">). </w:t>
      </w:r>
      <w:r>
        <w:rPr>
          <w:i/>
          <w:sz w:val="20"/>
        </w:rPr>
        <w:t>Ingeniería de software</w:t>
      </w:r>
      <w:r>
        <w:rPr>
          <w:sz w:val="20"/>
        </w:rPr>
        <w:t>. Alfaomega.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Kronos AI — Contexto maestro para la redacción de documentos</w:t>
      </w:r>
      <w:r>
        <w:rPr>
          <w:sz w:val="20"/>
        </w:rPr>
        <w:t xml:space="preserve"> (versión 2.1, 14-10-2026) [Documento interno].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soarai2026/kronos-ai</w:t>
      </w:r>
      <w:r>
        <w:rPr>
          <w:sz w:val="20"/>
        </w:rPr>
        <w:t xml:space="preserve"> [Repositorio privado, rama develop]. GitHub.</w:t>
      </w:r>
    </w:p>
    <w:p>
      <w:pPr>
        <w:ind w:left="567" w:hanging="567"/>
      </w:pPr>
      <w:r>
        <w:rPr>
          <w:sz w:val="20"/>
        </w:rPr>
        <w:t xml:space="preserve">Riveros, R. (2026). </w:t>
      </w:r>
      <w:r>
        <w:rPr>
          <w:i/>
          <w:sz w:val="20"/>
        </w:rPr>
        <w:t>Registro de trabajo KRO-LOG-RR-2026-10-08</w:t>
      </w:r>
      <w:r>
        <w:rPr>
          <w:sz w:val="20"/>
        </w:rPr>
        <w:t xml:space="preserve"> [Documento interno].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05" w:val="right"/>
      </w:tabs>
      <w:pBdr>
        <w:top w:val="single" w:sz="4" w:space="4" w:color="BFBFBF"/>
      </w:pBdr>
    </w:pPr>
    <w:r>
      <w:rPr>
        <w:color w:val="6B6B6B"/>
        <w:sz w:val="18"/>
      </w:rPr>
      <w:t>Uso interno · Versión 0.1</w:t>
    </w:r>
    <w:r>
      <w:rPr>
        <w:color w:val="6B6B6B"/>
        <w:sz w:val="18"/>
      </w:rPr>
      <w:tab/>
      <w:t xml:space="preserve">Página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PAGE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  <w:r>
      <w:rPr>
        <w:color w:val="6B6B6B"/>
        <w:sz w:val="18"/>
      </w:rPr>
      <w:t xml:space="preserve"> de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NUMPAGES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05" w:val="right"/>
      </w:tabs>
      <w:pBdr>
        <w:bottom w:val="single" w:sz="4" w:space="4" w:color="BFBFBF"/>
      </w:pBdr>
    </w:pPr>
    <w:r>
      <w:rPr>
        <w:b/>
        <w:color w:val="1F3A5F"/>
        <w:sz w:val="18"/>
      </w:rPr>
      <w:t>Kronos AI</w:t>
    </w:r>
    <w:r>
      <w:rPr>
        <w:color w:val="6B6B6B"/>
        <w:sz w:val="18"/>
      </w:rPr>
      <w:tab/>
      <w:t>Documento 00 · Índice documental y matriz de trazabilidad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</w:pPr>
    <w:rPr>
      <w:rFonts w:ascii="Calibri" w:hAnsi="Calibri" w:eastAsia="Calibri"/>
      <w:sz w:val="22"/>
      <w:lang w:val="es-CL" w:eastAsia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40" w:lineRule="auto"/>
      <w:outlineLvl w:val="0"/>
      <w:pBdr>
        <w:bottom w:val="single" w:sz="6" w:space="4" w:color="1F3A5F"/>
      </w:pBdr>
    </w:pPr>
    <w:rPr>
      <w:rFonts w:ascii="Calibri" w:hAnsi="Calibri" w:eastAsia="Calibri" w:cs="Calibri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="Calibri" w:hAnsi="Calibri" w:eastAsia="Calibri" w:cs="Calibri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="Calibri" w:hAnsi="Calibri" w:eastAsia="Calibri" w:cs="Calibri"/>
      <w:b/>
      <w:bCs/>
      <w:i w:val="0"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</w:pPr>
    <w:rPr>
      <w:rFonts w:ascii="Calibri" w:hAnsi="Calibri"/>
      <w:b w:val="0"/>
      <w:bCs/>
      <w:i/>
      <w:color w:val="40404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basedOn w:val="Normal"/>
    <w:pPr>
      <w:keepLines/>
      <w:spacing w:line="240" w:lineRule="auto" w:after="160"/>
      <w:ind w:left="113" w:right="113"/>
      <w:shd w:val="clear" w:color="auto" w:fill="F2F2F2"/>
      <w:pBdr>
        <w:top w:val="single" w:sz="4" w:space="4" w:color="D9D9D9"/>
        <w:left w:val="single" w:sz="4" w:space="4" w:color="D9D9D9"/>
        <w:bottom w:val="single" w:sz="4" w:space="4" w:color="D9D9D9"/>
        <w:right w:val="single" w:sz="4" w:space="4" w:color="D9D9D9"/>
      </w:pBdr>
    </w:pPr>
    <w:rPr>
      <w:rFonts w:ascii="Consolas" w:hAnsi="Consolas" w:eastAsia="Consolas"/>
      <w:sz w:val="17"/>
    </w:rPr>
  </w:style>
  <w:style w:type="paragraph" w:customStyle="1" w:styleId="Nota">
    <w:name w:val="Nota"/>
    <w:basedOn w:val="Normal"/>
    <w:pPr>
      <w:spacing w:before="80" w:after="160"/>
      <w:ind w:left="170" w:right="113"/>
      <w:shd w:val="clear" w:color="auto" w:fill="EEF3F8"/>
      <w:pBdr>
        <w:left w:val="single" w:sz="24" w:space="6" w:color="1F3A5F"/>
      </w:pBdr>
    </w:pPr>
    <w:rPr>
      <w:sz w:val="20"/>
    </w:rPr>
  </w:style>
  <w:style w:type="paragraph" w:customStyle="1" w:styleId="Textodetabla">
    <w:name w:val="Texto de tabla"/>
    <w:basedOn w:val="Normal"/>
    <w:pPr>
      <w:spacing w:after="0" w:before="0" w:line="240" w:lineRule="auto"/>
    </w:pPr>
    <w:rPr>
      <w:sz w:val="19"/>
    </w:rPr>
  </w:style>
  <w:style w:type="paragraph" w:customStyle="1" w:styleId="Viñeta">
    <w:name w:val="Viñeta"/>
    <w:basedOn w:val="Normal"/>
    <w:pPr>
      <w:spacing w:after="60"/>
      <w:ind w:left="510" w:hanging="255"/>
    </w:pPr>
  </w:style>
  <w:style w:type="paragraph" w:customStyle="1" w:styleId="Viñeta2">
    <w:name w:val="Viñeta 2"/>
    <w:basedOn w:val="Viñeta"/>
    <w:pPr>
      <w:ind w:left="907" w:hanging="255"/>
    </w:pPr>
  </w:style>
  <w:style w:type="paragraph" w:customStyle="1" w:styleId="TOC1">
    <w:name w:val="TOC 1"/>
    <w:basedOn w:val="Normal"/>
    <w:pPr>
      <w:tabs>
        <w:tab w:pos="9405" w:val="right" w:leader="dot"/>
      </w:tabs>
      <w:spacing w:after="80" w:before="80"/>
      <w:ind w:left="0"/>
    </w:pPr>
    <w:rPr>
      <w:b/>
      <w:sz w:val="21"/>
    </w:rPr>
  </w:style>
  <w:style w:type="paragraph" w:customStyle="1" w:styleId="TOC2">
    <w:name w:val="TOC 2"/>
    <w:basedOn w:val="Normal"/>
    <w:pPr>
      <w:tabs>
        <w:tab w:pos="9405" w:val="right" w:leader="dot"/>
      </w:tabs>
      <w:spacing w:after="40" w:before="0"/>
      <w:ind w:left="340"/>
    </w:pPr>
    <w:rPr>
      <w:b w:val="0"/>
      <w:sz w:val="20"/>
    </w:rPr>
  </w:style>
  <w:style w:type="paragraph" w:customStyle="1" w:styleId="TOC3">
    <w:name w:val="TOC 3"/>
    <w:basedOn w:val="Normal"/>
    <w:pPr>
      <w:tabs>
        <w:tab w:pos="9405" w:val="right" w:leader="dot"/>
      </w:tabs>
      <w:spacing w:after="40" w:before="0"/>
      <w:ind w:left="680"/>
    </w:pPr>
    <w:rPr>
      <w:b w:val="0"/>
      <w:sz w:val="20"/>
    </w:rPr>
  </w:style>
  <w:style w:type="paragraph" w:customStyle="1" w:styleId="TableofFigures">
    <w:name w:val="Table of Figures"/>
    <w:basedOn w:val="Normal"/>
    <w:pPr>
      <w:tabs>
        <w:tab w:pos="9405" w:val="right" w:leader="dot"/>
      </w:tabs>
      <w:spacing w:after="40"/>
    </w:pPr>
    <w:rPr>
      <w:sz w:val="20"/>
    </w:rPr>
  </w:style>
  <w:style w:type="paragraph" w:customStyle="1" w:styleId="Listanumerada">
    <w:name w:val="Lista numerada"/>
    <w:basedOn w:val="Viñeta"/>
    <w:pPr>
      <w:ind w:left="510" w:hanging="3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· Índice documental y matriz de trazabilidad</dc:title>
  <dc:subject>Kronos AI</dc:subject>
  <dc:creator>Equipo Kronos AI</dc:creator>
  <cp:keywords>Kronos AI; Capstone; DUOC UC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