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  <w:r>
        <w:rPr>
          <w:b/>
          <w:color w:val="1F3A5F"/>
          <w:sz w:val="60"/>
        </w:rPr>
        <w:t>KRONOS AI</w:t>
      </w:r>
    </w:p>
    <w:p>
      <w:pPr>
        <w:pBdr>
          <w:bottom w:val="single" w:sz="12" w:space="8" w:color="1F3A5F"/>
        </w:pBdr>
      </w:pPr>
      <w:r>
        <w:rPr>
          <w:color w:val="6B6B6B"/>
          <w:sz w:val="24"/>
        </w:rPr>
        <w:t>SOAR con clasificación de incidentes asistida por IA bajo control determinista</w:t>
      </w:r>
    </w:p>
    <w:p>
      <w:pPr>
        <w:spacing w:before="1800"/>
      </w:pPr>
      <w:r>
        <w:rPr>
          <w:b/>
          <w:color w:val="404040"/>
          <w:sz w:val="28"/>
        </w:rPr>
        <w:t>Documento 02</w:t>
      </w:r>
    </w:p>
    <w:p>
      <w:pPr>
        <w:spacing w:after="120"/>
      </w:pPr>
      <w:r>
        <w:rPr>
          <w:b/>
          <w:color w:val="1F3A5F"/>
          <w:sz w:val="52"/>
        </w:rPr>
        <w:t>Especificación de requerimientos</w:t>
      </w:r>
    </w:p>
    <w:p>
      <w:r>
        <w:rPr>
          <w:i/>
          <w:color w:val="404040"/>
          <w:sz w:val="23"/>
        </w:rPr>
        <w:t>Actores, requerimientos funcionales, no funcionales y legales, restricciones de diseño, casos de uso del sistema, estados y priorización de Kronos AI.</w:t>
      </w:r>
    </w:p>
    <w:p>
      <w:pPr>
        <w:spacing w:before="360"/>
      </w:pPr>
      <w:r>
        <w:rPr>
          <w:color w:val="404040"/>
          <w:sz w:val="22"/>
        </w:rPr>
        <w:t>Versión 0.1 (borrador) · 14-10-2026</w:t>
      </w:r>
    </w:p>
    <w:p>
      <w:pPr>
        <w:spacing w:before="2400" w:after="40"/>
        <w:pBdr>
          <w:top w:val="single" w:sz="4" w:space="8" w:color="BFBFBF"/>
        </w:pBdr>
      </w:pPr>
      <w:r>
        <w:rPr>
          <w:b/>
          <w:color w:val="1F3A5F"/>
          <w:sz w:val="21"/>
        </w:rPr>
        <w:t xml:space="preserve">Integrantes: </w:t>
      </w:r>
      <w:r>
        <w:rPr>
          <w:sz w:val="21"/>
        </w:rPr>
        <w:t>Nicolás Zamora · Rodrigo Riveros · Patricio González</w:t>
      </w:r>
    </w:p>
    <w:p>
      <w:pPr>
        <w:spacing w:after="40"/>
      </w:pPr>
      <w:r>
        <w:rPr>
          <w:b/>
          <w:color w:val="1F3A5F"/>
          <w:sz w:val="21"/>
        </w:rPr>
        <w:t xml:space="preserve">Profesor guía: </w:t>
      </w:r>
      <w:r>
        <w:rPr>
          <w:sz w:val="21"/>
        </w:rPr>
        <w:t>Ceferino Aníbal Sotelo Becerra</w:t>
      </w:r>
    </w:p>
    <w:p>
      <w:pPr>
        <w:spacing w:after="40"/>
      </w:pPr>
      <w:r>
        <w:rPr>
          <w:b/>
          <w:color w:val="1F3A5F"/>
          <w:sz w:val="21"/>
        </w:rPr>
        <w:t xml:space="preserve">Asignatura: </w:t>
      </w:r>
      <w:r>
        <w:rPr>
          <w:sz w:val="21"/>
        </w:rPr>
        <w:t>Capstone — Portafolio de Título</w:t>
      </w:r>
    </w:p>
    <w:p>
      <w:pPr>
        <w:spacing w:after="40"/>
      </w:pPr>
      <w:r>
        <w:rPr>
          <w:b/>
          <w:color w:val="1F3A5F"/>
          <w:sz w:val="21"/>
        </w:rPr>
        <w:t xml:space="preserve">Carrera: </w:t>
      </w:r>
      <w:r>
        <w:rPr>
          <w:sz w:val="21"/>
        </w:rPr>
        <w:t>Ingeniería en Informática</w:t>
      </w:r>
    </w:p>
    <w:p>
      <w:pPr>
        <w:spacing w:after="40"/>
      </w:pPr>
      <w:r>
        <w:rPr>
          <w:b/>
          <w:color w:val="1F3A5F"/>
          <w:sz w:val="21"/>
        </w:rPr>
        <w:t xml:space="preserve">Institución: </w:t>
      </w:r>
      <w:r>
        <w:rPr>
          <w:sz w:val="21"/>
        </w:rPr>
        <w:t>DUOC UC, sede Padre Alonso de Ovalle, Santiago</w:t>
      </w:r>
    </w:p>
    <w:p>
      <w:pPr>
        <w:spacing w:after="0"/>
      </w:pPr>
      <w:r>
        <w:br w:type="page"/>
      </w:r>
    </w:p>
    <w:p>
      <w:pPr>
        <w:keepNext/>
        <w:spacing w:after="160" w:before="0"/>
      </w:pPr>
      <w:r>
        <w:rPr>
          <w:b/>
          <w:color w:val="1F3A5F"/>
          <w:sz w:val="32"/>
        </w:rPr>
        <w:t>Control del documento</w:t>
      </w:r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268"/>
        <w:gridCol w:w="7138"/>
      </w:tblGrid>
      <w:tr>
        <w:trPr>
          <w:cantSplit/>
          <w:tblHeader/>
        </w:trPr>
        <w:tc>
          <w:tcPr>
            <w:tcW w:type="dxa" w:w="226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713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Documento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02 · Especificación de requerimientos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Proyecto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Kronos AI — SOAR con clasificación asistida por IA bajo control determinista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Versión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0.1 (borrador)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Fecha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2026-10-14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Autor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Patricio González (redacción asistida por IA)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Revisor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Por asignar en la revisión del PR (otro integrante, distinto del autor)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Estado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Borrador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Base bibliográfica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Pantaleo y Rinaudo, 10.2, caps. 11 y 12, y 9.3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Archivo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docs/entregables/02_requerimientos.docx</w:t>
            </w:r>
          </w:p>
        </w:tc>
      </w:tr>
    </w:tbl>
    <w:p>
      <w:pPr>
        <w:spacing w:after="40" w:line="192" w:lineRule="auto"/>
      </w:pPr>
    </w:p>
    <w:p>
      <w:pPr>
        <w:keepNext/>
        <w:spacing w:after="160" w:before="120"/>
      </w:pPr>
      <w:r>
        <w:rPr>
          <w:b/>
          <w:color w:val="1F3A5F"/>
          <w:sz w:val="26"/>
        </w:rPr>
        <w:t>Historial de versiones</w:t>
      </w:r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1020"/>
        <w:gridCol w:w="1360"/>
        <w:gridCol w:w="2608"/>
        <w:gridCol w:w="4416"/>
      </w:tblGrid>
      <w:tr>
        <w:trPr>
          <w:cantSplit/>
          <w:tblHeader/>
        </w:trPr>
        <w:tc>
          <w:tcPr>
            <w:tcW w:type="dxa" w:w="1020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136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260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Autor</w:t>
            </w:r>
          </w:p>
        </w:tc>
        <w:tc>
          <w:tcPr>
            <w:tcW w:type="dxa" w:w="4416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Cambios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0.1</w:t>
            </w:r>
          </w:p>
        </w:tc>
        <w:tc>
          <w:tcPr>
            <w:tcW w:type="dxa" w:w="136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2026-10-14</w:t>
            </w:r>
          </w:p>
        </w:tc>
        <w:tc>
          <w:tcPr>
            <w:tcW w:type="dxa" w:w="260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Patricio González</w:t>
            </w:r>
          </w:p>
        </w:tc>
        <w:tc>
          <w:tcPr>
            <w:tcW w:type="dxa" w:w="441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Primera versión para la entrega del 16-10-2026</w:t>
            </w:r>
          </w:p>
        </w:tc>
      </w:tr>
    </w:tbl>
    <w:p>
      <w:pPr>
        <w:spacing w:after="40" w:line="192" w:lineRule="auto"/>
      </w:pPr>
    </w:p>
    <w:p>
      <w:pPr>
        <w:keepNext/>
        <w:spacing w:after="160" w:before="120"/>
      </w:pPr>
      <w:r>
        <w:rPr>
          <w:b/>
          <w:color w:val="1F3A5F"/>
          <w:sz w:val="26"/>
        </w:rPr>
        <w:t>Cómo leer este documento</w:t>
      </w:r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041"/>
        <w:gridCol w:w="7365"/>
      </w:tblGrid>
      <w:tr>
        <w:trPr>
          <w:cantSplit/>
          <w:tblHeader/>
        </w:trPr>
        <w:tc>
          <w:tcPr>
            <w:tcW w:type="dxa" w:w="204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Marca</w:t>
            </w:r>
          </w:p>
        </w:tc>
        <w:tc>
          <w:tcPr>
            <w:tcW w:type="dxa" w:w="7364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Significado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Verificado</w:t>
            </w:r>
          </w:p>
        </w:tc>
        <w:tc>
          <w:tcPr>
            <w:tcW w:type="dxa" w:w="736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Hay evidencia en el repositorio, en la salida de una terminal o en un documento del equipo.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🟡</w:t>
            </w:r>
            <w:r>
              <w:rPr>
                <w:sz w:val="19"/>
              </w:rPr>
              <w:t xml:space="preserve"> Informado</w:t>
            </w:r>
          </w:p>
        </w:tc>
        <w:tc>
          <w:tcPr>
            <w:tcW w:type="dxa" w:w="736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Lo dice un documento o una herramienta, pero no se ha comprobado o la fuente es antigua.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Pendiente</w:t>
            </w:r>
          </w:p>
        </w:tc>
        <w:tc>
          <w:tcPr>
            <w:tcW w:type="dxa" w:w="736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Está decidido hacerlo, pero no se ha hecho.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❓</w:t>
            </w:r>
            <w:r>
              <w:rPr>
                <w:sz w:val="19"/>
              </w:rPr>
              <w:t xml:space="preserve"> Por confirmar</w:t>
            </w:r>
          </w:p>
        </w:tc>
        <w:tc>
          <w:tcPr>
            <w:tcW w:type="dxa" w:w="736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Falta el dato. No se inventa: se marca </w:t>
            </w:r>
            <w:r>
              <w:rPr>
                <w:b/>
                <w:color w:val="7A4A00"/>
                <w:sz w:val="19"/>
                <w:highlight w:val="yellow"/>
              </w:rPr>
              <w:t>[POR CONFIRMAR: …]</w:t>
            </w:r>
            <w:r>
              <w:rPr>
                <w:sz w:val="19"/>
              </w:rPr>
              <w:t xml:space="preserve"> y se agrega a docs/00-indice/preguntas-abiertas.md.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pStyle w:val="Textodetabla"/>
            </w:pPr>
            <w:r>
              <w:rPr>
                <w:b/>
                <w:color w:val="004D40"/>
                <w:sz w:val="19"/>
                <w:highlight w:val="cyan"/>
              </w:rPr>
              <w:t>[PENDIENTE: …]</w:t>
            </w:r>
          </w:p>
        </w:tc>
        <w:tc>
          <w:tcPr>
            <w:tcW w:type="dxa" w:w="736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Depende de la instalación en la farmacia (D-28); se lista en docs/00-indice/pendientes-farmacia.md.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b/>
                <w:color w:val="8A2B0E"/>
                <w:sz w:val="19"/>
              </w:rPr>
              <w:t>«Propuesta»</w:t>
            </w:r>
          </w:p>
        </w:tc>
        <w:tc>
          <w:tcPr>
            <w:tcW w:type="dxa" w:w="736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Lo propone la redacción y el equipo aún no lo decide.</w:t>
            </w:r>
          </w:p>
        </w:tc>
      </w:tr>
    </w:tbl>
    <w:p>
      <w:pPr>
        <w:spacing w:after="40" w:line="192" w:lineRule="auto"/>
      </w:pPr>
    </w:p>
    <w:p>
      <w:r>
        <w:rPr>
          <w:sz w:val="19"/>
        </w:rPr>
        <w:t>Los documentos se identifican por su número y su nombre. Las remisiones a otro documento se escriben «documento NN (Nombre)». Este documento no contiene secretos, contraseñas, llaves, tokens, direcciones IP reales ni datos que identifiquen a la farmacia o a su personal.</w:t>
      </w:r>
    </w:p>
    <w:p>
      <w:pPr>
        <w:spacing w:after="0"/>
      </w:pPr>
      <w:r>
        <w:br w:type="page"/>
      </w:r>
    </w:p>
    <w:p>
      <w:pPr>
        <w:keepNext/>
        <w:spacing w:after="160" w:before="0"/>
      </w:pPr>
      <w:r>
        <w:rPr>
          <w:b/>
          <w:color w:val="1F3A5F"/>
          <w:sz w:val="32"/>
        </w:rPr>
        <w:t>Índice</w:t>
      </w:r>
    </w:p>
    <w:p>
      <w:pPr>
        <w:pStyle w:val="TOC1"/>
      </w:pPr>
      <w:r>
        <w:fldChar w:fldCharType="begin"/>
        <w:instrText xml:space="preserve"> TOC \o "1-3" \h \z \u </w:instrText>
        <w:fldChar w:fldCharType="separate"/>
      </w:r>
      <w:hyperlink w:anchor="_Toc0001" w:history="1">
        <w:r>
          <w:rPr/>
          <w:t xml:space="preserve">1. Propósito y alcance</w:t>
          <w:tab/>
          <w:t xml:space="preserve">5</w:t>
        </w:r>
      </w:hyperlink>
    </w:p>
    <w:p>
      <w:pPr>
        <w:pStyle w:val="TOC2"/>
      </w:pPr>
      <w:hyperlink w:anchor="_Toc0002" w:history="1">
        <w:r>
          <w:rPr/>
          <w:t xml:space="preserve">1.1 Cómo se relevaron los requerimientos</w:t>
          <w:tab/>
          <w:t xml:space="preserve">5</w:t>
        </w:r>
      </w:hyperlink>
    </w:p>
    <w:p>
      <w:pPr>
        <w:pStyle w:val="TOC2"/>
      </w:pPr>
      <w:hyperlink w:anchor="_Toc0003" w:history="1">
        <w:r>
          <w:rPr/>
          <w:t xml:space="preserve">1.2 Convenciones</w:t>
          <w:tab/>
          <w:t xml:space="preserve">5</w:t>
        </w:r>
      </w:hyperlink>
    </w:p>
    <w:p>
      <w:pPr>
        <w:pStyle w:val="TOC1"/>
      </w:pPr>
      <w:hyperlink w:anchor="_Toc0004" w:history="1">
        <w:r>
          <w:rPr/>
          <w:t xml:space="preserve">2. Actores</w:t>
          <w:tab/>
          <w:t xml:space="preserve">6</w:t>
        </w:r>
      </w:hyperlink>
    </w:p>
    <w:p>
      <w:pPr>
        <w:pStyle w:val="TOC1"/>
      </w:pPr>
      <w:hyperlink w:anchor="_Toc0005" w:history="1">
        <w:r>
          <w:rPr/>
          <w:t xml:space="preserve">3. Requerimientos funcionales</w:t>
          <w:tab/>
          <w:t xml:space="preserve">6</w:t>
        </w:r>
      </w:hyperlink>
    </w:p>
    <w:p>
      <w:pPr>
        <w:pStyle w:val="TOC2"/>
      </w:pPr>
      <w:hyperlink w:anchor="_Toc0006" w:history="1">
        <w:r>
          <w:rPr/>
          <w:t xml:space="preserve">3.1 Recolección y detección</w:t>
          <w:tab/>
          <w:t xml:space="preserve">6</w:t>
        </w:r>
      </w:hyperlink>
    </w:p>
    <w:p>
      <w:pPr>
        <w:pStyle w:val="TOC2"/>
      </w:pPr>
      <w:hyperlink w:anchor="_Toc0007" w:history="1">
        <w:r>
          <w:rPr/>
          <w:t xml:space="preserve">3.2 Decisión y validación</w:t>
          <w:tab/>
          <w:t xml:space="preserve">6</w:t>
        </w:r>
      </w:hyperlink>
    </w:p>
    <w:p>
      <w:pPr>
        <w:pStyle w:val="TOC2"/>
      </w:pPr>
      <w:hyperlink w:anchor="_Toc0008" w:history="1">
        <w:r>
          <w:rPr/>
          <w:t xml:space="preserve">3.3 Ejecución y niveles de autonomía</w:t>
          <w:tab/>
          <w:t xml:space="preserve">7</w:t>
        </w:r>
      </w:hyperlink>
    </w:p>
    <w:p>
      <w:pPr>
        <w:pStyle w:val="TOC2"/>
      </w:pPr>
      <w:hyperlink w:anchor="_Toc0009" w:history="1">
        <w:r>
          <w:rPr/>
          <w:t xml:space="preserve">3.4 Notificación y consola</w:t>
          <w:tab/>
          <w:t xml:space="preserve">7</w:t>
        </w:r>
      </w:hyperlink>
    </w:p>
    <w:p>
      <w:pPr>
        <w:pStyle w:val="TOC2"/>
      </w:pPr>
      <w:hyperlink w:anchor="_Toc0010" w:history="1">
        <w:r>
          <w:rPr/>
          <w:t xml:space="preserve">3.5 Persistencia e inquilinos</w:t>
          <w:tab/>
          <w:t xml:space="preserve">8</w:t>
        </w:r>
      </w:hyperlink>
    </w:p>
    <w:p>
      <w:pPr>
        <w:pStyle w:val="TOC1"/>
      </w:pPr>
      <w:hyperlink w:anchor="_Toc0011" w:history="1">
        <w:r>
          <w:rPr/>
          <w:t xml:space="preserve">4. Requerimientos no funcionales</w:t>
          <w:tab/>
          <w:t xml:space="preserve">8</w:t>
        </w:r>
      </w:hyperlink>
    </w:p>
    <w:p>
      <w:pPr>
        <w:pStyle w:val="TOC1"/>
      </w:pPr>
      <w:hyperlink w:anchor="_Toc0012" w:history="1">
        <w:r>
          <w:rPr/>
          <w:t xml:space="preserve">5. Requerimientos legales</w:t>
          <w:tab/>
          <w:t xml:space="preserve">9</w:t>
        </w:r>
      </w:hyperlink>
    </w:p>
    <w:p>
      <w:pPr>
        <w:pStyle w:val="TOC1"/>
      </w:pPr>
      <w:hyperlink w:anchor="_Toc0013" w:history="1">
        <w:r>
          <w:rPr/>
          <w:t xml:space="preserve">6. Restricciones de diseño</w:t>
          <w:tab/>
          <w:t xml:space="preserve">10</w:t>
        </w:r>
      </w:hyperlink>
    </w:p>
    <w:p>
      <w:pPr>
        <w:pStyle w:val="TOC1"/>
      </w:pPr>
      <w:hyperlink w:anchor="_Toc0014" w:history="1">
        <w:r>
          <w:rPr/>
          <w:t xml:space="preserve">7. Casos de uso del sistema</w:t>
          <w:tab/>
          <w:t xml:space="preserve">11</w:t>
        </w:r>
      </w:hyperlink>
    </w:p>
    <w:p>
      <w:pPr>
        <w:pStyle w:val="TOC2"/>
      </w:pPr>
      <w:hyperlink w:anchor="_Toc0015" w:history="1">
        <w:r>
          <w:rPr/>
          <w:t xml:space="preserve">7.1 Escenarios por arquetipo de equipo</w:t>
          <w:tab/>
          <w:t xml:space="preserve">12</w:t>
        </w:r>
      </w:hyperlink>
    </w:p>
    <w:p>
      <w:pPr>
        <w:pStyle w:val="TOC1"/>
      </w:pPr>
      <w:hyperlink w:anchor="_Toc0016" w:history="1">
        <w:r>
          <w:rPr/>
          <w:t xml:space="preserve">8. Estados</w:t>
          <w:tab/>
          <w:t xml:space="preserve">13</w:t>
        </w:r>
      </w:hyperlink>
    </w:p>
    <w:p>
      <w:pPr>
        <w:pStyle w:val="TOC2"/>
      </w:pPr>
      <w:hyperlink w:anchor="_Toc0017" w:history="1">
        <w:r>
          <w:rPr/>
          <w:t xml:space="preserve">8.1 Estados del ticket</w:t>
          <w:tab/>
          <w:t xml:space="preserve">13</w:t>
        </w:r>
      </w:hyperlink>
    </w:p>
    <w:p>
      <w:pPr>
        <w:pStyle w:val="TOC2"/>
      </w:pPr>
      <w:hyperlink w:anchor="_Toc0018" w:history="1">
        <w:r>
          <w:rPr/>
          <w:t xml:space="preserve">8.2 Estados del cortacircuito</w:t>
          <w:tab/>
          <w:t xml:space="preserve">14</w:t>
        </w:r>
      </w:hyperlink>
    </w:p>
    <w:p>
      <w:pPr>
        <w:pStyle w:val="TOC1"/>
      </w:pPr>
      <w:hyperlink w:anchor="_Toc0019" w:history="1">
        <w:r>
          <w:rPr/>
          <w:t xml:space="preserve">9. Priorización</w:t>
          <w:tab/>
          <w:t xml:space="preserve">14</w:t>
        </w:r>
      </w:hyperlink>
    </w:p>
    <w:p>
      <w:pPr>
        <w:pStyle w:val="TOC2"/>
      </w:pPr>
      <w:hyperlink w:anchor="_Toc0020" w:history="1">
        <w:r>
          <w:rPr/>
          <w:t xml:space="preserve">9.1 Criterios de aceptación del servicio</w:t>
          <w:tab/>
          <w:t xml:space="preserve">15</w:t>
        </w:r>
      </w:hyperlink>
    </w:p>
    <w:p>
      <w:pPr>
        <w:pStyle w:val="TOC1"/>
      </w:pPr>
      <w:hyperlink w:anchor="_Toc0021" w:history="1">
        <w:r>
          <w:rPr/>
          <w:t xml:space="preserve">10. Trazabilidad</w:t>
          <w:tab/>
          <w:t xml:space="preserve">15</w:t>
        </w:r>
      </w:hyperlink>
    </w:p>
    <w:p>
      <w:pPr>
        <w:pStyle w:val="TOC1"/>
      </w:pPr>
      <w:hyperlink w:anchor="_Toc0022" w:history="1">
        <w:r>
          <w:rPr/>
          <w:t xml:space="preserve">11. Referencias</w:t>
          <w:tab/>
          <w:t xml:space="preserve">15</w:t>
        </w:r>
      </w:hyperlink>
      <w:r>
        <w:fldChar w:fldCharType="end"/>
      </w:r>
    </w:p>
    <w:p>
      <w:pPr>
        <w:keepNext/>
        <w:spacing w:after="160" w:before="120"/>
      </w:pPr>
      <w:r>
        <w:rPr>
          <w:b/>
          <w:color w:val="1F3A5F"/>
          <w:sz w:val="26"/>
        </w:rPr>
        <w:t>Índice de figuras</w:t>
      </w:r>
    </w:p>
    <w:p>
      <w:pPr>
        <w:pStyle w:val="TableofFigures"/>
      </w:pPr>
      <w:r>
        <w:fldChar w:fldCharType="begin"/>
        <w:instrText xml:space="preserve"> TOC \h \z \c "Figura" </w:instrText>
        <w:fldChar w:fldCharType="separate"/>
      </w:r>
      <w:hyperlink w:anchor="_Fig001" w:history="1">
        <w:r>
          <w:rPr/>
          <w:t xml:space="preserve">Figura 1. Casos de uso del sistema y sus actores</w:t>
          <w:tab/>
          <w:t xml:space="preserve">11</w:t>
        </w:r>
      </w:hyperlink>
    </w:p>
    <w:p>
      <w:pPr>
        <w:pStyle w:val="TableofFigures"/>
      </w:pPr>
      <w:hyperlink w:anchor="_Fig002" w:history="1">
        <w:r>
          <w:rPr/>
          <w:t xml:space="preserve">Figura 2. Tratamiento de una decisión según su nivel de autonomía</w:t>
          <w:tab/>
          <w:t xml:space="preserve">12</w:t>
        </w:r>
      </w:hyperlink>
    </w:p>
    <w:p>
      <w:pPr>
        <w:pStyle w:val="TableofFigures"/>
      </w:pPr>
      <w:hyperlink w:anchor="_Fig003" w:history="1">
        <w:r>
          <w:rPr/>
          <w:t xml:space="preserve">Figura 3. Estados del ticket</w:t>
          <w:tab/>
          <w:t xml:space="preserve">13</w:t>
        </w:r>
      </w:hyperlink>
    </w:p>
    <w:p>
      <w:pPr>
        <w:pStyle w:val="TableofFigures"/>
      </w:pPr>
      <w:hyperlink w:anchor="_Fig004" w:history="1">
        <w:r>
          <w:rPr/>
          <w:t xml:space="preserve">Figura 4. Estados del cortacircuito por ámbito</w:t>
          <w:tab/>
          <w:t xml:space="preserve">14</w:t>
        </w:r>
      </w:hyperlink>
      <w:r>
        <w:fldChar w:fldCharType="end"/>
      </w:r>
    </w:p>
    <w:p>
      <w:pPr>
        <w:keepNext/>
        <w:spacing w:after="160" w:before="120"/>
      </w:pPr>
      <w:r>
        <w:rPr>
          <w:b/>
          <w:color w:val="1F3A5F"/>
          <w:sz w:val="26"/>
        </w:rPr>
        <w:t>Índice de tablas</w:t>
      </w:r>
    </w:p>
    <w:p>
      <w:pPr>
        <w:pStyle w:val="TableofFigures"/>
      </w:pPr>
      <w:r>
        <w:fldChar w:fldCharType="begin"/>
        <w:instrText xml:space="preserve"> TOC \h \z \c "Tabla" </w:instrText>
        <w:fldChar w:fldCharType="separate"/>
      </w:r>
      <w:hyperlink w:anchor="_Tab001" w:history="1">
        <w:r>
          <w:rPr/>
          <w:t xml:space="preserve">Tabla 1. Identificadores usados en este documento</w:t>
          <w:tab/>
          <w:t xml:space="preserve">5</w:t>
        </w:r>
      </w:hyperlink>
    </w:p>
    <w:p>
      <w:pPr>
        <w:pStyle w:val="TableofFigures"/>
      </w:pPr>
      <w:hyperlink w:anchor="_Tab002" w:history="1">
        <w:r>
          <w:rPr/>
          <w:t xml:space="preserve">Tabla 2. Actores del sistema</w:t>
          <w:tab/>
          <w:t xml:space="preserve">6</w:t>
        </w:r>
      </w:hyperlink>
    </w:p>
    <w:p>
      <w:pPr>
        <w:pStyle w:val="TableofFigures"/>
      </w:pPr>
      <w:hyperlink w:anchor="_Tab003" w:history="1">
        <w:r>
          <w:rPr/>
          <w:t xml:space="preserve">Tabla 3. Requerimientos de SOAR-COLLECT y SOAR-DETECT</w:t>
          <w:tab/>
          <w:t xml:space="preserve">6</w:t>
        </w:r>
      </w:hyperlink>
    </w:p>
    <w:p>
      <w:pPr>
        <w:pStyle w:val="TableofFigures"/>
      </w:pPr>
      <w:hyperlink w:anchor="_Tab004" w:history="1">
        <w:r>
          <w:rPr/>
          <w:t xml:space="preserve">Tabla 4. Requerimientos de SOAR-VALIDATE y SOAR-CLASSIFY</w:t>
          <w:tab/>
          <w:t xml:space="preserve">6</w:t>
        </w:r>
      </w:hyperlink>
    </w:p>
    <w:p>
      <w:pPr>
        <w:pStyle w:val="TableofFigures"/>
      </w:pPr>
      <w:hyperlink w:anchor="_Tab005" w:history="1">
        <w:r>
          <w:rPr/>
          <w:t xml:space="preserve">Tabla 5. Requerimientos de SOAR-EXECUTE y de los niveles</w:t>
          <w:tab/>
          <w:t xml:space="preserve">7</w:t>
        </w:r>
      </w:hyperlink>
    </w:p>
    <w:p>
      <w:pPr>
        <w:pStyle w:val="TableofFigures"/>
      </w:pPr>
      <w:hyperlink w:anchor="_Tab006" w:history="1">
        <w:r>
          <w:rPr/>
          <w:t xml:space="preserve">Tabla 6. Requerimientos de SOAR-NOTIFY y SOAR-CONSOLE</w:t>
          <w:tab/>
          <w:t xml:space="preserve">7</w:t>
        </w:r>
      </w:hyperlink>
    </w:p>
    <w:p>
      <w:pPr>
        <w:pStyle w:val="TableofFigures"/>
      </w:pPr>
      <w:hyperlink w:anchor="_Tab007" w:history="1">
        <w:r>
          <w:rPr/>
          <w:t xml:space="preserve">Tabla 7. Requerimientos de SOAR-AUDIT y del alta de inquilinos</w:t>
          <w:tab/>
          <w:t xml:space="preserve">8</w:t>
        </w:r>
      </w:hyperlink>
    </w:p>
    <w:p>
      <w:pPr>
        <w:pStyle w:val="TableofFigures"/>
      </w:pPr>
      <w:hyperlink w:anchor="_Tab008" w:history="1">
        <w:r>
          <w:rPr/>
          <w:t xml:space="preserve">Tabla 8. Requerimientos no funcionales</w:t>
          <w:tab/>
          <w:t xml:space="preserve">8</w:t>
        </w:r>
      </w:hyperlink>
    </w:p>
    <w:p>
      <w:pPr>
        <w:pStyle w:val="TableofFigures"/>
      </w:pPr>
      <w:hyperlink w:anchor="_Tab009" w:history="1">
        <w:r>
          <w:rPr/>
          <w:t xml:space="preserve">Tabla 9. Requerimientos legales y normativos</w:t>
          <w:tab/>
          <w:t xml:space="preserve">9</w:t>
        </w:r>
      </w:hyperlink>
    </w:p>
    <w:p>
      <w:pPr>
        <w:pStyle w:val="TableofFigures"/>
      </w:pPr>
      <w:hyperlink w:anchor="_Tab010" w:history="1">
        <w:r>
          <w:rPr/>
          <w:t xml:space="preserve">Tabla 10. Restricciones R1 a R4</w:t>
          <w:tab/>
          <w:t xml:space="preserve">10</w:t>
        </w:r>
      </w:hyperlink>
    </w:p>
    <w:p>
      <w:pPr>
        <w:pStyle w:val="TableofFigures"/>
      </w:pPr>
      <w:hyperlink w:anchor="_Tab011" w:history="1">
        <w:r>
          <w:rPr/>
          <w:t xml:space="preserve">Tabla 11. Casos de uso del sistema</w:t>
          <w:tab/>
          <w:t xml:space="preserve">11</w:t>
        </w:r>
      </w:hyperlink>
    </w:p>
    <w:p>
      <w:pPr>
        <w:pStyle w:val="TableofFigures"/>
      </w:pPr>
      <w:hyperlink w:anchor="_Tab012" w:history="1">
        <w:r>
          <w:rPr/>
          <w:t xml:space="preserve">Tabla 12. Motivos de rechazo existentes en el esquema</w:t>
          <w:tab/>
          <w:t xml:space="preserve">13</w:t>
        </w:r>
      </w:hyperlink>
    </w:p>
    <w:p>
      <w:pPr>
        <w:pStyle w:val="TableofFigures"/>
      </w:pPr>
      <w:hyperlink w:anchor="_Tab013" w:history="1">
        <w:r>
          <w:rPr/>
          <w:t xml:space="preserve">Tabla 13. Resumen de la priorización MoSCoW</w:t>
          <w:tab/>
          <w:t xml:space="preserve">14</w:t>
        </w:r>
      </w:hyperlink>
    </w:p>
    <w:p>
      <w:pPr>
        <w:pStyle w:val="TableofFigures"/>
      </w:pPr>
      <w:hyperlink w:anchor="_Tab014" w:history="1">
        <w:r>
          <w:rPr/>
          <w:t xml:space="preserve">Tabla 14. Trazabilidad de requerimientos a componentes y pruebas</w:t>
          <w:tab/>
          <w:t xml:space="preserve">15</w:t>
        </w:r>
      </w:hyperlink>
      <w:r>
        <w:fldChar w:fldCharType="end"/>
      </w:r>
    </w:p>
    <w:p>
      <w:pPr>
        <w:spacing w:after="0"/>
      </w:pPr>
      <w:r>
        <w:br w:type="page"/>
      </w:r>
    </w:p>
    <w:p>
      <w:pPr>
        <w:pStyle w:val="Heading1"/>
      </w:pPr>
      <w:bookmarkStart w:id="1001" w:name="_Toc0001"/>
      <w:r>
        <w:t>1. Propósito y alcance</w:t>
      </w:r>
      <w:bookmarkEnd w:id="1001"/>
    </w:p>
    <w:p>
      <w:r>
        <w:t>Este documento fija qué debe hacer Kronos AI y bajo qué condiciones. Es la base de la arquitectura (documento 09, Documento de arquitectura), del diseño (documento 10, Documento de diseño, pendiente) y de las pruebas (documento 15, Plan de pruebas de software).</w:t>
      </w:r>
    </w:p>
    <w:p>
      <w:r>
        <w:t xml:space="preserve">Cubre el producto como servicio en la nube: los componentes SOAR-*, los niveles de autonomía, la bitácora y el aislamiento por inquilino. No cubre los datos de la farmacia piloto. Esos datos se relevan después de instalar los agentes allí (D-28). </w:t>
      </w:r>
      <w:r>
        <w:rPr>
          <w:b/>
          <w:color w:val="004D40"/>
          <w:highlight w:val="cyan"/>
        </w:rPr>
        <w:t>[PENDIENTE: posterior a la instalación en la farmacia — relevamiento de equipos, cuentas, servicios críticos, lista de exclusión, direcciones permitidas, horarios, carpetas vigiladas y plazos de reversión]</w:t>
      </w:r>
    </w:p>
    <w:p>
      <w:pPr>
        <w:pStyle w:val="Heading2"/>
      </w:pPr>
      <w:bookmarkStart w:id="1002" w:name="_Toc0002"/>
      <w:r>
        <w:t>1.1 Cómo se relevaron los requerimientos</w:t>
      </w:r>
      <w:bookmarkEnd w:id="1002"/>
    </w:p>
    <w:p>
      <w:r>
        <w:t>Los requerimientos salen de cuatro fuentes. Son el código y el esquema del repositorio, el «Replanteamiento como SaaS» (25-09-2026), el «Plan de instalación de agentes en la farmacia» (08-10-2026) y las decisiones del equipo del 14-10-2026 (D-31 a D-35). Cuando dos fuentes se contradicen, vale el repositorio y luego las respuestas del equipo, como fija el orden de precedencia del contexto maestro.</w:t>
      </w:r>
    </w:p>
    <w:p>
      <w:r>
        <w:t>El libro distingue el relevamiento (descubrir qué se necesita) del análisis (ordenarlo, priorizarlo y dejarlo verificable) (Pantaleo y Rinaudo, 10.2 y cap. 11). Aquí se aplica esa separación: cada requerimiento tiene un identificador, una prioridad, un criterio de verificación y su estado. La forma de verificar cada requerimiento sigue el cap. 12, y el diagrama de casos de uso se inspira en la sección 9.3, en notación simplificada.</w:t>
      </w:r>
    </w:p>
    <w:p>
      <w:pPr>
        <w:pStyle w:val="Heading2"/>
      </w:pPr>
      <w:bookmarkStart w:id="1003" w:name="_Toc0003"/>
      <w:r>
        <w:t>1.2 Convenciones</w:t>
      </w:r>
      <w:bookmarkEnd w:id="1003"/>
    </w:p>
    <w:p>
      <w:pPr>
        <w:pStyle w:val="Caption"/>
        <w:keepNext/>
        <w:spacing w:before="120" w:after="80"/>
      </w:pPr>
      <w:bookmarkStart w:id="5001" w:name="_Tab001"/>
      <w:r>
        <w:t xml:space="preserve">Tabla </w:t>
        <w:fldChar w:fldCharType="begin"/>
        <w:instrText xml:space="preserve"> SEQ Tabla \* ARABIC </w:instrText>
        <w:fldChar w:fldCharType="separate"/>
        <w:t>1</w:t>
        <w:fldChar w:fldCharType="end"/>
        <w:t xml:space="preserve">. Identificadores usados en este documento</w:t>
      </w:r>
      <w:bookmarkEnd w:id="5001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044"/>
        <w:gridCol w:w="7361"/>
      </w:tblGrid>
      <w:tr>
        <w:trPr>
          <w:cantSplit/>
          <w:tblHeader/>
        </w:trPr>
        <w:tc>
          <w:tcPr>
            <w:tcW w:type="dxa" w:w="2045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Prefijo</w:t>
            </w:r>
          </w:p>
        </w:tc>
        <w:tc>
          <w:tcPr>
            <w:tcW w:type="dxa" w:w="736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Significado</w:t>
            </w:r>
          </w:p>
        </w:tc>
      </w:tr>
      <w:tr>
        <w:trPr>
          <w:cantSplit/>
        </w:trPr>
        <w:tc>
          <w:tcPr>
            <w:tcW w:type="dxa" w:w="204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RF-NN</w:t>
            </w:r>
          </w:p>
        </w:tc>
        <w:tc>
          <w:tcPr>
            <w:tcW w:type="dxa" w:w="736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Requerimiento funcional: algo que el sistema hace</w:t>
            </w:r>
          </w:p>
        </w:tc>
      </w:tr>
      <w:tr>
        <w:trPr>
          <w:cantSplit/>
        </w:trPr>
        <w:tc>
          <w:tcPr>
            <w:tcW w:type="dxa" w:w="204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RNF-NN</w:t>
            </w:r>
          </w:p>
        </w:tc>
        <w:tc>
          <w:tcPr>
            <w:tcW w:type="dxa" w:w="736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Requerimiento no funcional: una cualidad medible (seguridad, latencia, aislamiento)</w:t>
            </w:r>
          </w:p>
        </w:tc>
      </w:tr>
      <w:tr>
        <w:trPr>
          <w:cantSplit/>
        </w:trPr>
        <w:tc>
          <w:tcPr>
            <w:tcW w:type="dxa" w:w="204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RL-NN</w:t>
            </w:r>
          </w:p>
        </w:tc>
        <w:tc>
          <w:tcPr>
            <w:tcW w:type="dxa" w:w="736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Requerimiento legal o normativo</w:t>
            </w:r>
          </w:p>
        </w:tc>
      </w:tr>
      <w:tr>
        <w:trPr>
          <w:cantSplit/>
        </w:trPr>
        <w:tc>
          <w:tcPr>
            <w:tcW w:type="dxa" w:w="204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R1 a R4</w:t>
            </w:r>
          </w:p>
        </w:tc>
        <w:tc>
          <w:tcPr>
            <w:tcW w:type="dxa" w:w="736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Restricciones de diseño. No son requerimientos con identificador propio; se citan por su nombre</w:t>
            </w:r>
          </w:p>
        </w:tc>
      </w:tr>
      <w:tr>
        <w:trPr>
          <w:cantSplit/>
        </w:trPr>
        <w:tc>
          <w:tcPr>
            <w:tcW w:type="dxa" w:w="204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CU-NN</w:t>
            </w:r>
          </w:p>
        </w:tc>
        <w:tc>
          <w:tcPr>
            <w:tcW w:type="dxa" w:w="736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Caso de uso del sistema</w:t>
            </w:r>
          </w:p>
        </w:tc>
      </w:tr>
      <w:tr>
        <w:trPr>
          <w:cantSplit/>
        </w:trPr>
        <w:tc>
          <w:tcPr>
            <w:tcW w:type="dxa" w:w="204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CU-C01 a CU-C10, CU-S01 a CU-S12</w:t>
            </w:r>
          </w:p>
        </w:tc>
        <w:tc>
          <w:tcPr>
            <w:tcW w:type="dxa" w:w="736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Escenarios por arquetipo de equipo (puesto de trabajo y servidor), de «Casos de uso y operaciones en los equipos de la farmacia»</w:t>
            </w:r>
          </w:p>
        </w:tc>
      </w:tr>
    </w:tbl>
    <w:p>
      <w:pPr>
        <w:spacing w:after="40" w:line="192" w:lineRule="auto"/>
      </w:pPr>
    </w:p>
    <w:p>
      <w:r>
        <w:t xml:space="preserve">La prioridad usa MoSCoW. </w:t>
      </w:r>
      <w:r>
        <w:rPr>
          <w:b/>
        </w:rPr>
        <w:t>M</w:t>
      </w:r>
      <w:r>
        <w:t xml:space="preserve"> (debe), </w:t>
      </w:r>
      <w:r>
        <w:rPr>
          <w:b/>
        </w:rPr>
        <w:t>S</w:t>
      </w:r>
      <w:r>
        <w:t xml:space="preserve"> (debería), </w:t>
      </w:r>
      <w:r>
        <w:rPr>
          <w:b/>
        </w:rPr>
        <w:t>C</w:t>
      </w:r>
      <w:r>
        <w:t xml:space="preserve"> (podría) y </w:t>
      </w:r>
      <w:r>
        <w:rPr>
          <w:b/>
        </w:rPr>
        <w:t>W</w:t>
      </w:r>
      <w:r>
        <w:t xml:space="preserve"> (no en este proyecto).</w:t>
      </w:r>
    </w:p>
    <w:p>
      <w:pPr>
        <w:pStyle w:val="Heading1"/>
      </w:pPr>
      <w:bookmarkStart w:id="1004" w:name="_Toc0004"/>
      <w:r>
        <w:t>2. Actores</w:t>
      </w:r>
      <w:bookmarkEnd w:id="1004"/>
    </w:p>
    <w:p>
      <w:pPr>
        <w:pStyle w:val="Caption"/>
        <w:keepNext/>
        <w:spacing w:before="120" w:after="80"/>
      </w:pPr>
      <w:bookmarkStart w:id="5002" w:name="_Tab002"/>
      <w:r>
        <w:t xml:space="preserve">Tabla </w:t>
        <w:fldChar w:fldCharType="begin"/>
        <w:instrText xml:space="preserve"> SEQ Tabla \* ARABIC </w:instrText>
        <w:fldChar w:fldCharType="separate"/>
        <w:t>2</w:t>
        <w:fldChar w:fldCharType="end"/>
        <w:t xml:space="preserve">. Actores del sistema</w:t>
      </w:r>
      <w:bookmarkEnd w:id="5002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862"/>
        <w:gridCol w:w="6543"/>
      </w:tblGrid>
      <w:tr>
        <w:trPr>
          <w:cantSplit/>
          <w:tblHeader/>
        </w:trPr>
        <w:tc>
          <w:tcPr>
            <w:tcW w:type="dxa" w:w="2862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Actor</w:t>
            </w:r>
          </w:p>
        </w:tc>
        <w:tc>
          <w:tcPr>
            <w:tcW w:type="dxa" w:w="6543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Rol frente a Kronos</w:t>
            </w:r>
          </w:p>
        </w:tc>
      </w:tr>
      <w:tr>
        <w:trPr>
          <w:cantSplit/>
        </w:trPr>
        <w:tc>
          <w:tcPr>
            <w:tcW w:type="dxa" w:w="286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Encargado del cliente</w:t>
            </w:r>
          </w:p>
        </w:tc>
        <w:tc>
          <w:tcPr>
            <w:tcW w:type="dxa" w:w="654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Persona del inquilino que ve sus tickets y su línea de tiempo en SOAR-CONSOLE. No aprueba medidas ni recibe los avisos de Telegram (D-31)</w:t>
            </w:r>
          </w:p>
        </w:tc>
      </w:tr>
      <w:tr>
        <w:trPr>
          <w:cantSplit/>
        </w:trPr>
        <w:tc>
          <w:tcPr>
            <w:tcW w:type="dxa" w:w="286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Integrante del equipo Kronos</w:t>
            </w:r>
          </w:p>
        </w:tc>
        <w:tc>
          <w:tcPr>
            <w:tcW w:type="dxa" w:w="654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Nicolás, Rodrigo o Patricio. Aprueba o rechaza el nivel 3, revisa y revierte el nivel 2, opera el cortacircuito y envía por correo, a mano, el aviso a la persona afectada (D-31, D-35)</w:t>
            </w:r>
          </w:p>
        </w:tc>
      </w:tr>
      <w:tr>
        <w:trPr>
          <w:cantSplit/>
        </w:trPr>
        <w:tc>
          <w:tcPr>
            <w:tcW w:type="dxa" w:w="286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Persona afectada</w:t>
            </w:r>
          </w:p>
        </w:tc>
        <w:tc>
          <w:tcPr>
            <w:tcW w:type="dxa" w:w="654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Trabajador del cliente cuya cuenta, sesión o equipo resulta afectado por una medida de nivel 2. Recibe el aviso por correo</w:t>
            </w:r>
          </w:p>
        </w:tc>
      </w:tr>
      <w:tr>
        <w:trPr>
          <w:cantSplit/>
        </w:trPr>
        <w:tc>
          <w:tcPr>
            <w:tcW w:type="dxa" w:w="286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Agente (SOAR-COLLECT)</w:t>
            </w:r>
          </w:p>
        </w:tc>
        <w:tc>
          <w:tcPr>
            <w:tcW w:type="dxa" w:w="654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Wazuh Agent con Sysmon (Windows) o auditd (Linux). Envía telemetría y ejecuta las órdenes de Active Response</w:t>
            </w:r>
          </w:p>
        </w:tc>
      </w:tr>
      <w:tr>
        <w:trPr>
          <w:cantSplit/>
        </w:trPr>
        <w:tc>
          <w:tcPr>
            <w:tcW w:type="dxa" w:w="286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Sistema</w:t>
            </w:r>
          </w:p>
        </w:tc>
        <w:tc>
          <w:tcPr>
            <w:tcW w:type="dxa" w:w="654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Procesos automáticos: SOAR-DETECT, SOAR-VALIDATE, el temporizador de plazos y SOAR-NOTIFY</w:t>
            </w:r>
          </w:p>
        </w:tc>
      </w:tr>
    </w:tbl>
    <w:p>
      <w:pPr>
        <w:spacing w:after="40" w:line="192" w:lineRule="auto"/>
      </w:pPr>
    </w:p>
    <w:p>
      <w:pPr>
        <w:pStyle w:val="Heading1"/>
      </w:pPr>
      <w:bookmarkStart w:id="1005" w:name="_Toc0005"/>
      <w:r>
        <w:t>3. Requerimientos funcionales</w:t>
      </w:r>
      <w:bookmarkEnd w:id="1005"/>
    </w:p>
    <w:p>
      <w:r>
        <w:t>Cada requerimiento indica el componente responsable. El estado describe lo que existe hoy en el repositorio o en SOAR-CORE-01.</w:t>
      </w:r>
    </w:p>
    <w:p>
      <w:pPr>
        <w:pStyle w:val="Heading2"/>
      </w:pPr>
      <w:bookmarkStart w:id="1006" w:name="_Toc0006"/>
      <w:r>
        <w:t>3.1 Recolección y detección</w:t>
      </w:r>
      <w:bookmarkEnd w:id="1006"/>
    </w:p>
    <w:p>
      <w:pPr>
        <w:pStyle w:val="Caption"/>
        <w:keepNext/>
        <w:spacing w:before="120" w:after="80"/>
      </w:pPr>
      <w:bookmarkStart w:id="5003" w:name="_Tab003"/>
      <w:r>
        <w:t xml:space="preserve">Tabla </w:t>
        <w:fldChar w:fldCharType="begin"/>
        <w:instrText xml:space="preserve"> SEQ Tabla \* ARABIC </w:instrText>
        <w:fldChar w:fldCharType="separate"/>
        <w:t>3</w:t>
        <w:fldChar w:fldCharType="end"/>
        <w:t xml:space="preserve">. Requerimientos de SOAR-COLLECT y SOAR-DETECT</w:t>
      </w:r>
      <w:bookmarkEnd w:id="5003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912"/>
        <w:gridCol w:w="5054"/>
        <w:gridCol w:w="772"/>
        <w:gridCol w:w="2667"/>
      </w:tblGrid>
      <w:tr>
        <w:trPr>
          <w:cantSplit/>
          <w:tblHeader/>
        </w:trPr>
        <w:tc>
          <w:tcPr>
            <w:tcW w:type="dxa" w:w="912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5054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Requerimiento</w:t>
            </w:r>
          </w:p>
        </w:tc>
        <w:tc>
          <w:tcPr>
            <w:tcW w:type="dxa" w:w="772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Prio.</w:t>
            </w:r>
          </w:p>
        </w:tc>
        <w:tc>
          <w:tcPr>
            <w:tcW w:type="dxa" w:w="2667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91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RF-01</w:t>
            </w:r>
          </w:p>
        </w:tc>
        <w:tc>
          <w:tcPr>
            <w:tcW w:type="dxa" w:w="505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Recolectar telemetría del sistema operativo en los dos arquetipos: puesto de trabajo Windows (Sysmon, auditoría de Windows y registro de PowerShell) y servidor Linux (auditd y registros del servicio). Enviarla al manager por el puerto 1514, en conexión saliente</w:t>
            </w:r>
          </w:p>
        </w:tc>
        <w:tc>
          <w:tcPr>
            <w:tcW w:type="dxa" w:w="77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M</w:t>
            </w:r>
          </w:p>
        </w:tc>
        <w:tc>
          <w:tcPr>
            <w:tcW w:type="dxa" w:w="2667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laboratorio en preparación</w:t>
            </w:r>
          </w:p>
        </w:tc>
      </w:tr>
      <w:tr>
        <w:trPr>
          <w:cantSplit/>
        </w:trPr>
        <w:tc>
          <w:tcPr>
            <w:tcW w:type="dxa" w:w="91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RF-02</w:t>
            </w:r>
          </w:p>
        </w:tc>
        <w:tc>
          <w:tcPr>
            <w:tcW w:type="dxa" w:w="505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Etiquetar la familia candidata de cada alerta con reglas de sobre propias en SOAR-DETECT</w:t>
            </w:r>
          </w:p>
        </w:tc>
        <w:tc>
          <w:tcPr>
            <w:tcW w:type="dxa" w:w="77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</w:t>
            </w:r>
          </w:p>
        </w:tc>
        <w:tc>
          <w:tcPr>
            <w:tcW w:type="dxa" w:w="266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🟡</w:t>
            </w:r>
            <w:r>
              <w:rPr>
                <w:sz w:val="19"/>
              </w:rPr>
              <w:t xml:space="preserve"> PR #8 abierto: 15 reglas (100101 a 100115), instaladas según su descripción</w:t>
            </w:r>
          </w:p>
        </w:tc>
      </w:tr>
      <w:tr>
        <w:trPr>
          <w:cantSplit/>
        </w:trPr>
        <w:tc>
          <w:tcPr>
            <w:tcW w:type="dxa" w:w="91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RF-03</w:t>
            </w:r>
          </w:p>
        </w:tc>
        <w:tc>
          <w:tcPr>
            <w:tcW w:type="dxa" w:w="505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Registrar los agentes desde el servidor, sin publicar el puerto de enrolamiento 1515 (D-17)</w:t>
            </w:r>
          </w:p>
        </w:tc>
        <w:tc>
          <w:tcPr>
            <w:tcW w:type="dxa" w:w="77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M</w:t>
            </w:r>
          </w:p>
        </w:tc>
        <w:tc>
          <w:tcPr>
            <w:tcW w:type="dxa" w:w="2667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🟡</w:t>
            </w:r>
            <w:r>
              <w:rPr>
                <w:sz w:val="19"/>
              </w:rPr>
              <w:t xml:space="preserve"> informado en el PR #7 (abierto)</w:t>
            </w:r>
          </w:p>
        </w:tc>
      </w:tr>
      <w:tr>
        <w:trPr>
          <w:cantSplit/>
        </w:trPr>
        <w:tc>
          <w:tcPr>
            <w:tcW w:type="dxa" w:w="91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RF-04</w:t>
            </w:r>
          </w:p>
        </w:tc>
        <w:tc>
          <w:tcPr>
            <w:tcW w:type="dxa" w:w="505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Detectar un agente que deja de reportar (latido) y abrir un ticket por agente caído</w:t>
            </w:r>
          </w:p>
        </w:tc>
        <w:tc>
          <w:tcPr>
            <w:tcW w:type="dxa" w:w="77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</w:t>
            </w:r>
          </w:p>
        </w:tc>
        <w:tc>
          <w:tcPr>
            <w:tcW w:type="dxa" w:w="266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</w:tbl>
    <w:p>
      <w:pPr>
        <w:spacing w:after="40" w:line="192" w:lineRule="auto"/>
      </w:pPr>
    </w:p>
    <w:p>
      <w:pPr>
        <w:pStyle w:val="Heading2"/>
      </w:pPr>
      <w:bookmarkStart w:id="1007" w:name="_Toc0007"/>
      <w:r>
        <w:t>3.2 Decisión y validación</w:t>
      </w:r>
      <w:bookmarkEnd w:id="1007"/>
    </w:p>
    <w:p>
      <w:pPr>
        <w:pStyle w:val="Caption"/>
        <w:keepNext/>
        <w:spacing w:before="120" w:after="80"/>
      </w:pPr>
      <w:bookmarkStart w:id="5004" w:name="_Tab004"/>
      <w:r>
        <w:t xml:space="preserve">Tabla </w:t>
        <w:fldChar w:fldCharType="begin"/>
        <w:instrText xml:space="preserve"> SEQ Tabla \* ARABIC </w:instrText>
        <w:fldChar w:fldCharType="separate"/>
        <w:t>4</w:t>
        <w:fldChar w:fldCharType="end"/>
        <w:t xml:space="preserve">. Requerimientos de SOAR-VALIDATE y SOAR-CLASSIFY</w:t>
      </w:r>
      <w:bookmarkEnd w:id="5004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912"/>
        <w:gridCol w:w="5054"/>
        <w:gridCol w:w="772"/>
        <w:gridCol w:w="2667"/>
      </w:tblGrid>
      <w:tr>
        <w:trPr>
          <w:cantSplit/>
          <w:tblHeader/>
        </w:trPr>
        <w:tc>
          <w:tcPr>
            <w:tcW w:type="dxa" w:w="912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5054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Requerimiento</w:t>
            </w:r>
          </w:p>
        </w:tc>
        <w:tc>
          <w:tcPr>
            <w:tcW w:type="dxa" w:w="772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Prio.</w:t>
            </w:r>
          </w:p>
        </w:tc>
        <w:tc>
          <w:tcPr>
            <w:tcW w:type="dxa" w:w="2667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91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RF-05</w:t>
            </w:r>
          </w:p>
        </w:tc>
        <w:tc>
          <w:tcPr>
            <w:tcW w:type="dxa" w:w="505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Crear un ticket por cada alerta nueva, con inquilino, referencia de la alerta, título y severidad</w:t>
            </w:r>
          </w:p>
        </w:tc>
        <w:tc>
          <w:tcPr>
            <w:tcW w:type="dxa" w:w="77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M</w:t>
            </w:r>
          </w:p>
        </w:tc>
        <w:tc>
          <w:tcPr>
            <w:tcW w:type="dxa" w:w="2667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tabla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tickets</w:t>
            </w:r>
            <w:r>
              <w:rPr>
                <w:sz w:val="19"/>
              </w:rPr>
              <w:t xml:space="preserve">; </w:t>
            </w: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servicio que la llene</w:t>
            </w:r>
          </w:p>
        </w:tc>
      </w:tr>
      <w:tr>
        <w:trPr>
          <w:cantSplit/>
        </w:trPr>
        <w:tc>
          <w:tcPr>
            <w:tcW w:type="dxa" w:w="91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RF-06</w:t>
            </w:r>
          </w:p>
        </w:tc>
        <w:tc>
          <w:tcPr>
            <w:tcW w:type="dxa" w:w="505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Clasificar cada alerta en dos pasos: primero la familia (F1 a F6) y luego un playbook entre los candidatos de esa familia. El modelo sólo responde JSON con un identificador y una confianza</w:t>
            </w:r>
          </w:p>
        </w:tc>
        <w:tc>
          <w:tcPr>
            <w:tcW w:type="dxa" w:w="77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M</w:t>
            </w:r>
          </w:p>
        </w:tc>
        <w:tc>
          <w:tcPr>
            <w:tcW w:type="dxa" w:w="266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decision/inferencia.py</w:t>
            </w:r>
            <w:r>
              <w:rPr>
                <w:sz w:val="19"/>
              </w:rPr>
              <w:t xml:space="preserve"> (sin conexión a Wazuh ni a la base)</w:t>
            </w:r>
          </w:p>
        </w:tc>
      </w:tr>
      <w:tr>
        <w:trPr>
          <w:cantSplit/>
        </w:trPr>
        <w:tc>
          <w:tcPr>
            <w:tcW w:type="dxa" w:w="91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RF-07</w:t>
            </w:r>
          </w:p>
        </w:tc>
        <w:tc>
          <w:tcPr>
            <w:tcW w:type="dxa" w:w="505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Aplicar los seis chequeos en orden; el primero que falla decide el motivo del rechazo</w:t>
            </w:r>
          </w:p>
        </w:tc>
        <w:tc>
          <w:tcPr>
            <w:tcW w:type="dxa" w:w="77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M</w:t>
            </w:r>
          </w:p>
        </w:tc>
        <w:tc>
          <w:tcPr>
            <w:tcW w:type="dxa" w:w="2667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validacion/contrato.py</w:t>
            </w:r>
            <w:r>
              <w:rPr>
                <w:sz w:val="19"/>
              </w:rPr>
              <w:t xml:space="preserve"> y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validacion/chequeos.py</w:t>
            </w:r>
            <w:r>
              <w:rPr>
                <w:sz w:val="19"/>
              </w:rPr>
              <w:t xml:space="preserve">; </w:t>
            </w:r>
            <w:r>
              <w:rPr>
                <w:rFonts w:ascii="Segoe UI Emoji" w:hAnsi="Segoe UI Emoji"/>
                <w:sz w:val="19"/>
              </w:rPr>
              <w:t>❓</w:t>
            </w:r>
            <w:r>
              <w:rPr>
                <w:sz w:val="19"/>
              </w:rPr>
              <w:t xml:space="preserve"> valores del mapa de severidad, de la lista de exclusión y de los contadores</w:t>
            </w:r>
          </w:p>
        </w:tc>
      </w:tr>
      <w:tr>
        <w:trPr>
          <w:cantSplit/>
        </w:trPr>
        <w:tc>
          <w:tcPr>
            <w:tcW w:type="dxa" w:w="91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RF-08</w:t>
            </w:r>
          </w:p>
        </w:tc>
        <w:tc>
          <w:tcPr>
            <w:tcW w:type="dxa" w:w="505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Si falla un chequeo o el modelo, no ejecutar nada, dejar el ticket en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MANUAL_TRIAGE</w:t>
            </w:r>
            <w:r>
              <w:rPr>
                <w:sz w:val="19"/>
              </w:rPr>
              <w:t xml:space="preserve"> con su motivo y avisar a una persona</w:t>
            </w:r>
          </w:p>
        </w:tc>
        <w:tc>
          <w:tcPr>
            <w:tcW w:type="dxa" w:w="77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M</w:t>
            </w:r>
          </w:p>
        </w:tc>
        <w:tc>
          <w:tcPr>
            <w:tcW w:type="dxa" w:w="266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códigos de motivo en el esquema y en el código; </w:t>
            </w: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aviso</w:t>
            </w:r>
          </w:p>
        </w:tc>
      </w:tr>
      <w:tr>
        <w:trPr>
          <w:cantSplit/>
        </w:trPr>
        <w:tc>
          <w:tcPr>
            <w:tcW w:type="dxa" w:w="91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RF-09</w:t>
            </w:r>
          </w:p>
        </w:tc>
        <w:tc>
          <w:tcPr>
            <w:tcW w:type="dxa" w:w="505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Escribir la decisión en SOAR-AUDIT antes de ejecutar (restricción R3)</w:t>
            </w:r>
          </w:p>
        </w:tc>
        <w:tc>
          <w:tcPr>
            <w:tcW w:type="dxa" w:w="77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M</w:t>
            </w:r>
          </w:p>
        </w:tc>
        <w:tc>
          <w:tcPr>
            <w:tcW w:type="dxa" w:w="2667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capa de acceso a la base</w:t>
            </w:r>
          </w:p>
        </w:tc>
      </w:tr>
    </w:tbl>
    <w:p>
      <w:pPr>
        <w:spacing w:after="40" w:line="192" w:lineRule="auto"/>
      </w:pPr>
    </w:p>
    <w:p>
      <w:pPr>
        <w:pStyle w:val="Heading2"/>
      </w:pPr>
      <w:bookmarkStart w:id="1008" w:name="_Toc0008"/>
      <w:r>
        <w:t>3.3 Ejecución y niveles de autonomía</w:t>
      </w:r>
      <w:bookmarkEnd w:id="1008"/>
    </w:p>
    <w:p>
      <w:pPr>
        <w:pStyle w:val="Caption"/>
        <w:keepNext/>
        <w:spacing w:before="120" w:after="80"/>
      </w:pPr>
      <w:bookmarkStart w:id="5005" w:name="_Tab005"/>
      <w:r>
        <w:t xml:space="preserve">Tabla </w:t>
        <w:fldChar w:fldCharType="begin"/>
        <w:instrText xml:space="preserve"> SEQ Tabla \* ARABIC </w:instrText>
        <w:fldChar w:fldCharType="separate"/>
        <w:t>5</w:t>
        <w:fldChar w:fldCharType="end"/>
        <w:t xml:space="preserve">. Requerimientos de SOAR-EXECUTE y de los niveles</w:t>
      </w:r>
      <w:bookmarkEnd w:id="5005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912"/>
        <w:gridCol w:w="5054"/>
        <w:gridCol w:w="772"/>
        <w:gridCol w:w="2667"/>
      </w:tblGrid>
      <w:tr>
        <w:trPr>
          <w:cantSplit/>
          <w:tblHeader/>
        </w:trPr>
        <w:tc>
          <w:tcPr>
            <w:tcW w:type="dxa" w:w="912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5054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Requerimiento</w:t>
            </w:r>
          </w:p>
        </w:tc>
        <w:tc>
          <w:tcPr>
            <w:tcW w:type="dxa" w:w="772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Prio.</w:t>
            </w:r>
          </w:p>
        </w:tc>
        <w:tc>
          <w:tcPr>
            <w:tcW w:type="dxa" w:w="2667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91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RF-10</w:t>
            </w:r>
          </w:p>
        </w:tc>
        <w:tc>
          <w:tcPr>
            <w:tcW w:type="dxa" w:w="505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Traducir el playbook aprobado a una orden de Active Response, enviada por la API de Wazuh con un usuario de permisos mínimos. Sólo SOAR-EXECUTE dispara acciones</w:t>
            </w:r>
          </w:p>
        </w:tc>
        <w:tc>
          <w:tcPr>
            <w:tcW w:type="dxa" w:w="77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M</w:t>
            </w:r>
          </w:p>
        </w:tc>
        <w:tc>
          <w:tcPr>
            <w:tcW w:type="dxa" w:w="2667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  <w:tr>
        <w:trPr>
          <w:cantSplit/>
        </w:trPr>
        <w:tc>
          <w:tcPr>
            <w:tcW w:type="dxa" w:w="91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RF-11</w:t>
            </w:r>
          </w:p>
        </w:tc>
        <w:tc>
          <w:tcPr>
            <w:tcW w:type="dxa" w:w="505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Programar la reversión de las medidas de nivel 1 y ejecutarla sola al vencer el plazo</w:t>
            </w:r>
          </w:p>
        </w:tc>
        <w:tc>
          <w:tcPr>
            <w:tcW w:type="dxa" w:w="77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M</w:t>
            </w:r>
          </w:p>
        </w:tc>
        <w:tc>
          <w:tcPr>
            <w:tcW w:type="dxa" w:w="266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; </w:t>
            </w:r>
            <w:r>
              <w:rPr>
                <w:rFonts w:ascii="Segoe UI Emoji" w:hAnsi="Segoe UI Emoji"/>
                <w:sz w:val="19"/>
              </w:rPr>
              <w:t>❓</w:t>
            </w:r>
            <w:r>
              <w:rPr>
                <w:sz w:val="19"/>
              </w:rPr>
              <w:t xml:space="preserve"> plazos por medida</w:t>
            </w:r>
          </w:p>
        </w:tc>
      </w:tr>
      <w:tr>
        <w:trPr>
          <w:cantSplit/>
        </w:trPr>
        <w:tc>
          <w:tcPr>
            <w:tcW w:type="dxa" w:w="91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RF-12</w:t>
            </w:r>
          </w:p>
        </w:tc>
        <w:tc>
          <w:tcPr>
            <w:tcW w:type="dxa" w:w="505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Registrar en SOAR-AUDIT el resultado de cada ejecución y de cada reversión</w:t>
            </w:r>
          </w:p>
        </w:tc>
        <w:tc>
          <w:tcPr>
            <w:tcW w:type="dxa" w:w="77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M</w:t>
            </w:r>
          </w:p>
        </w:tc>
        <w:tc>
          <w:tcPr>
            <w:tcW w:type="dxa" w:w="2667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  <w:tr>
        <w:trPr>
          <w:cantSplit/>
        </w:trPr>
        <w:tc>
          <w:tcPr>
            <w:tcW w:type="dxa" w:w="91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RF-13</w:t>
            </w:r>
          </w:p>
        </w:tc>
        <w:tc>
          <w:tcPr>
            <w:tcW w:type="dxa" w:w="505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Nivel 2: ejecutar y avisar de inmediato por Telegram al equipo. Abrir un plazo de revisión de 2 días. Al vencer, enviar un recordatorio diario; la acción sigue vigente hasta que un integrante la revierta. Nunca revertir solo (D-33)</w:t>
            </w:r>
          </w:p>
        </w:tc>
        <w:tc>
          <w:tcPr>
            <w:tcW w:type="dxa" w:w="77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M</w:t>
            </w:r>
          </w:p>
        </w:tc>
        <w:tc>
          <w:tcPr>
            <w:tcW w:type="dxa" w:w="266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  <w:tr>
        <w:trPr>
          <w:cantSplit/>
        </w:trPr>
        <w:tc>
          <w:tcPr>
            <w:tcW w:type="dxa" w:w="91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RF-14</w:t>
            </w:r>
          </w:p>
        </w:tc>
        <w:tc>
          <w:tcPr>
            <w:tcW w:type="dxa" w:w="505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Nivel 3: no ejecutar sin aprobación previa de un integrante del equipo. Plazo de 2 días para aprobar o rechazar (D-32). Registrar quién aprueba. El rechazo exige justificación</w:t>
            </w:r>
          </w:p>
        </w:tc>
        <w:tc>
          <w:tcPr>
            <w:tcW w:type="dxa" w:w="77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M</w:t>
            </w:r>
          </w:p>
        </w:tc>
        <w:tc>
          <w:tcPr>
            <w:tcW w:type="dxa" w:w="2667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  <w:tr>
        <w:trPr>
          <w:cantSplit/>
        </w:trPr>
        <w:tc>
          <w:tcPr>
            <w:tcW w:type="dxa" w:w="91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RF-15</w:t>
            </w:r>
          </w:p>
        </w:tc>
        <w:tc>
          <w:tcPr>
            <w:tcW w:type="dxa" w:w="505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Nivel 3 sin respuesta al vencer el plazo: la aprobación expira sin ejecutar, el ticket pasa a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MANUAL_TRIAGE</w:t>
            </w:r>
            <w:r>
              <w:rPr>
                <w:sz w:val="19"/>
              </w:rPr>
              <w:t xml:space="preserve"> con motivo de aprobación vencida y se envía un último aviso. </w:t>
            </w:r>
            <w:r>
              <w:rPr>
                <w:b/>
                <w:color w:val="8A2B0E"/>
                <w:sz w:val="19"/>
              </w:rPr>
              <w:t>«Propuesta»</w:t>
            </w:r>
            <w:r>
              <w:rPr>
                <w:sz w:val="19"/>
              </w:rPr>
              <w:t xml:space="preserve"> D-34. </w:t>
            </w:r>
            <w:r>
              <w:rPr>
                <w:b/>
                <w:color w:val="7A4A00"/>
                <w:sz w:val="19"/>
                <w:highlight w:val="yellow"/>
              </w:rPr>
              <w:t>[POR CONFIRMAR: aceptación de la propuesta D-34 y del nuevo motivo de rechazo — preguntar al equipo]</w:t>
            </w:r>
          </w:p>
        </w:tc>
        <w:tc>
          <w:tcPr>
            <w:tcW w:type="dxa" w:w="77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</w:t>
            </w:r>
          </w:p>
        </w:tc>
        <w:tc>
          <w:tcPr>
            <w:tcW w:type="dxa" w:w="266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❓</w:t>
            </w:r>
          </w:p>
        </w:tc>
      </w:tr>
    </w:tbl>
    <w:p>
      <w:pPr>
        <w:spacing w:after="40" w:line="192" w:lineRule="auto"/>
      </w:pPr>
    </w:p>
    <w:p>
      <w:pPr>
        <w:pStyle w:val="Heading2"/>
      </w:pPr>
      <w:bookmarkStart w:id="1009" w:name="_Toc0009"/>
      <w:r>
        <w:t>3.4 Notificación y consola</w:t>
      </w:r>
      <w:bookmarkEnd w:id="1009"/>
    </w:p>
    <w:p>
      <w:pPr>
        <w:pStyle w:val="Caption"/>
        <w:keepNext/>
        <w:spacing w:before="120" w:after="80"/>
      </w:pPr>
      <w:bookmarkStart w:id="5006" w:name="_Tab006"/>
      <w:r>
        <w:t xml:space="preserve">Tabla </w:t>
        <w:fldChar w:fldCharType="begin"/>
        <w:instrText xml:space="preserve"> SEQ Tabla \* ARABIC </w:instrText>
        <w:fldChar w:fldCharType="separate"/>
        <w:t>6</w:t>
        <w:fldChar w:fldCharType="end"/>
        <w:t xml:space="preserve">. Requerimientos de SOAR-NOTIFY y SOAR-CONSOLE</w:t>
      </w:r>
      <w:bookmarkEnd w:id="5006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912"/>
        <w:gridCol w:w="5054"/>
        <w:gridCol w:w="772"/>
        <w:gridCol w:w="2667"/>
      </w:tblGrid>
      <w:tr>
        <w:trPr>
          <w:cantSplit/>
          <w:tblHeader/>
        </w:trPr>
        <w:tc>
          <w:tcPr>
            <w:tcW w:type="dxa" w:w="912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5054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Requerimiento</w:t>
            </w:r>
          </w:p>
        </w:tc>
        <w:tc>
          <w:tcPr>
            <w:tcW w:type="dxa" w:w="772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Prio.</w:t>
            </w:r>
          </w:p>
        </w:tc>
        <w:tc>
          <w:tcPr>
            <w:tcW w:type="dxa" w:w="2667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91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RF-16</w:t>
            </w:r>
          </w:p>
        </w:tc>
        <w:tc>
          <w:tcPr>
            <w:tcW w:type="dxa" w:w="505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Enviar por Telegram, sólo al equipo, los avisos de nivel 2, los recordatorios y las solicitudes de aprobación de nivel 3 con botones aprobar y rechazar (D-31)</w:t>
            </w:r>
          </w:p>
        </w:tc>
        <w:tc>
          <w:tcPr>
            <w:tcW w:type="dxa" w:w="77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M</w:t>
            </w:r>
          </w:p>
        </w:tc>
        <w:tc>
          <w:tcPr>
            <w:tcW w:type="dxa" w:w="2667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  <w:tr>
        <w:trPr>
          <w:cantSplit/>
        </w:trPr>
        <w:tc>
          <w:tcPr>
            <w:tcW w:type="dxa" w:w="91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RF-17</w:t>
            </w:r>
          </w:p>
        </w:tc>
        <w:tc>
          <w:tcPr>
            <w:tcW w:type="dxa" w:w="505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Autenticar a cada usuario de SOAR-CONSOLE y mostrarle sólo los datos de su inquilino</w:t>
            </w:r>
          </w:p>
        </w:tc>
        <w:tc>
          <w:tcPr>
            <w:tcW w:type="dxa" w:w="77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M</w:t>
            </w:r>
          </w:p>
        </w:tc>
        <w:tc>
          <w:tcPr>
            <w:tcW w:type="dxa" w:w="266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  <w:tr>
        <w:trPr>
          <w:cantSplit/>
        </w:trPr>
        <w:tc>
          <w:tcPr>
            <w:tcW w:type="dxa" w:w="91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RF-18</w:t>
            </w:r>
          </w:p>
        </w:tc>
        <w:tc>
          <w:tcPr>
            <w:tcW w:type="dxa" w:w="505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Mostrar la cola «pendientes de aprobación» del nivel 3, con aprobar y rechazar</w:t>
            </w:r>
          </w:p>
        </w:tc>
        <w:tc>
          <w:tcPr>
            <w:tcW w:type="dxa" w:w="77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M</w:t>
            </w:r>
          </w:p>
        </w:tc>
        <w:tc>
          <w:tcPr>
            <w:tcW w:type="dxa" w:w="2667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  <w:tr>
        <w:trPr>
          <w:cantSplit/>
        </w:trPr>
        <w:tc>
          <w:tcPr>
            <w:tcW w:type="dxa" w:w="91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RF-19</w:t>
            </w:r>
          </w:p>
        </w:tc>
        <w:tc>
          <w:tcPr>
            <w:tcW w:type="dxa" w:w="505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Mostrar la lista «acciones activas» del nivel 2, con su antigüedad frente al plazo de 2 días y un botón de revertir</w:t>
            </w:r>
          </w:p>
        </w:tc>
        <w:tc>
          <w:tcPr>
            <w:tcW w:type="dxa" w:w="77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M</w:t>
            </w:r>
          </w:p>
        </w:tc>
        <w:tc>
          <w:tcPr>
            <w:tcW w:type="dxa" w:w="266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  <w:tr>
        <w:trPr>
          <w:cantSplit/>
        </w:trPr>
        <w:tc>
          <w:tcPr>
            <w:tcW w:type="dxa" w:w="91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RF-20</w:t>
            </w:r>
          </w:p>
        </w:tc>
        <w:tc>
          <w:tcPr>
            <w:tcW w:type="dxa" w:w="505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Mostrar la línea de tiempo de cada ticket a partir de la bitácora</w:t>
            </w:r>
          </w:p>
        </w:tc>
        <w:tc>
          <w:tcPr>
            <w:tcW w:type="dxa" w:w="77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</w:t>
            </w:r>
          </w:p>
        </w:tc>
        <w:tc>
          <w:tcPr>
            <w:tcW w:type="dxa" w:w="2667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vista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frontend.auditoria</w:t>
            </w:r>
            <w:r>
              <w:rPr>
                <w:sz w:val="19"/>
              </w:rPr>
              <w:t xml:space="preserve"> </w:t>
            </w: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91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RF-21</w:t>
            </w:r>
          </w:p>
        </w:tc>
        <w:tc>
          <w:tcPr>
            <w:tcW w:type="dxa" w:w="505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Abrir el cortacircuito de un ámbito y cerrarlo. Sólo una persona puede cerrarlo</w:t>
            </w:r>
          </w:p>
        </w:tc>
        <w:tc>
          <w:tcPr>
            <w:tcW w:type="dxa" w:w="77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M</w:t>
            </w:r>
          </w:p>
        </w:tc>
        <w:tc>
          <w:tcPr>
            <w:tcW w:type="dxa" w:w="266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tabla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cortacircuito</w:t>
            </w:r>
            <w:r>
              <w:rPr>
                <w:sz w:val="19"/>
              </w:rPr>
              <w:t xml:space="preserve">; </w:t>
            </w: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operación</w:t>
            </w:r>
          </w:p>
        </w:tc>
      </w:tr>
      <w:tr>
        <w:trPr>
          <w:cantSplit/>
        </w:trPr>
        <w:tc>
          <w:tcPr>
            <w:tcW w:type="dxa" w:w="91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RF-22</w:t>
            </w:r>
          </w:p>
        </w:tc>
        <w:tc>
          <w:tcPr>
            <w:tcW w:type="dxa" w:w="505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Verificar a pedido la cadena de hash del inquilino y mostrar la primera discontinuidad</w:t>
            </w:r>
          </w:p>
        </w:tc>
        <w:tc>
          <w:tcPr>
            <w:tcW w:type="dxa" w:w="77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</w:t>
            </w:r>
          </w:p>
        </w:tc>
        <w:tc>
          <w:tcPr>
            <w:tcW w:type="dxa" w:w="2667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fn_verificar_cadena</w:t>
            </w:r>
            <w:r>
              <w:rPr>
                <w:sz w:val="19"/>
              </w:rPr>
              <w:t xml:space="preserve">; </w:t>
            </w: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botón</w:t>
            </w:r>
          </w:p>
        </w:tc>
      </w:tr>
      <w:tr>
        <w:trPr>
          <w:cantSplit/>
        </w:trPr>
        <w:tc>
          <w:tcPr>
            <w:tcW w:type="dxa" w:w="91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RF-23</w:t>
            </w:r>
          </w:p>
        </w:tc>
        <w:tc>
          <w:tcPr>
            <w:tcW w:type="dxa" w:w="505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Descargar el instalador del agente propio del inquilino</w:t>
            </w:r>
          </w:p>
        </w:tc>
        <w:tc>
          <w:tcPr>
            <w:tcW w:type="dxa" w:w="77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</w:t>
            </w:r>
          </w:p>
        </w:tc>
        <w:tc>
          <w:tcPr>
            <w:tcW w:type="dxa" w:w="266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</w:tbl>
    <w:p>
      <w:pPr>
        <w:spacing w:after="40" w:line="192" w:lineRule="auto"/>
      </w:pPr>
    </w:p>
    <w:p>
      <w:pPr>
        <w:pStyle w:val="Heading2"/>
      </w:pPr>
      <w:bookmarkStart w:id="1010" w:name="_Toc0010"/>
      <w:r>
        <w:t>3.5 Persistencia e inquilinos</w:t>
      </w:r>
      <w:bookmarkEnd w:id="1010"/>
    </w:p>
    <w:p>
      <w:pPr>
        <w:pStyle w:val="Caption"/>
        <w:keepNext/>
        <w:spacing w:before="120" w:after="80"/>
      </w:pPr>
      <w:bookmarkStart w:id="5007" w:name="_Tab007"/>
      <w:r>
        <w:t xml:space="preserve">Tabla </w:t>
        <w:fldChar w:fldCharType="begin"/>
        <w:instrText xml:space="preserve"> SEQ Tabla \* ARABIC </w:instrText>
        <w:fldChar w:fldCharType="separate"/>
        <w:t>7</w:t>
        <w:fldChar w:fldCharType="end"/>
        <w:t xml:space="preserve">. Requerimientos de SOAR-AUDIT y del alta de inquilinos</w:t>
      </w:r>
      <w:bookmarkEnd w:id="5007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912"/>
        <w:gridCol w:w="5054"/>
        <w:gridCol w:w="772"/>
        <w:gridCol w:w="2667"/>
      </w:tblGrid>
      <w:tr>
        <w:trPr>
          <w:cantSplit/>
          <w:tblHeader/>
        </w:trPr>
        <w:tc>
          <w:tcPr>
            <w:tcW w:type="dxa" w:w="912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5054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Requerimiento</w:t>
            </w:r>
          </w:p>
        </w:tc>
        <w:tc>
          <w:tcPr>
            <w:tcW w:type="dxa" w:w="772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Prio.</w:t>
            </w:r>
          </w:p>
        </w:tc>
        <w:tc>
          <w:tcPr>
            <w:tcW w:type="dxa" w:w="2667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91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RF-24</w:t>
            </w:r>
          </w:p>
        </w:tc>
        <w:tc>
          <w:tcPr>
            <w:tcW w:type="dxa" w:w="505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Mantener una bitácora de sólo inserción con una cadena de hash por inquilino</w:t>
            </w:r>
          </w:p>
        </w:tc>
        <w:tc>
          <w:tcPr>
            <w:tcW w:type="dxa" w:w="77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M</w:t>
            </w:r>
          </w:p>
        </w:tc>
        <w:tc>
          <w:tcPr>
            <w:tcW w:type="dxa" w:w="2667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desplegada y probada</w:t>
            </w:r>
          </w:p>
        </w:tc>
      </w:tr>
      <w:tr>
        <w:trPr>
          <w:cantSplit/>
        </w:trPr>
        <w:tc>
          <w:tcPr>
            <w:tcW w:type="dxa" w:w="91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RF-25</w:t>
            </w:r>
          </w:p>
        </w:tc>
        <w:tc>
          <w:tcPr>
            <w:tcW w:type="dxa" w:w="505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Abrir automáticamente el cortacircuito cuando un contador de tasa llega a su tope. La prueba comprometida es que 30 alertas en 10 minutos lo activen</w:t>
            </w:r>
          </w:p>
        </w:tc>
        <w:tc>
          <w:tcPr>
            <w:tcW w:type="dxa" w:w="77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M</w:t>
            </w:r>
          </w:p>
        </w:tc>
        <w:tc>
          <w:tcPr>
            <w:tcW w:type="dxa" w:w="266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rechazo por tope o cortacircuito abierto (chequeo 5); </w:t>
            </w: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apertura automática; </w:t>
            </w:r>
            <w:r>
              <w:rPr>
                <w:rFonts w:ascii="Segoe UI Emoji" w:hAnsi="Segoe UI Emoji"/>
                <w:sz w:val="19"/>
              </w:rPr>
              <w:t>❓</w:t>
            </w:r>
            <w:r>
              <w:rPr>
                <w:sz w:val="19"/>
              </w:rPr>
              <w:t xml:space="preserve"> contadores y topes</w:t>
            </w:r>
          </w:p>
        </w:tc>
      </w:tr>
      <w:tr>
        <w:trPr>
          <w:cantSplit/>
        </w:trPr>
        <w:tc>
          <w:tcPr>
            <w:tcW w:type="dxa" w:w="91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RF-26</w:t>
            </w:r>
          </w:p>
        </w:tc>
        <w:tc>
          <w:tcPr>
            <w:tcW w:type="dxa" w:w="505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Dar de alta un inquilino: identificador, grupo propio en Wazuh y token de enrolamiento</w:t>
            </w:r>
          </w:p>
        </w:tc>
        <w:tc>
          <w:tcPr>
            <w:tcW w:type="dxa" w:w="77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</w:t>
            </w:r>
          </w:p>
        </w:tc>
        <w:tc>
          <w:tcPr>
            <w:tcW w:type="dxa" w:w="2667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</w:tbl>
    <w:p>
      <w:pPr>
        <w:spacing w:after="40" w:line="192" w:lineRule="auto"/>
      </w:pPr>
    </w:p>
    <w:p>
      <w:pPr>
        <w:pStyle w:val="Heading1"/>
      </w:pPr>
      <w:bookmarkStart w:id="1011" w:name="_Toc0011"/>
      <w:r>
        <w:t>4. Requerimientos no funcionales</w:t>
      </w:r>
      <w:bookmarkEnd w:id="1011"/>
    </w:p>
    <w:p>
      <w:pPr>
        <w:pStyle w:val="Caption"/>
        <w:keepNext/>
        <w:spacing w:before="120" w:after="80"/>
      </w:pPr>
      <w:bookmarkStart w:id="5008" w:name="_Tab008"/>
      <w:r>
        <w:t xml:space="preserve">Tabla </w:t>
        <w:fldChar w:fldCharType="begin"/>
        <w:instrText xml:space="preserve"> SEQ Tabla \* ARABIC </w:instrText>
        <w:fldChar w:fldCharType="separate"/>
        <w:t>8</w:t>
        <w:fldChar w:fldCharType="end"/>
        <w:t xml:space="preserve">. Requerimientos no funcionales</w:t>
      </w:r>
      <w:bookmarkEnd w:id="5008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1175"/>
        <w:gridCol w:w="3863"/>
        <w:gridCol w:w="3611"/>
        <w:gridCol w:w="755"/>
      </w:tblGrid>
      <w:tr>
        <w:trPr>
          <w:cantSplit/>
          <w:tblHeader/>
        </w:trPr>
        <w:tc>
          <w:tcPr>
            <w:tcW w:type="dxa" w:w="1176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3863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Requerimiento</w:t>
            </w:r>
          </w:p>
        </w:tc>
        <w:tc>
          <w:tcPr>
            <w:tcW w:type="dxa" w:w="361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Criterio de verificación</w:t>
            </w:r>
          </w:p>
        </w:tc>
        <w:tc>
          <w:tcPr>
            <w:tcW w:type="dxa" w:w="756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Prio.</w:t>
            </w:r>
          </w:p>
        </w:tc>
      </w:tr>
      <w:tr>
        <w:trPr>
          <w:cantSplit/>
        </w:trPr>
        <w:tc>
          <w:tcPr>
            <w:tcW w:type="dxa" w:w="117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RNF-01</w:t>
            </w:r>
          </w:p>
        </w:tc>
        <w:tc>
          <w:tcPr>
            <w:tcW w:type="dxa" w:w="386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Latencia: la decisión sobre una alerta (dos pasos y chequeos) termina en 60 segundos o menos</w:t>
            </w:r>
          </w:p>
        </w:tc>
        <w:tc>
          <w:tcPr>
            <w:tcW w:type="dxa" w:w="361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Medición con los modelos candidatos y con todos los servicios corriendo; ver documento 07 (Plan de métricas y medición)</w:t>
            </w:r>
          </w:p>
        </w:tc>
        <w:tc>
          <w:tcPr>
            <w:tcW w:type="dxa" w:w="75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117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RNF-02</w:t>
            </w:r>
          </w:p>
        </w:tc>
        <w:tc>
          <w:tcPr>
            <w:tcW w:type="dxa" w:w="386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Falla segura: ante modelo caído, demora, respuesta fuera de esquema, baja confianza o playbook fuera del catálogo, no se actúa y el caso pasa a una persona</w:t>
            </w:r>
          </w:p>
        </w:tc>
        <w:tc>
          <w:tcPr>
            <w:tcW w:type="dxa" w:w="361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Pruebas unitarias de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decision/inferencia.py</w:t>
            </w:r>
            <w:r>
              <w:rPr>
                <w:sz w:val="19"/>
              </w:rPr>
              <w:t>; prueba ESC-05 con el motor apagado</w:t>
            </w:r>
          </w:p>
        </w:tc>
        <w:tc>
          <w:tcPr>
            <w:tcW w:type="dxa" w:w="75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117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RNF-03</w:t>
            </w:r>
          </w:p>
        </w:tc>
        <w:tc>
          <w:tcPr>
            <w:tcW w:type="dxa" w:w="386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Aislamiento por inquilino: ningún rol de aplicación ve ni escribe filas de otro inquilino</w:t>
            </w:r>
          </w:p>
        </w:tc>
        <w:tc>
          <w:tcPr>
            <w:tcW w:type="dxa" w:w="361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Prueba «a» de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tests/sql</w:t>
            </w:r>
            <w:r>
              <w:rPr>
                <w:sz w:val="19"/>
              </w:rPr>
              <w:t xml:space="preserve">: 0 filas ajenas y error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42501</w:t>
            </w:r>
          </w:p>
        </w:tc>
        <w:tc>
          <w:tcPr>
            <w:tcW w:type="dxa" w:w="75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117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RNF-04</w:t>
            </w:r>
          </w:p>
        </w:tc>
        <w:tc>
          <w:tcPr>
            <w:tcW w:type="dxa" w:w="386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Auditabilidad: la bitácora es inmutable para todos los roles y su cadena es verificable</w:t>
            </w:r>
          </w:p>
        </w:tc>
        <w:tc>
          <w:tcPr>
            <w:tcW w:type="dxa" w:w="361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Pruebas «c» y «d» de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tests/sql</w:t>
            </w:r>
          </w:p>
        </w:tc>
        <w:tc>
          <w:tcPr>
            <w:tcW w:type="dxa" w:w="75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117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RNF-05</w:t>
            </w:r>
          </w:p>
        </w:tc>
        <w:tc>
          <w:tcPr>
            <w:tcW w:type="dxa" w:w="386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Frontera decisión/ejecución verificable: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decision/</w:t>
            </w:r>
            <w:r>
              <w:rPr>
                <w:sz w:val="19"/>
              </w:rPr>
              <w:t xml:space="preserve"> no depende de la capa de efectos</w:t>
            </w:r>
          </w:p>
        </w:tc>
        <w:tc>
          <w:tcPr>
            <w:tcW w:type="dxa" w:w="361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Check R1 en cada PR</w:t>
            </w:r>
          </w:p>
        </w:tc>
        <w:tc>
          <w:tcPr>
            <w:tcW w:type="dxa" w:w="75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117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RNF-06</w:t>
            </w:r>
          </w:p>
        </w:tc>
        <w:tc>
          <w:tcPr>
            <w:tcW w:type="dxa" w:w="386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Disponibilidad tras reinicio: Docker y los cinco contenedores vuelven solos</w:t>
            </w:r>
          </w:p>
        </w:tc>
        <w:tc>
          <w:tcPr>
            <w:tcW w:type="dxa" w:w="361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Prueba de reinicio del servidor (pendiente, R-02)</w:t>
            </w:r>
          </w:p>
        </w:tc>
        <w:tc>
          <w:tcPr>
            <w:tcW w:type="dxa" w:w="75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117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RNF-07</w:t>
            </w:r>
          </w:p>
        </w:tc>
        <w:tc>
          <w:tcPr>
            <w:tcW w:type="dxa" w:w="386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Exposición mínima de red: 1514 y 443 públicos; API de Wazuh, Indexer y Dashboard sólo por NetBird; SSH sólo con llave; la base sin puertos publicados</w:t>
            </w:r>
          </w:p>
        </w:tc>
        <w:tc>
          <w:tcPr>
            <w:tcW w:type="dxa" w:w="361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Escaneo desde internet y revisión de los compose</w:t>
            </w:r>
          </w:p>
        </w:tc>
        <w:tc>
          <w:tcPr>
            <w:tcW w:type="dxa" w:w="75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117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RNF-08</w:t>
            </w:r>
          </w:p>
        </w:tc>
        <w:tc>
          <w:tcPr>
            <w:tcW w:type="dxa" w:w="386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Sin secretos en el repositorio</w:t>
            </w:r>
          </w:p>
        </w:tc>
        <w:tc>
          <w:tcPr>
            <w:tcW w:type="dxa" w:w="361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gitleaks sobre todo el historial en cada PR</w:t>
            </w:r>
          </w:p>
        </w:tc>
        <w:tc>
          <w:tcPr>
            <w:tcW w:type="dxa" w:w="75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117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RNF-09</w:t>
            </w:r>
          </w:p>
        </w:tc>
        <w:tc>
          <w:tcPr>
            <w:tcW w:type="dxa" w:w="386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Reproducibilidad: modelo con pesos congelados,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temperature = 0</w:t>
            </w:r>
            <w:r>
              <w:rPr>
                <w:sz w:val="19"/>
              </w:rPr>
              <w:t>, prompts y catálogo versionados</w:t>
            </w:r>
          </w:p>
        </w:tc>
        <w:tc>
          <w:tcPr>
            <w:tcW w:type="dxa" w:w="361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Revisión de configuración; repetir una decisión pasada</w:t>
            </w:r>
          </w:p>
        </w:tc>
        <w:tc>
          <w:tcPr>
            <w:tcW w:type="dxa" w:w="75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117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RNF-10</w:t>
            </w:r>
          </w:p>
        </w:tc>
        <w:tc>
          <w:tcPr>
            <w:tcW w:type="dxa" w:w="386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Resistencia a la inyección de instrucciones: un texto de alerta malicioso no produce una ejecución fuera del catálogo</w:t>
            </w:r>
          </w:p>
        </w:tc>
        <w:tc>
          <w:tcPr>
            <w:tcW w:type="dxa" w:w="361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10 de 10 casos adversariales (ESC-04) sin ejecución indebida</w:t>
            </w:r>
          </w:p>
        </w:tc>
        <w:tc>
          <w:tcPr>
            <w:tcW w:type="dxa" w:w="75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117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RNF-11</w:t>
            </w:r>
          </w:p>
        </w:tc>
        <w:tc>
          <w:tcPr>
            <w:tcW w:type="dxa" w:w="386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Recuperabilidad: respaldo diario y restauración probada con la cadena íntegra</w:t>
            </w:r>
          </w:p>
        </w:tc>
        <w:tc>
          <w:tcPr>
            <w:tcW w:type="dxa" w:w="361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Prueba de restauración; ver documento 19 (Política de respaldo y retención)</w:t>
            </w:r>
          </w:p>
        </w:tc>
        <w:tc>
          <w:tcPr>
            <w:tcW w:type="dxa" w:w="75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117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RNF-12</w:t>
            </w:r>
          </w:p>
        </w:tc>
        <w:tc>
          <w:tcPr>
            <w:tcW w:type="dxa" w:w="386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Escalabilidad por diseño: agregar un cliente no exige cambiar el esquema ni el código</w:t>
            </w:r>
          </w:p>
        </w:tc>
        <w:tc>
          <w:tcPr>
            <w:tcW w:type="dxa" w:w="361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Revisión del diseño multiinquilino (</w:t>
            </w:r>
            <w:r>
              <w:rPr>
                <w:rFonts w:ascii="Consolas" w:hAnsi="Consolas"/>
                <w:sz w:val="16"/>
                <w:shd w:val="clear" w:color="auto" w:fill="F2F2F2"/>
              </w:rPr>
              <w:t>tenant_id</w:t>
            </w:r>
            <w:r>
              <w:rPr>
                <w:sz w:val="19"/>
              </w:rPr>
              <w:t xml:space="preserve"> y RLS)</w:t>
            </w:r>
          </w:p>
        </w:tc>
        <w:tc>
          <w:tcPr>
            <w:tcW w:type="dxa" w:w="75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</w:t>
            </w:r>
          </w:p>
        </w:tc>
      </w:tr>
    </w:tbl>
    <w:p>
      <w:pPr>
        <w:spacing w:after="40" w:line="192" w:lineRule="auto"/>
      </w:pPr>
    </w:p>
    <w:p>
      <w:pPr>
        <w:pStyle w:val="Heading1"/>
      </w:pPr>
      <w:bookmarkStart w:id="1012" w:name="_Toc0012"/>
      <w:r>
        <w:t>5. Requerimientos legales</w:t>
      </w:r>
      <w:bookmarkEnd w:id="1012"/>
    </w:p>
    <w:p>
      <w:r>
        <w:t xml:space="preserve">Los contenidos legales de esta sección son un </w:t>
      </w:r>
      <w:r>
        <w:rPr>
          <w:b/>
        </w:rPr>
        <w:t>borrador técnico</w:t>
      </w:r>
      <w:r>
        <w:t>. No reemplazan una revisión del profesor guía ni una asesoría legal.</w:t>
      </w:r>
    </w:p>
    <w:p>
      <w:pPr>
        <w:pStyle w:val="Caption"/>
        <w:keepNext/>
        <w:spacing w:before="120" w:after="80"/>
      </w:pPr>
      <w:bookmarkStart w:id="5009" w:name="_Tab009"/>
      <w:r>
        <w:t xml:space="preserve">Tabla </w:t>
        <w:fldChar w:fldCharType="begin"/>
        <w:instrText xml:space="preserve"> SEQ Tabla \* ARABIC </w:instrText>
        <w:fldChar w:fldCharType="separate"/>
        <w:t>9</w:t>
        <w:fldChar w:fldCharType="end"/>
        <w:t xml:space="preserve">. Requerimientos legales y normativos</w:t>
      </w:r>
      <w:bookmarkEnd w:id="5009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766"/>
        <w:gridCol w:w="3901"/>
        <w:gridCol w:w="1811"/>
        <w:gridCol w:w="2926"/>
      </w:tblGrid>
      <w:tr>
        <w:trPr>
          <w:cantSplit/>
          <w:tblHeader/>
        </w:trPr>
        <w:tc>
          <w:tcPr>
            <w:tcW w:type="dxa" w:w="766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390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Requerimiento</w:t>
            </w:r>
          </w:p>
        </w:tc>
        <w:tc>
          <w:tcPr>
            <w:tcW w:type="dxa" w:w="181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Fundamento</w:t>
            </w:r>
          </w:p>
        </w:tc>
        <w:tc>
          <w:tcPr>
            <w:tcW w:type="dxa" w:w="2926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76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RL-01</w:t>
            </w:r>
          </w:p>
        </w:tc>
        <w:tc>
          <w:tcPr>
            <w:tcW w:type="dxa" w:w="390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Contar con autorización escrita de instalación y monitoreo antes de instalar en un cliente</w:t>
            </w:r>
          </w:p>
        </w:tc>
        <w:tc>
          <w:tcPr>
            <w:tcW w:type="dxa" w:w="181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Requisito previo del proyecto</w:t>
            </w:r>
          </w:p>
        </w:tc>
        <w:tc>
          <w:tcPr>
            <w:tcW w:type="dxa" w:w="2926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documento firmado «Autorización de Instalación y Monitoreo»</w:t>
            </w:r>
          </w:p>
        </w:tc>
      </w:tr>
      <w:tr>
        <w:trPr>
          <w:cantSplit/>
        </w:trPr>
        <w:tc>
          <w:tcPr>
            <w:tcW w:type="dxa" w:w="76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RL-02</w:t>
            </w:r>
          </w:p>
        </w:tc>
        <w:tc>
          <w:tcPr>
            <w:tcW w:type="dxa" w:w="390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Avisar a los trabajadores que sus equipos son monitoreados</w:t>
            </w:r>
          </w:p>
        </w:tc>
        <w:tc>
          <w:tcPr>
            <w:tcW w:type="dxa" w:w="181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Requisito previo del proyecto</w:t>
            </w:r>
          </w:p>
        </w:tc>
        <w:tc>
          <w:tcPr>
            <w:tcW w:type="dxa" w:w="292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documento firmado «Aviso de Monitoreo a Trabajadores»</w:t>
            </w:r>
          </w:p>
        </w:tc>
      </w:tr>
      <w:tr>
        <w:trPr>
          <w:cantSplit/>
        </w:trPr>
        <w:tc>
          <w:tcPr>
            <w:tcW w:type="dxa" w:w="76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RL-03</w:t>
            </w:r>
          </w:p>
        </w:tc>
        <w:tc>
          <w:tcPr>
            <w:tcW w:type="dxa" w:w="390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Contar con la aceptación explícita de las acciones de contención</w:t>
            </w:r>
          </w:p>
        </w:tc>
        <w:tc>
          <w:tcPr>
            <w:tcW w:type="dxa" w:w="181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Requisito previo del proyecto</w:t>
            </w:r>
          </w:p>
        </w:tc>
        <w:tc>
          <w:tcPr>
            <w:tcW w:type="dxa" w:w="2926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documento firmado «Aceptación de Acciones de Contención»</w:t>
            </w:r>
          </w:p>
        </w:tc>
      </w:tr>
      <w:tr>
        <w:trPr>
          <w:cantSplit/>
        </w:trPr>
        <w:tc>
          <w:tcPr>
            <w:tcW w:type="dxa" w:w="76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RL-04</w:t>
            </w:r>
          </w:p>
        </w:tc>
        <w:tc>
          <w:tcPr>
            <w:tcW w:type="dxa" w:w="390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Minimizar los datos: no leer recetas, fichas, datos médicos ni el contenido de documentos, correos o bases de datos. Sólo comportamiento del sistema operativo</w:t>
            </w:r>
          </w:p>
        </w:tc>
        <w:tc>
          <w:tcPr>
            <w:tcW w:type="dxa" w:w="181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Ley 19.628 modificada por la Ley 21.719</w:t>
            </w:r>
          </w:p>
        </w:tc>
        <w:tc>
          <w:tcPr>
            <w:tcW w:type="dxa" w:w="292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por diseño (límite 2 del alcance)</w:t>
            </w:r>
          </w:p>
        </w:tc>
      </w:tr>
      <w:tr>
        <w:trPr>
          <w:cantSplit/>
        </w:trPr>
        <w:tc>
          <w:tcPr>
            <w:tcW w:type="dxa" w:w="76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RL-05</w:t>
            </w:r>
          </w:p>
        </w:tc>
        <w:tc>
          <w:tcPr>
            <w:tcW w:type="dxa" w:w="390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Proporcionalidad: la intensidad de la medida crece con el nivel de autonomía, y el nivel lo fija el catálogo</w:t>
            </w:r>
          </w:p>
        </w:tc>
        <w:tc>
          <w:tcPr>
            <w:tcW w:type="dxa" w:w="181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Ley 21.719, principio de proporcionalidad</w:t>
            </w:r>
          </w:p>
        </w:tc>
        <w:tc>
          <w:tcPr>
            <w:tcW w:type="dxa" w:w="2926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por diseño</w:t>
            </w:r>
          </w:p>
        </w:tc>
      </w:tr>
      <w:tr>
        <w:trPr>
          <w:cantSplit/>
        </w:trPr>
        <w:tc>
          <w:tcPr>
            <w:tcW w:type="dxa" w:w="76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RL-06</w:t>
            </w:r>
          </w:p>
        </w:tc>
        <w:tc>
          <w:tcPr>
            <w:tcW w:type="dxa" w:w="390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Responsabilidad proactiva: registrar la decisión antes de actuar y conservar la bitácora verificable</w:t>
            </w:r>
          </w:p>
        </w:tc>
        <w:tc>
          <w:tcPr>
            <w:tcW w:type="dxa" w:w="181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Ley 21.719</w:t>
            </w:r>
          </w:p>
        </w:tc>
        <w:tc>
          <w:tcPr>
            <w:tcW w:type="dxa" w:w="292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esquema; </w:t>
            </w: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servicio</w:t>
            </w:r>
          </w:p>
        </w:tc>
      </w:tr>
      <w:tr>
        <w:trPr>
          <w:cantSplit/>
        </w:trPr>
        <w:tc>
          <w:tcPr>
            <w:tcW w:type="dxa" w:w="76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RL-07</w:t>
            </w:r>
          </w:p>
        </w:tc>
        <w:tc>
          <w:tcPr>
            <w:tcW w:type="dxa" w:w="390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Avisar a la persona afectada por una medida de nivel 2 por un canal distinto del comprometido: correo electrónico, enviado a mano por un integrante del equipo (D-35). Kronos no lo envía solo</w:t>
            </w:r>
          </w:p>
        </w:tc>
        <w:tc>
          <w:tcPr>
            <w:tcW w:type="dxa" w:w="181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Ley 21.719</w:t>
            </w:r>
          </w:p>
        </w:tc>
        <w:tc>
          <w:tcPr>
            <w:tcW w:type="dxa" w:w="2926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; </w:t>
            </w:r>
            <w:r>
              <w:rPr>
                <w:b/>
                <w:color w:val="004D40"/>
                <w:sz w:val="19"/>
                <w:highlight w:val="cyan"/>
              </w:rPr>
              <w:t>[PENDIENTE: posterior a la instalación en la farmacia — correos de contacto para el aviso a las personas afectadas]</w:t>
            </w:r>
          </w:p>
        </w:tc>
      </w:tr>
      <w:tr>
        <w:trPr>
          <w:cantSplit/>
        </w:trPr>
        <w:tc>
          <w:tcPr>
            <w:tcW w:type="dxa" w:w="76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RL-08</w:t>
            </w:r>
          </w:p>
        </w:tc>
        <w:tc>
          <w:tcPr>
            <w:tcW w:type="dxa" w:w="390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Conservar alertas y bitácora durante 2 años y eliminar al vencer. Es una decisión interna (D-27), fundada en la Ley 21.663 y proporcional según la Ley 21.719. La Ley 21.663 no fija ese plazo</w:t>
            </w:r>
          </w:p>
        </w:tc>
        <w:tc>
          <w:tcPr>
            <w:tcW w:type="dxa" w:w="181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Decisión interna</w:t>
            </w:r>
          </w:p>
        </w:tc>
        <w:tc>
          <w:tcPr>
            <w:tcW w:type="dxa" w:w="292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ver documento 18 (Cierre de brechas BR-01 y BR-05, pendiente)</w:t>
            </w:r>
          </w:p>
        </w:tc>
      </w:tr>
      <w:tr>
        <w:trPr>
          <w:cantSplit/>
        </w:trPr>
        <w:tc>
          <w:tcPr>
            <w:tcW w:type="dxa" w:w="76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RL-09</w:t>
            </w:r>
          </w:p>
        </w:tc>
        <w:tc>
          <w:tcPr>
            <w:tcW w:type="dxa" w:w="390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Formalizar el tratamiento de datos con el proveedor del servidor, ubicado en Francia (transferencia internacional)</w:t>
            </w:r>
          </w:p>
        </w:tc>
        <w:tc>
          <w:tcPr>
            <w:tcW w:type="dxa" w:w="181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Ley 21.719</w:t>
            </w:r>
          </w:p>
        </w:tc>
        <w:tc>
          <w:tcPr>
            <w:tcW w:type="dxa" w:w="2926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❓</w:t>
            </w:r>
            <w:r>
              <w:rPr>
                <w:sz w:val="19"/>
              </w:rPr>
              <w:t xml:space="preserve"> BR-05; ver documento 18 (pendiente)</w:t>
            </w:r>
          </w:p>
        </w:tc>
      </w:tr>
    </w:tbl>
    <w:p>
      <w:pPr>
        <w:spacing w:after="40" w:line="192" w:lineRule="auto"/>
      </w:pPr>
    </w:p>
    <w:p>
      <w:r>
        <w:t xml:space="preserve">La Ley 21.663 obliga a los operadores de importancia vital a llevar un registro de las acciones de su sistema de gestión de seguridad, según el reglamento </w:t>
      </w:r>
      <w:r>
        <w:rPr>
          <w:rFonts w:ascii="Segoe UI Emoji" w:hAnsi="Segoe UI Emoji"/>
        </w:rPr>
        <w:t>🟡</w:t>
      </w:r>
      <w:r>
        <w:t>. El documento no afirma que la farmacia esté obligada por esa ley. El artículo 4 incluye la salud entre los servicios esenciales, pero no menciona a las farmacias.</w:t>
      </w:r>
    </w:p>
    <w:p>
      <w:pPr>
        <w:pStyle w:val="Heading1"/>
      </w:pPr>
      <w:bookmarkStart w:id="1013" w:name="_Toc0013"/>
      <w:r>
        <w:t>6. Restricciones de diseño</w:t>
      </w:r>
      <w:bookmarkEnd w:id="1013"/>
    </w:p>
    <w:p>
      <w:pPr>
        <w:pStyle w:val="Caption"/>
        <w:keepNext/>
        <w:spacing w:before="120" w:after="80"/>
      </w:pPr>
      <w:bookmarkStart w:id="5010" w:name="_Tab010"/>
      <w:r>
        <w:t xml:space="preserve">Tabla </w:t>
        <w:fldChar w:fldCharType="begin"/>
        <w:instrText xml:space="preserve"> SEQ Tabla \* ARABIC </w:instrText>
        <w:fldChar w:fldCharType="separate"/>
        <w:t>10</w:t>
        <w:fldChar w:fldCharType="end"/>
        <w:t xml:space="preserve">. Restricciones R1 a R4</w:t>
      </w:r>
      <w:bookmarkEnd w:id="5010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1285"/>
        <w:gridCol w:w="3789"/>
        <w:gridCol w:w="3112"/>
        <w:gridCol w:w="1218"/>
      </w:tblGrid>
      <w:tr>
        <w:trPr>
          <w:cantSplit/>
          <w:tblHeader/>
        </w:trPr>
        <w:tc>
          <w:tcPr>
            <w:tcW w:type="dxa" w:w="1286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Restricción</w:t>
            </w:r>
          </w:p>
        </w:tc>
        <w:tc>
          <w:tcPr>
            <w:tcW w:type="dxa" w:w="3789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Qué dice</w:t>
            </w:r>
          </w:p>
        </w:tc>
        <w:tc>
          <w:tcPr>
            <w:tcW w:type="dxa" w:w="3113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Cómo se verifica</w:t>
            </w:r>
          </w:p>
        </w:tc>
        <w:tc>
          <w:tcPr>
            <w:tcW w:type="dxa" w:w="121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128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R1</w:t>
            </w:r>
          </w:p>
        </w:tc>
        <w:tc>
          <w:tcPr>
            <w:tcW w:type="dxa" w:w="378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El código de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decision/</w:t>
            </w:r>
            <w:r>
              <w:rPr>
                <w:sz w:val="19"/>
              </w:rPr>
              <w:t xml:space="preserve"> no puede importar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ejecucion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persistencia</w:t>
            </w:r>
            <w:r>
              <w:rPr>
                <w:sz w:val="19"/>
              </w:rPr>
              <w:t xml:space="preserve"> ni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conectores</w:t>
            </w:r>
          </w:p>
        </w:tc>
        <w:tc>
          <w:tcPr>
            <w:tcW w:type="dxa" w:w="311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Check «R1» del CI con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tools/check_r1.py</w:t>
            </w:r>
            <w:r>
              <w:rPr>
                <w:sz w:val="19"/>
              </w:rPr>
              <w:t>, que analiza importaciones directas, relativas y dinámicas</w:t>
            </w:r>
          </w:p>
        </w:tc>
        <w:tc>
          <w:tcPr>
            <w:tcW w:type="dxa" w:w="1218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28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R2</w:t>
            </w:r>
          </w:p>
        </w:tc>
        <w:tc>
          <w:tcPr>
            <w:tcW w:type="dxa" w:w="378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El catálogo no se amplía en caliente y el modelo no aprende por su cuenta: ampliar el catálogo es publicar una versión nueva</w:t>
            </w:r>
          </w:p>
        </w:tc>
        <w:tc>
          <w:tcPr>
            <w:tcW w:type="dxa" w:w="311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Por diseño;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validacion/catalogo.py</w:t>
            </w:r>
            <w:r>
              <w:rPr>
                <w:sz w:val="19"/>
              </w:rPr>
              <w:t xml:space="preserve"> rechaza el archivo entero si rompe sus reglas</w:t>
            </w:r>
          </w:p>
        </w:tc>
        <w:tc>
          <w:tcPr>
            <w:tcW w:type="dxa" w:w="121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en el código</w:t>
            </w:r>
          </w:p>
        </w:tc>
      </w:tr>
      <w:tr>
        <w:trPr>
          <w:cantSplit/>
        </w:trPr>
        <w:tc>
          <w:tcPr>
            <w:tcW w:type="dxa" w:w="128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R3</w:t>
            </w:r>
          </w:p>
        </w:tc>
        <w:tc>
          <w:tcPr>
            <w:tcW w:type="dxa" w:w="378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La decisión se registra en la bitácora antes de ejecutar; el camino crítico es código determinista</w:t>
            </w:r>
          </w:p>
        </w:tc>
        <w:tc>
          <w:tcPr>
            <w:tcW w:type="dxa" w:w="311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Orden de operaciones en VALIDATE y EXECUTE</w:t>
            </w:r>
          </w:p>
        </w:tc>
        <w:tc>
          <w:tcPr>
            <w:tcW w:type="dxa" w:w="1218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servicio</w:t>
            </w:r>
          </w:p>
        </w:tc>
      </w:tr>
      <w:tr>
        <w:trPr>
          <w:cantSplit/>
        </w:trPr>
        <w:tc>
          <w:tcPr>
            <w:tcW w:type="dxa" w:w="128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R4</w:t>
            </w:r>
          </w:p>
        </w:tc>
        <w:tc>
          <w:tcPr>
            <w:tcW w:type="dxa" w:w="378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No aparece definida en las fuentes revisadas. </w:t>
            </w:r>
            <w:r>
              <w:rPr>
                <w:b/>
                <w:color w:val="7A4A00"/>
                <w:sz w:val="19"/>
                <w:highlight w:val="yellow"/>
              </w:rPr>
              <w:t>[POR CONFIRMAR: qué define la restricción R4 — preguntar al equipo]</w:t>
            </w:r>
          </w:p>
        </w:tc>
        <w:tc>
          <w:tcPr>
            <w:tcW w:type="dxa" w:w="311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—</w:t>
            </w:r>
          </w:p>
        </w:tc>
        <w:tc>
          <w:tcPr>
            <w:tcW w:type="dxa" w:w="121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❓</w:t>
            </w:r>
          </w:p>
        </w:tc>
      </w:tr>
    </w:tbl>
    <w:p>
      <w:pPr>
        <w:spacing w:after="40" w:line="192" w:lineRule="auto"/>
      </w:pPr>
    </w:p>
    <w:p>
      <w:pPr>
        <w:pStyle w:val="Heading1"/>
      </w:pPr>
      <w:bookmarkStart w:id="1014" w:name="_Toc0014"/>
      <w:r>
        <w:t>7. Casos de uso del sistema</w:t>
      </w:r>
      <w:bookmarkEnd w:id="1014"/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42254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asos_us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225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id="3001" w:name="_Fig001"/>
      <w:r>
        <w:t xml:space="preserve">Figura </w:t>
        <w:fldChar w:fldCharType="begin"/>
        <w:instrText xml:space="preserve"> SEQ Figura \* ARABIC </w:instrText>
        <w:fldChar w:fldCharType="separate"/>
        <w:t>1</w:t>
        <w:fldChar w:fldCharType="end"/>
        <w:t xml:space="preserve">. Casos de uso del sistema y sus actores</w:t>
      </w:r>
      <w:bookmarkEnd w:id="3001"/>
    </w:p>
    <w:p>
      <w:pPr>
        <w:pStyle w:val="Caption"/>
        <w:keepNext/>
        <w:spacing w:before="120" w:after="80"/>
      </w:pPr>
      <w:bookmarkStart w:id="5011" w:name="_Tab011"/>
      <w:r>
        <w:t xml:space="preserve">Tabla </w:t>
        <w:fldChar w:fldCharType="begin"/>
        <w:instrText xml:space="preserve"> SEQ Tabla \* ARABIC </w:instrText>
        <w:fldChar w:fldCharType="separate"/>
        <w:t>11</w:t>
        <w:fldChar w:fldCharType="end"/>
        <w:t xml:space="preserve">. Casos de uso del sistema</w:t>
      </w:r>
      <w:bookmarkEnd w:id="5011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806"/>
        <w:gridCol w:w="2687"/>
        <w:gridCol w:w="4568"/>
        <w:gridCol w:w="1343"/>
      </w:tblGrid>
      <w:tr>
        <w:trPr>
          <w:cantSplit/>
          <w:tblHeader/>
        </w:trPr>
        <w:tc>
          <w:tcPr>
            <w:tcW w:type="dxa" w:w="806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CU</w:t>
            </w:r>
          </w:p>
        </w:tc>
        <w:tc>
          <w:tcPr>
            <w:tcW w:type="dxa" w:w="2687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Nombre</w:t>
            </w:r>
          </w:p>
        </w:tc>
        <w:tc>
          <w:tcPr>
            <w:tcW w:type="dxa" w:w="456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Flujo principal</w:t>
            </w:r>
          </w:p>
        </w:tc>
        <w:tc>
          <w:tcPr>
            <w:tcW w:type="dxa" w:w="1344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RF</w:t>
            </w:r>
          </w:p>
        </w:tc>
      </w:tr>
      <w:tr>
        <w:trPr>
          <w:cantSplit/>
        </w:trPr>
        <w:tc>
          <w:tcPr>
            <w:tcW w:type="dxa" w:w="80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CU-01</w:t>
            </w:r>
          </w:p>
        </w:tc>
        <w:tc>
          <w:tcPr>
            <w:tcW w:type="dxa" w:w="268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Resolver una alerta en nivel 1 con reversión</w:t>
            </w:r>
          </w:p>
        </w:tc>
        <w:tc>
          <w:tcPr>
            <w:tcW w:type="dxa" w:w="45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Llega la alerta, se crea el ticket, se clasifica, pasan los seis chequeos, se registra la decisión, se ejecuta la medida y el temporizador la revierte al vencer</w:t>
            </w:r>
          </w:p>
        </w:tc>
        <w:tc>
          <w:tcPr>
            <w:tcW w:type="dxa" w:w="134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RF-05 a RF-12</w:t>
            </w:r>
          </w:p>
        </w:tc>
      </w:tr>
      <w:tr>
        <w:trPr>
          <w:cantSplit/>
        </w:trPr>
        <w:tc>
          <w:tcPr>
            <w:tcW w:type="dxa" w:w="80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CU-02</w:t>
            </w:r>
          </w:p>
        </w:tc>
        <w:tc>
          <w:tcPr>
            <w:tcW w:type="dxa" w:w="268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Aprobar o rechazar una medida de nivel 3</w:t>
            </w:r>
          </w:p>
        </w:tc>
        <w:tc>
          <w:tcPr>
            <w:tcW w:type="dxa" w:w="45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El sistema pide aprobación por Telegram y la consola; un integrante aprueba (se ejecuta) o rechaza con justificación (no se ejecuta). Queda registrado quién decidió</w:t>
            </w:r>
          </w:p>
        </w:tc>
        <w:tc>
          <w:tcPr>
            <w:tcW w:type="dxa" w:w="134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RF-14, RF-16, RF-18</w:t>
            </w:r>
          </w:p>
        </w:tc>
      </w:tr>
      <w:tr>
        <w:trPr>
          <w:cantSplit/>
        </w:trPr>
        <w:tc>
          <w:tcPr>
            <w:tcW w:type="dxa" w:w="80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CU-03</w:t>
            </w:r>
          </w:p>
        </w:tc>
        <w:tc>
          <w:tcPr>
            <w:tcW w:type="dxa" w:w="268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Vencer la aprobación de nivel 3</w:t>
            </w:r>
          </w:p>
        </w:tc>
        <w:tc>
          <w:tcPr>
            <w:tcW w:type="dxa" w:w="45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Pasan 2 días sin respuesta; la aprobación expira sin ejecutar, el ticket pasa a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MANUAL_TRIAGE</w:t>
            </w:r>
            <w:r>
              <w:rPr>
                <w:sz w:val="19"/>
              </w:rPr>
              <w:t xml:space="preserve"> y se envía un último aviso. </w:t>
            </w:r>
            <w:r>
              <w:rPr>
                <w:b/>
                <w:color w:val="8A2B0E"/>
                <w:sz w:val="19"/>
              </w:rPr>
              <w:t>«Propuesta»</w:t>
            </w:r>
            <w:r>
              <w:rPr>
                <w:sz w:val="19"/>
              </w:rPr>
              <w:t xml:space="preserve"> D-34</w:t>
            </w:r>
          </w:p>
        </w:tc>
        <w:tc>
          <w:tcPr>
            <w:tcW w:type="dxa" w:w="134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RF-15</w:t>
            </w:r>
          </w:p>
        </w:tc>
      </w:tr>
      <w:tr>
        <w:trPr>
          <w:cantSplit/>
        </w:trPr>
        <w:tc>
          <w:tcPr>
            <w:tcW w:type="dxa" w:w="80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CU-04</w:t>
            </w:r>
          </w:p>
        </w:tc>
        <w:tc>
          <w:tcPr>
            <w:tcW w:type="dxa" w:w="268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Revisar y revertir una acción de nivel 2</w:t>
            </w:r>
          </w:p>
        </w:tc>
        <w:tc>
          <w:tcPr>
            <w:tcW w:type="dxa" w:w="45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Se ejecuta la medida y se avisa al equipo; un integrante avisa por correo a la persona afectada; si en 2 días nadie la revisa, llega un recordatorio diario; un integrante la revierte desde la consola</w:t>
            </w:r>
          </w:p>
        </w:tc>
        <w:tc>
          <w:tcPr>
            <w:tcW w:type="dxa" w:w="134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RF-13, RF-16, RF-19, RL-07</w:t>
            </w:r>
          </w:p>
        </w:tc>
      </w:tr>
      <w:tr>
        <w:trPr>
          <w:cantSplit/>
        </w:trPr>
        <w:tc>
          <w:tcPr>
            <w:tcW w:type="dxa" w:w="80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CU-05</w:t>
            </w:r>
          </w:p>
        </w:tc>
        <w:tc>
          <w:tcPr>
            <w:tcW w:type="dxa" w:w="268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Rechazar por chequeo</w:t>
            </w:r>
          </w:p>
        </w:tc>
        <w:tc>
          <w:tcPr>
            <w:tcW w:type="dxa" w:w="45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Falla un chequeo o el modelo; no se ejecuta nada; el ticket queda en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MANUAL_TRIAGE</w:t>
            </w:r>
            <w:r>
              <w:rPr>
                <w:sz w:val="19"/>
              </w:rPr>
              <w:t xml:space="preserve"> con su motivo</w:t>
            </w:r>
          </w:p>
        </w:tc>
        <w:tc>
          <w:tcPr>
            <w:tcW w:type="dxa" w:w="134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RF-07, RF-08</w:t>
            </w:r>
          </w:p>
        </w:tc>
      </w:tr>
      <w:tr>
        <w:trPr>
          <w:cantSplit/>
        </w:trPr>
        <w:tc>
          <w:tcPr>
            <w:tcW w:type="dxa" w:w="80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CU-06</w:t>
            </w:r>
          </w:p>
        </w:tc>
        <w:tc>
          <w:tcPr>
            <w:tcW w:type="dxa" w:w="268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Operar el cortacircuito</w:t>
            </w:r>
          </w:p>
        </w:tc>
        <w:tc>
          <w:tcPr>
            <w:tcW w:type="dxa" w:w="45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Un contador llega a su tope o un integrante abre el cortacircuito; mientras está abierto no hay acciones automáticas; sólo un integrante lo cierra, con motivo</w:t>
            </w:r>
          </w:p>
        </w:tc>
        <w:tc>
          <w:tcPr>
            <w:tcW w:type="dxa" w:w="134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RF-21, RF-25</w:t>
            </w:r>
          </w:p>
        </w:tc>
      </w:tr>
      <w:tr>
        <w:trPr>
          <w:cantSplit/>
        </w:trPr>
        <w:tc>
          <w:tcPr>
            <w:tcW w:type="dxa" w:w="80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CU-07</w:t>
            </w:r>
          </w:p>
        </w:tc>
        <w:tc>
          <w:tcPr>
            <w:tcW w:type="dxa" w:w="268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Verificar la cadena de la bitácora</w:t>
            </w:r>
          </w:p>
        </w:tc>
        <w:tc>
          <w:tcPr>
            <w:tcW w:type="dxa" w:w="45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El usuario pide la verificación; el sistema recorre la cadena del inquilino y devuelve la primera discontinuidad o «íntegra»</w:t>
            </w:r>
          </w:p>
        </w:tc>
        <w:tc>
          <w:tcPr>
            <w:tcW w:type="dxa" w:w="134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RF-22, RF-24</w:t>
            </w:r>
          </w:p>
        </w:tc>
      </w:tr>
      <w:tr>
        <w:trPr>
          <w:cantSplit/>
        </w:trPr>
        <w:tc>
          <w:tcPr>
            <w:tcW w:type="dxa" w:w="80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CU-08</w:t>
            </w:r>
          </w:p>
        </w:tc>
        <w:tc>
          <w:tcPr>
            <w:tcW w:type="dxa" w:w="268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Dar de alta un inquilino</w:t>
            </w:r>
          </w:p>
        </w:tc>
        <w:tc>
          <w:tcPr>
            <w:tcW w:type="dxa" w:w="45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Un integrante crea el inquilino, su grupo en Wazuh y su token de enrolamiento; el encargado descarga el instalador</w:t>
            </w:r>
          </w:p>
        </w:tc>
        <w:tc>
          <w:tcPr>
            <w:tcW w:type="dxa" w:w="134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RF-23, RF-26</w:t>
            </w:r>
          </w:p>
        </w:tc>
      </w:tr>
    </w:tbl>
    <w:p>
      <w:pPr>
        <w:spacing w:after="40" w:line="192" w:lineRule="auto"/>
      </w:pP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9317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ratamiento_nive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31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id="3002" w:name="_Fig002"/>
      <w:r>
        <w:t xml:space="preserve">Figura </w:t>
        <w:fldChar w:fldCharType="begin"/>
        <w:instrText xml:space="preserve"> SEQ Figura \* ARABIC </w:instrText>
        <w:fldChar w:fldCharType="separate"/>
        <w:t>2</w:t>
        <w:fldChar w:fldCharType="end"/>
        <w:t xml:space="preserve">. Tratamiento de una decisión según su nivel de autonomía</w:t>
      </w:r>
      <w:bookmarkEnd w:id="3002"/>
    </w:p>
    <w:p>
      <w:pPr>
        <w:pStyle w:val="Heading2"/>
      </w:pPr>
      <w:bookmarkStart w:id="1015" w:name="_Toc0015"/>
      <w:r>
        <w:t>7.1 Escenarios por arquetipo de equipo</w:t>
      </w:r>
      <w:bookmarkEnd w:id="1015"/>
    </w:p>
    <w:p>
      <w:r>
        <w:t xml:space="preserve">Los escenarios CU-C01 a CU-C10 (puesto de trabajo) y CU-S01 a CU-S12 (servidor) describen qué se instala y qué se observa en cada tipo de equipo. Aquí se citan como escenarios de los dos arquetipos, sin datos de la farmacia. </w:t>
      </w:r>
      <w:r>
        <w:rPr>
          <w:b/>
          <w:color w:val="7A4A00"/>
          <w:highlight w:val="yellow"/>
        </w:rPr>
        <w:t>[POR CONFIRMAR: nombre de cada escenario CU-C01 a CU-C10 y CU-S01 a CU-S12 desde «Casos de uso y operaciones en los equipos de la farmacia» — preguntar a Nicolás]</w:t>
      </w:r>
    </w:p>
    <w:p>
      <w:r>
        <w:t>Las pruebas controladas por familia, como cinco intentos de inicio de sesión con un usuario inexistente para F1, se detallan en el documento 16 (Casos de prueba y plan de aceptación en el laboratorio, pendiente).</w:t>
      </w:r>
    </w:p>
    <w:p>
      <w:pPr>
        <w:pStyle w:val="Heading1"/>
      </w:pPr>
      <w:bookmarkStart w:id="1016" w:name="_Toc0016"/>
      <w:r>
        <w:t>8. Estados</w:t>
      </w:r>
      <w:bookmarkEnd w:id="1016"/>
    </w:p>
    <w:p>
      <w:pPr>
        <w:pStyle w:val="Heading2"/>
      </w:pPr>
      <w:bookmarkStart w:id="1017" w:name="_Toc0017"/>
      <w:r>
        <w:t>8.1 Estados del ticket</w:t>
      </w:r>
      <w:bookmarkEnd w:id="1017"/>
    </w:p>
    <w:p>
      <w:r>
        <w:t xml:space="preserve">El esquema de SOAR-AUDIT admite siete estados en </w:t>
      </w:r>
      <w:r>
        <w:rPr>
          <w:rFonts w:ascii="Consolas" w:hAnsi="Consolas"/>
          <w:sz w:val="19"/>
          <w:shd w:val="clear" w:color="auto" w:fill="F2F2F2"/>
        </w:rPr>
        <w:t>tickets.execution_status</w:t>
      </w:r>
      <w:r>
        <w:t xml:space="preserve">: </w:t>
      </w:r>
      <w:r>
        <w:rPr>
          <w:rFonts w:ascii="Consolas" w:hAnsi="Consolas"/>
          <w:sz w:val="19"/>
          <w:shd w:val="clear" w:color="auto" w:fill="F2F2F2"/>
        </w:rPr>
        <w:t>PENDING</w:t>
      </w:r>
      <w:r>
        <w:t xml:space="preserve">, </w:t>
      </w:r>
      <w:r>
        <w:rPr>
          <w:rFonts w:ascii="Consolas" w:hAnsi="Consolas"/>
          <w:sz w:val="19"/>
          <w:shd w:val="clear" w:color="auto" w:fill="F2F2F2"/>
        </w:rPr>
        <w:t>AWAITING_APPROVAL</w:t>
      </w:r>
      <w:r>
        <w:t xml:space="preserve">, </w:t>
      </w:r>
      <w:r>
        <w:rPr>
          <w:rFonts w:ascii="Consolas" w:hAnsi="Consolas"/>
          <w:sz w:val="19"/>
          <w:shd w:val="clear" w:color="auto" w:fill="F2F2F2"/>
        </w:rPr>
        <w:t>EXECUTING</w:t>
      </w:r>
      <w:r>
        <w:t xml:space="preserve">, </w:t>
      </w:r>
      <w:r>
        <w:rPr>
          <w:rFonts w:ascii="Consolas" w:hAnsi="Consolas"/>
          <w:sz w:val="19"/>
          <w:shd w:val="clear" w:color="auto" w:fill="F2F2F2"/>
        </w:rPr>
        <w:t>SUCCESS</w:t>
      </w:r>
      <w:r>
        <w:t xml:space="preserve">, </w:t>
      </w:r>
      <w:r>
        <w:rPr>
          <w:rFonts w:ascii="Consolas" w:hAnsi="Consolas"/>
          <w:sz w:val="19"/>
          <w:shd w:val="clear" w:color="auto" w:fill="F2F2F2"/>
        </w:rPr>
        <w:t>FAILED</w:t>
      </w:r>
      <w:r>
        <w:t xml:space="preserve">, </w:t>
      </w:r>
      <w:r>
        <w:rPr>
          <w:rFonts w:ascii="Consolas" w:hAnsi="Consolas"/>
          <w:sz w:val="19"/>
          <w:shd w:val="clear" w:color="auto" w:fill="F2F2F2"/>
        </w:rPr>
        <w:t>REJECTED</w:t>
      </w:r>
      <w:r>
        <w:t xml:space="preserve"> y </w:t>
      </w:r>
      <w:r>
        <w:rPr>
          <w:rFonts w:ascii="Consolas" w:hAnsi="Consolas"/>
          <w:sz w:val="19"/>
          <w:shd w:val="clear" w:color="auto" w:fill="F2F2F2"/>
        </w:rPr>
        <w:t>MANUAL_TRIAGE</w:t>
      </w:r>
      <w:r>
        <w:t xml:space="preserve"> </w:t>
      </w:r>
      <w:r>
        <w:rPr>
          <w:rFonts w:ascii="Segoe UI Emoji" w:hAnsi="Segoe UI Emoji"/>
        </w:rPr>
        <w:t>✅</w:t>
      </w:r>
      <w:r>
        <w:t xml:space="preserve">. AWAITING_APPROVAL es el estado nuevo del nivel 3 (D-38). El diagrama muestra las transiciones previstas.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3454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stados_ticke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4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id="3003" w:name="_Fig003"/>
      <w:r>
        <w:t xml:space="preserve">Figura </w:t>
        <w:fldChar w:fldCharType="begin"/>
        <w:instrText xml:space="preserve"> SEQ Figura \* ARABIC </w:instrText>
        <w:fldChar w:fldCharType="separate"/>
        <w:t>3</w:t>
        <w:fldChar w:fldCharType="end"/>
        <w:t xml:space="preserve">. Estados del ticket</w:t>
      </w:r>
      <w:bookmarkEnd w:id="3003"/>
    </w:p>
    <w:p>
      <w:pPr>
        <w:pStyle w:val="Nota"/>
      </w:pPr>
      <w:r>
        <w:rPr>
          <w:b/>
          <w:sz w:val="20"/>
        </w:rPr>
        <w:t>Cómo se resuelven los vacíos del modelo de estados (D-38).</w:t>
      </w:r>
      <w:r>
        <w:rPr>
          <w:sz w:val="20"/>
        </w:rPr>
        <w:t xml:space="preserve"> El nivel 3 que VALIDATE aprueba espera en </w:t>
      </w:r>
      <w:r>
        <w:rPr>
          <w:rFonts w:ascii="Consolas" w:hAnsi="Consolas"/>
          <w:sz w:val="17"/>
          <w:shd w:val="clear" w:color="auto" w:fill="F2F2F2"/>
        </w:rPr>
        <w:t>AWAITING_APPROVAL</w:t>
      </w:r>
      <w:r>
        <w:rPr>
          <w:sz w:val="20"/>
        </w:rPr>
        <w:t xml:space="preserve">, con un temporizador de 2 días (D-32); SOAR-EXECUTE sólo toma tickets </w:t>
      </w:r>
      <w:r>
        <w:rPr>
          <w:rFonts w:ascii="Consolas" w:hAnsi="Consolas"/>
          <w:sz w:val="17"/>
          <w:shd w:val="clear" w:color="auto" w:fill="F2F2F2"/>
        </w:rPr>
        <w:t>PENDING</w:t>
      </w:r>
      <w:r>
        <w:rPr>
          <w:sz w:val="20"/>
        </w:rPr>
        <w:t xml:space="preserve">, así que no ejecuta nada sin aprobación. Si un integrante aprueba (Telegram o consola), el ticket pasa a </w:t>
      </w:r>
      <w:r>
        <w:rPr>
          <w:rFonts w:ascii="Consolas" w:hAnsi="Consolas"/>
          <w:sz w:val="17"/>
          <w:shd w:val="clear" w:color="auto" w:fill="F2F2F2"/>
        </w:rPr>
        <w:t>PENDING</w:t>
      </w:r>
      <w:r>
        <w:rPr>
          <w:sz w:val="20"/>
        </w:rPr>
        <w:t xml:space="preserve">; si rechaza, con motivo obligatorio, pasa a </w:t>
      </w:r>
      <w:r>
        <w:rPr>
          <w:rFonts w:ascii="Consolas" w:hAnsi="Consolas"/>
          <w:sz w:val="17"/>
          <w:shd w:val="clear" w:color="auto" w:fill="F2F2F2"/>
        </w:rPr>
        <w:t>REJECTED</w:t>
      </w:r>
      <w:r>
        <w:rPr>
          <w:sz w:val="20"/>
        </w:rPr>
        <w:t xml:space="preserve">; si el plazo vence, pasa a </w:t>
      </w:r>
      <w:r>
        <w:rPr>
          <w:rFonts w:ascii="Consolas" w:hAnsi="Consolas"/>
          <w:sz w:val="17"/>
          <w:shd w:val="clear" w:color="auto" w:fill="F2F2F2"/>
        </w:rPr>
        <w:t>MANUAL_TRIAGE</w:t>
      </w:r>
      <w:r>
        <w:rPr>
          <w:sz w:val="20"/>
        </w:rPr>
        <w:t xml:space="preserve"> con el motivo </w:t>
      </w:r>
      <w:r>
        <w:rPr>
          <w:rFonts w:ascii="Consolas" w:hAnsi="Consolas"/>
          <w:sz w:val="17"/>
          <w:shd w:val="clear" w:color="auto" w:fill="F2F2F2"/>
        </w:rPr>
        <w:t>APROBACION_VENCIDA</w:t>
      </w:r>
      <w:r>
        <w:rPr>
          <w:sz w:val="20"/>
        </w:rPr>
        <w:t xml:space="preserve"> (D-34), sin ejecutar. Si la orden a Wazuh falla, el ticket queda en </w:t>
      </w:r>
      <w:r>
        <w:rPr>
          <w:rFonts w:ascii="Consolas" w:hAnsi="Consolas"/>
          <w:sz w:val="17"/>
          <w:shd w:val="clear" w:color="auto" w:fill="F2F2F2"/>
        </w:rPr>
        <w:t>FAILED</w:t>
      </w:r>
      <w:r>
        <w:rPr>
          <w:sz w:val="20"/>
        </w:rPr>
        <w:t xml:space="preserve">, se avisa al equipo y no se reintenta solo: una persona decide. La reversión no cambia el estado: el ticket sigue en </w:t>
      </w:r>
      <w:r>
        <w:rPr>
          <w:rFonts w:ascii="Consolas" w:hAnsi="Consolas"/>
          <w:sz w:val="17"/>
          <w:shd w:val="clear" w:color="auto" w:fill="F2F2F2"/>
        </w:rPr>
        <w:t>SUCCESS</w:t>
      </w:r>
      <w:r>
        <w:rPr>
          <w:sz w:val="20"/>
        </w:rPr>
        <w:t xml:space="preserve"> y la reversión queda como eventos </w:t>
      </w:r>
      <w:r>
        <w:rPr>
          <w:rFonts w:ascii="Consolas" w:hAnsi="Consolas"/>
          <w:sz w:val="17"/>
          <w:shd w:val="clear" w:color="auto" w:fill="F2F2F2"/>
        </w:rPr>
        <w:t>REVERSION_*</w:t>
      </w:r>
      <w:r>
        <w:rPr>
          <w:sz w:val="20"/>
        </w:rPr>
        <w:t xml:space="preserve"> en la bitácora y en la tabla de temporizadores. Si VALIDATE crea el ticket pero no registra la decisión (falla entre los dos pasos), a los 10 minutos SOAR-EXECUTE lo pasa a </w:t>
      </w:r>
      <w:r>
        <w:rPr>
          <w:rFonts w:ascii="Consolas" w:hAnsi="Consolas"/>
          <w:sz w:val="17"/>
          <w:shd w:val="clear" w:color="auto" w:fill="F2F2F2"/>
        </w:rPr>
        <w:t>MANUAL_TRIAGE</w:t>
      </w:r>
      <w:r>
        <w:rPr>
          <w:sz w:val="20"/>
        </w:rPr>
        <w:t xml:space="preserve"> con </w:t>
      </w:r>
      <w:r>
        <w:rPr>
          <w:rFonts w:ascii="Consolas" w:hAnsi="Consolas"/>
          <w:sz w:val="17"/>
          <w:shd w:val="clear" w:color="auto" w:fill="F2F2F2"/>
        </w:rPr>
        <w:t>DECISION_NO_REGISTRADA</w:t>
      </w:r>
      <w:r>
        <w:rPr>
          <w:sz w:val="20"/>
        </w:rPr>
        <w:t xml:space="preserve"> y se avisa; nunca se reclasifica, para no actuar tarde sobre una alerta vieja. </w:t>
      </w:r>
      <w:r>
        <w:rPr>
          <w:rFonts w:ascii="Segoe UI Emoji" w:hAnsi="Segoe UI Emoji"/>
        </w:rPr>
        <w:t>✅</w:t>
      </w:r>
    </w:p>
    <w:p>
      <w:pPr>
        <w:pStyle w:val="Caption"/>
        <w:keepNext/>
        <w:spacing w:before="120" w:after="80"/>
      </w:pPr>
      <w:bookmarkStart w:id="5012" w:name="_Tab012"/>
      <w:r>
        <w:t xml:space="preserve">Tabla </w:t>
        <w:fldChar w:fldCharType="begin"/>
        <w:instrText xml:space="preserve"> SEQ Tabla \* ARABIC </w:instrText>
        <w:fldChar w:fldCharType="separate"/>
        <w:t>12</w:t>
        <w:fldChar w:fldCharType="end"/>
        <w:t xml:space="preserve">. Motivos de rechazo existentes en el esquema</w:t>
      </w:r>
      <w:bookmarkEnd w:id="5012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3888"/>
        <w:gridCol w:w="1630"/>
        <w:gridCol w:w="3888"/>
      </w:tblGrid>
      <w:tr>
        <w:trPr>
          <w:cantSplit/>
          <w:tblHeader/>
        </w:trPr>
        <w:tc>
          <w:tcPr>
            <w:tcW w:type="dxa" w:w="388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Motivo (</w:t>
            </w:r>
            <w:r>
              <w:rPr>
                <w:rFonts w:ascii="Consolas" w:hAnsi="Consolas"/>
                <w:b/>
                <w:sz w:val="16"/>
                <w:shd w:val="clear" w:color="auto" w:fill="F2F2F2"/>
              </w:rPr>
              <w:t>rechazo_motivo</w:t>
            </w:r>
            <w:r>
              <w:rPr>
                <w:b/>
                <w:color w:val="FFFFFF"/>
                <w:sz w:val="19"/>
              </w:rPr>
              <w:t>)</w:t>
            </w:r>
          </w:p>
        </w:tc>
        <w:tc>
          <w:tcPr>
            <w:tcW w:type="dxa" w:w="1630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Origen</w:t>
            </w:r>
          </w:p>
        </w:tc>
        <w:tc>
          <w:tcPr>
            <w:tcW w:type="dxa" w:w="388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Chequeo o causa</w:t>
            </w:r>
          </w:p>
        </w:tc>
      </w:tr>
      <w:tr>
        <w:trPr>
          <w:cantSplit/>
        </w:trPr>
        <w:tc>
          <w:tcPr>
            <w:tcW w:type="dxa" w:w="3888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ESQUEMA_INVALIDO</w:t>
            </w:r>
          </w:p>
        </w:tc>
        <w:tc>
          <w:tcPr>
            <w:tcW w:type="dxa" w:w="163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Contrato JSON</w:t>
            </w:r>
          </w:p>
        </w:tc>
        <w:tc>
          <w:tcPr>
            <w:tcW w:type="dxa" w:w="388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1. La respuesta no cumple el esquema</w:t>
            </w:r>
          </w:p>
        </w:tc>
      </w:tr>
      <w:tr>
        <w:trPr>
          <w:cantSplit/>
        </w:trPr>
        <w:tc>
          <w:tcPr>
            <w:tcW w:type="dxa" w:w="388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CONFIANZA_BAJA</w:t>
            </w:r>
          </w:p>
        </w:tc>
        <w:tc>
          <w:tcPr>
            <w:tcW w:type="dxa" w:w="163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Chequeos</w:t>
            </w:r>
          </w:p>
        </w:tc>
        <w:tc>
          <w:tcPr>
            <w:tcW w:type="dxa" w:w="388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2. Confianza menor que 0,70</w:t>
            </w:r>
          </w:p>
        </w:tc>
      </w:tr>
      <w:tr>
        <w:trPr>
          <w:cantSplit/>
        </w:trPr>
        <w:tc>
          <w:tcPr>
            <w:tcW w:type="dxa" w:w="3888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PLAYBOOK_FUERA_DE_CATALOGO</w:t>
            </w:r>
          </w:p>
        </w:tc>
        <w:tc>
          <w:tcPr>
            <w:tcW w:type="dxa" w:w="163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Chequeos</w:t>
            </w:r>
          </w:p>
        </w:tc>
        <w:tc>
          <w:tcPr>
            <w:tcW w:type="dxa" w:w="388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3. El playbook no está en el catálogo o no es de la familia clasificada</w:t>
            </w:r>
          </w:p>
        </w:tc>
      </w:tr>
      <w:tr>
        <w:trPr>
          <w:cantSplit/>
        </w:trPr>
        <w:tc>
          <w:tcPr>
            <w:tcW w:type="dxa" w:w="388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ACTIVO_EXCLUIDO</w:t>
            </w:r>
          </w:p>
        </w:tc>
        <w:tc>
          <w:tcPr>
            <w:tcW w:type="dxa" w:w="163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Chequeos</w:t>
            </w:r>
          </w:p>
        </w:tc>
        <w:tc>
          <w:tcPr>
            <w:tcW w:type="dxa" w:w="388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4. El objetivo está en la lista de exclusión</w:t>
            </w:r>
          </w:p>
        </w:tc>
      </w:tr>
      <w:tr>
        <w:trPr>
          <w:cantSplit/>
        </w:trPr>
        <w:tc>
          <w:tcPr>
            <w:tcW w:type="dxa" w:w="3888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CORTACIRCUITO_ABIERTO</w:t>
            </w:r>
          </w:p>
        </w:tc>
        <w:tc>
          <w:tcPr>
            <w:tcW w:type="dxa" w:w="163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Chequeos</w:t>
            </w:r>
          </w:p>
        </w:tc>
        <w:tc>
          <w:tcPr>
            <w:tcW w:type="dxa" w:w="388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5. El cortacircuito del ámbito está abierto</w:t>
            </w:r>
          </w:p>
        </w:tc>
      </w:tr>
      <w:tr>
        <w:trPr>
          <w:cantSplit/>
        </w:trPr>
        <w:tc>
          <w:tcPr>
            <w:tcW w:type="dxa" w:w="388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LIMITE_DE_TASA</w:t>
            </w:r>
          </w:p>
        </w:tc>
        <w:tc>
          <w:tcPr>
            <w:tcW w:type="dxa" w:w="163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Chequeos</w:t>
            </w:r>
          </w:p>
        </w:tc>
        <w:tc>
          <w:tcPr>
            <w:tcW w:type="dxa" w:w="388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5. Un contador de tasa llegó a su tope</w:t>
            </w:r>
          </w:p>
        </w:tc>
      </w:tr>
      <w:tr>
        <w:trPr>
          <w:cantSplit/>
        </w:trPr>
        <w:tc>
          <w:tcPr>
            <w:tcW w:type="dxa" w:w="3888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NIVEL_NO_PERMITIDO_POR_SEVERIDAD</w:t>
            </w:r>
          </w:p>
        </w:tc>
        <w:tc>
          <w:tcPr>
            <w:tcW w:type="dxa" w:w="163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Chequeos</w:t>
            </w:r>
          </w:p>
        </w:tc>
        <w:tc>
          <w:tcPr>
            <w:tcW w:type="dxa" w:w="388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6. El nivel del playbook supera el permitido por la severidad</w:t>
            </w:r>
          </w:p>
        </w:tc>
      </w:tr>
      <w:tr>
        <w:trPr>
          <w:cantSplit/>
        </w:trPr>
        <w:tc>
          <w:tcPr>
            <w:tcW w:type="dxa" w:w="388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MOTOR_INFERENCIA_NO_DISPONIBLE</w:t>
            </w:r>
          </w:p>
        </w:tc>
        <w:tc>
          <w:tcPr>
            <w:tcW w:type="dxa" w:w="163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Falla segura</w:t>
            </w:r>
          </w:p>
        </w:tc>
        <w:tc>
          <w:tcPr>
            <w:tcW w:type="dxa" w:w="388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El servidor del modelo no responde o devuelve error</w:t>
            </w:r>
          </w:p>
        </w:tc>
      </w:tr>
      <w:tr>
        <w:trPr>
          <w:cantSplit/>
        </w:trPr>
        <w:tc>
          <w:tcPr>
            <w:tcW w:type="dxa" w:w="3888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TIEMPO_EXCEDIDO</w:t>
            </w:r>
          </w:p>
        </w:tc>
        <w:tc>
          <w:tcPr>
            <w:tcW w:type="dxa" w:w="163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Falla segura</w:t>
            </w:r>
          </w:p>
        </w:tc>
        <w:tc>
          <w:tcPr>
            <w:tcW w:type="dxa" w:w="388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Los dos pasos superan el plazo total</w:t>
            </w:r>
          </w:p>
        </w:tc>
      </w:tr>
      <w:tr>
        <w:trPr>
          <w:cantSplit/>
        </w:trPr>
        <w:tc>
          <w:tcPr>
            <w:tcW w:type="dxa" w:w="3888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FAMILIA_NO_COINCIDE</w:t>
            </w:r>
          </w:p>
        </w:tc>
        <w:tc>
          <w:tcPr>
            <w:tcW w:type="dxa" w:w="163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Chequeos</w:t>
            </w:r>
          </w:p>
        </w:tc>
        <w:tc>
          <w:tcPr>
            <w:tcW w:type="dxa" w:w="388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2. La familia del modelo no coincide con la de la regla de sobre</w:t>
            </w:r>
          </w:p>
        </w:tc>
      </w:tr>
      <w:tr>
        <w:trPr>
          <w:cantSplit/>
        </w:trPr>
        <w:tc>
          <w:tcPr>
            <w:tcW w:type="dxa" w:w="3888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APROBACION_VENCIDA</w:t>
            </w:r>
          </w:p>
        </w:tc>
        <w:tc>
          <w:tcPr>
            <w:tcW w:type="dxa" w:w="163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Aprobación</w:t>
            </w:r>
          </w:p>
        </w:tc>
        <w:tc>
          <w:tcPr>
            <w:tcW w:type="dxa" w:w="388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El nivel 3 no tuvo respuesta en 2 días (D-34); no se ejecuta</w:t>
            </w:r>
          </w:p>
        </w:tc>
      </w:tr>
      <w:tr>
        <w:trPr>
          <w:cantSplit/>
        </w:trPr>
        <w:tc>
          <w:tcPr>
            <w:tcW w:type="dxa" w:w="3888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DECISION_NO_REGISTRADA</w:t>
            </w:r>
          </w:p>
        </w:tc>
        <w:tc>
          <w:tcPr>
            <w:tcW w:type="dxa" w:w="163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Recuperador (EXECUTE)</w:t>
            </w:r>
          </w:p>
        </w:tc>
        <w:tc>
          <w:tcPr>
            <w:tcW w:type="dxa" w:w="388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VALIDATE no registró la decisión 10 minutos después de crear el ticket; pasa a revisión manual con aviso</w:t>
            </w:r>
          </w:p>
        </w:tc>
      </w:tr>
    </w:tbl>
    <w:p>
      <w:pPr>
        <w:spacing w:after="40" w:line="192" w:lineRule="auto"/>
      </w:pPr>
    </w:p>
    <w:p>
      <w:r>
        <w:t xml:space="preserve">El esquema suma tres motivos a los nueve originales: </w:t>
      </w:r>
      <w:r>
        <w:rPr>
          <w:rFonts w:ascii="Consolas" w:hAnsi="Consolas"/>
          <w:sz w:val="19"/>
          <w:shd w:val="clear" w:color="auto" w:fill="F2F2F2"/>
        </w:rPr>
        <w:t>FAMILIA_NO_COINCIDE</w:t>
      </w:r>
      <w:r>
        <w:t xml:space="preserve"> (la familia del modelo debe coincidir con la de la regla de sobre), </w:t>
      </w:r>
      <w:r>
        <w:rPr>
          <w:rFonts w:ascii="Consolas" w:hAnsi="Consolas"/>
          <w:sz w:val="19"/>
          <w:shd w:val="clear" w:color="auto" w:fill="F2F2F2"/>
        </w:rPr>
        <w:t>APROBACION_VENCIDA</w:t>
      </w:r>
      <w:r>
        <w:t xml:space="preserve"> (nivel 3 sin respuesta en 2 días, D-34) y </w:t>
      </w:r>
      <w:r>
        <w:rPr>
          <w:rFonts w:ascii="Consolas" w:hAnsi="Consolas"/>
          <w:sz w:val="19"/>
          <w:shd w:val="clear" w:color="auto" w:fill="F2F2F2"/>
        </w:rPr>
        <w:t>DECISION_NO_REGISTRADA</w:t>
      </w:r>
      <w:r>
        <w:t xml:space="preserve"> (ticket huérfano: VALIDATE no registró la decisión 10 minutos después de crear el ticket). Los dos primeros están en el esquema desde la migración del 15-10-2026, y el tercero desde la del 21-10-2026. </w:t>
      </w:r>
      <w:r>
        <w:rPr>
          <w:rFonts w:ascii="Segoe UI Emoji" w:hAnsi="Segoe UI Emoji"/>
        </w:rPr>
        <w:t>✅</w:t>
      </w:r>
    </w:p>
    <w:p>
      <w:pPr>
        <w:pStyle w:val="Heading2"/>
      </w:pPr>
      <w:bookmarkStart w:id="1018" w:name="_Toc0018"/>
      <w:r>
        <w:t>8.2 Estados del cortacircuito</w:t>
      </w:r>
      <w:bookmarkEnd w:id="1018"/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3960000" cy="38158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stados_cortacircui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815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id="3004" w:name="_Fig004"/>
      <w:r>
        <w:t xml:space="preserve">Figura </w:t>
        <w:fldChar w:fldCharType="begin"/>
        <w:instrText xml:space="preserve"> SEQ Figura \* ARABIC </w:instrText>
        <w:fldChar w:fldCharType="separate"/>
        <w:t>4</w:t>
        <w:fldChar w:fldCharType="end"/>
        <w:t xml:space="preserve">. Estados del cortacircuito por ámbito</w:t>
      </w:r>
      <w:bookmarkEnd w:id="3004"/>
    </w:p>
    <w:p>
      <w:r>
        <w:t xml:space="preserve">El estado vigente de un ámbito es su fila más reciente en la tabla </w:t>
      </w:r>
      <w:r>
        <w:rPr>
          <w:rFonts w:ascii="Consolas" w:hAnsi="Consolas"/>
          <w:sz w:val="19"/>
          <w:shd w:val="clear" w:color="auto" w:fill="F2F2F2"/>
        </w:rPr>
        <w:t>cortacircuito</w:t>
      </w:r>
      <w:r>
        <w:t xml:space="preserve">, que sólo admite inserciones </w:t>
      </w:r>
      <w:r>
        <w:rPr>
          <w:rFonts w:ascii="Segoe UI Emoji" w:hAnsi="Segoe UI Emoji"/>
        </w:rPr>
        <w:t>✅</w:t>
      </w:r>
      <w:r>
        <w:t xml:space="preserve">. </w:t>
      </w:r>
      <w:r>
        <w:t xml:space="preserve">Hoy existe un solo ámbito, el del inquilino: el cortacircuito detiene toda acción automática de una farmacia. Se abre solo, cuando llegan 30 alertas en 10 minutos (incluidas las agrupadas), y sólo una persona lo cierra, desde la consola. La tabla admite otros ámbitos (por equipo o global), pero no se usan. </w:t>
      </w:r>
      <w:r>
        <w:rPr>
          <w:rFonts w:ascii="Segoe UI Emoji" w:hAnsi="Segoe UI Emoji"/>
        </w:rPr>
        <w:t>✅</w:t>
      </w:r>
    </w:p>
    <w:p>
      <w:pPr>
        <w:pStyle w:val="Heading1"/>
      </w:pPr>
      <w:bookmarkStart w:id="1019" w:name="_Toc0019"/>
      <w:r>
        <w:t>9. Priorización</w:t>
      </w:r>
      <w:bookmarkEnd w:id="1019"/>
    </w:p>
    <w:p>
      <w:pPr>
        <w:pStyle w:val="Caption"/>
        <w:keepNext/>
        <w:spacing w:before="120" w:after="80"/>
      </w:pPr>
      <w:bookmarkStart w:id="5013" w:name="_Tab013"/>
      <w:r>
        <w:t xml:space="preserve">Tabla </w:t>
        <w:fldChar w:fldCharType="begin"/>
        <w:instrText xml:space="preserve"> SEQ Tabla \* ARABIC </w:instrText>
        <w:fldChar w:fldCharType="separate"/>
        <w:t>13</w:t>
        <w:fldChar w:fldCharType="end"/>
        <w:t xml:space="preserve">. Resumen de la priorización MoSCoW</w:t>
      </w:r>
      <w:bookmarkEnd w:id="5013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1567"/>
        <w:gridCol w:w="6271"/>
        <w:gridCol w:w="1567"/>
      </w:tblGrid>
      <w:tr>
        <w:trPr>
          <w:cantSplit/>
          <w:tblHeader/>
        </w:trPr>
        <w:tc>
          <w:tcPr>
            <w:tcW w:type="dxa" w:w="156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Prioridad</w:t>
            </w:r>
          </w:p>
        </w:tc>
        <w:tc>
          <w:tcPr>
            <w:tcW w:type="dxa" w:w="6270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Requerimientos</w:t>
            </w:r>
          </w:p>
        </w:tc>
        <w:tc>
          <w:tcPr>
            <w:tcW w:type="dxa" w:w="156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Cantidad</w:t>
            </w:r>
          </w:p>
        </w:tc>
      </w:tr>
      <w:tr>
        <w:trPr>
          <w:cantSplit/>
        </w:trPr>
        <w:tc>
          <w:tcPr>
            <w:tcW w:type="dxa" w:w="15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M (debe)</w:t>
            </w:r>
          </w:p>
        </w:tc>
        <w:tc>
          <w:tcPr>
            <w:tcW w:type="dxa" w:w="627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RF-01, RF-03, RF-05 a RF-14, RF-16 a RF-19, RF-21, RF-24, RF-25; RNF-01 a RNF-11; RL-01 a RL-09</w:t>
            </w:r>
          </w:p>
        </w:tc>
        <w:tc>
          <w:tcPr>
            <w:tcW w:type="dxa" w:w="15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39</w:t>
            </w:r>
          </w:p>
        </w:tc>
      </w:tr>
      <w:tr>
        <w:trPr>
          <w:cantSplit/>
        </w:trPr>
        <w:tc>
          <w:tcPr>
            <w:tcW w:type="dxa" w:w="15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 (debería)</w:t>
            </w:r>
          </w:p>
        </w:tc>
        <w:tc>
          <w:tcPr>
            <w:tcW w:type="dxa" w:w="627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RF-02, RF-04, RF-15, RF-20, RF-22, RF-26; RNF-12</w:t>
            </w:r>
          </w:p>
        </w:tc>
        <w:tc>
          <w:tcPr>
            <w:tcW w:type="dxa" w:w="15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7</w:t>
            </w:r>
          </w:p>
        </w:tc>
      </w:tr>
      <w:tr>
        <w:trPr>
          <w:cantSplit/>
        </w:trPr>
        <w:tc>
          <w:tcPr>
            <w:tcW w:type="dxa" w:w="15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 (podría)</w:t>
            </w:r>
          </w:p>
        </w:tc>
        <w:tc>
          <w:tcPr>
            <w:tcW w:type="dxa" w:w="627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RF-23</w:t>
            </w:r>
          </w:p>
        </w:tc>
        <w:tc>
          <w:tcPr>
            <w:tcW w:type="dxa" w:w="15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5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W (no en este proyecto)</w:t>
            </w:r>
          </w:p>
        </w:tc>
        <w:tc>
          <w:tcPr>
            <w:tcW w:type="dxa" w:w="627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Aprendizaje del modelo en línea; contención sin agente; lectura de contenidos o datos de pacientes; más de dos arquetipos de equipo</w:t>
            </w:r>
          </w:p>
        </w:tc>
        <w:tc>
          <w:tcPr>
            <w:tcW w:type="dxa" w:w="15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—</w:t>
            </w:r>
          </w:p>
        </w:tc>
      </w:tr>
    </w:tbl>
    <w:p>
      <w:pPr>
        <w:spacing w:after="40" w:line="192" w:lineRule="auto"/>
      </w:pPr>
    </w:p>
    <w:p>
      <w:r>
        <w:t>Los requerimientos legales RL-01 a RL-09 se tratan como M porque condicionan la instalación en un cliente real.</w:t>
      </w:r>
    </w:p>
    <w:p>
      <w:pPr>
        <w:pStyle w:val="Heading2"/>
      </w:pPr>
      <w:bookmarkStart w:id="1020" w:name="_Toc0020"/>
      <w:r>
        <w:t>9.1 Criterios de aceptación del servicio</w:t>
      </w:r>
      <w:bookmarkEnd w:id="1020"/>
    </w:p>
    <w:p>
      <w:r>
        <w:t xml:space="preserve">El «Replanteamiento como SaaS» incluye una lista de verificación de 15 criterios, cada uno asociado a un sprint. Esos criterios funcionan como criterios de aceptación del servicio. </w:t>
      </w:r>
      <w:r>
        <w:rPr>
          <w:b/>
          <w:color w:val="7A4A00"/>
          <w:highlight w:val="yellow"/>
        </w:rPr>
        <w:t>[POR CONFIRMAR: texto de los 15 criterios de la lista de verificación SaaS y su sprint — preguntar al equipo]</w:t>
      </w:r>
    </w:p>
    <w:p>
      <w:pPr>
        <w:pStyle w:val="Heading1"/>
      </w:pPr>
      <w:bookmarkStart w:id="1021" w:name="_Toc0021"/>
      <w:r>
        <w:t>10. Trazabilidad</w:t>
      </w:r>
      <w:bookmarkEnd w:id="1021"/>
    </w:p>
    <w:p>
      <w:pPr>
        <w:pStyle w:val="Caption"/>
        <w:keepNext/>
        <w:spacing w:before="120" w:after="80"/>
      </w:pPr>
      <w:bookmarkStart w:id="5014" w:name="_Tab014"/>
      <w:r>
        <w:t xml:space="preserve">Tabla </w:t>
        <w:fldChar w:fldCharType="begin"/>
        <w:instrText xml:space="preserve"> SEQ Tabla \* ARABIC </w:instrText>
        <w:fldChar w:fldCharType="separate"/>
        <w:t>14</w:t>
        <w:fldChar w:fldCharType="end"/>
        <w:t xml:space="preserve">. Trazabilidad de requerimientos a componentes y pruebas</w:t>
      </w:r>
      <w:bookmarkEnd w:id="5014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1067"/>
        <w:gridCol w:w="2001"/>
        <w:gridCol w:w="3335"/>
        <w:gridCol w:w="3002"/>
      </w:tblGrid>
      <w:tr>
        <w:trPr>
          <w:cantSplit/>
          <w:tblHeader/>
        </w:trPr>
        <w:tc>
          <w:tcPr>
            <w:tcW w:type="dxa" w:w="1067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Requerimiento</w:t>
            </w:r>
          </w:p>
        </w:tc>
        <w:tc>
          <w:tcPr>
            <w:tcW w:type="dxa" w:w="200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3335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Prueba o evidencia</w:t>
            </w:r>
          </w:p>
        </w:tc>
        <w:tc>
          <w:tcPr>
            <w:tcW w:type="dxa" w:w="3002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Estado de la prueba</w:t>
            </w:r>
          </w:p>
        </w:tc>
      </w:tr>
      <w:tr>
        <w:trPr>
          <w:cantSplit/>
        </w:trPr>
        <w:tc>
          <w:tcPr>
            <w:tcW w:type="dxa" w:w="106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RF-06, RNF-02</w:t>
            </w:r>
          </w:p>
        </w:tc>
        <w:tc>
          <w:tcPr>
            <w:tcW w:type="dxa" w:w="200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SOAR-CLASSIFY, SOAR-VALIDATE</w:t>
            </w:r>
          </w:p>
        </w:tc>
        <w:tc>
          <w:tcPr>
            <w:tcW w:type="dxa" w:w="3335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tests/unit/test_inferencia.py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test_ollama.py</w:t>
            </w:r>
            <w:r>
              <w:rPr>
                <w:sz w:val="19"/>
              </w:rPr>
              <w:t>; medición del 06-10</w:t>
            </w:r>
          </w:p>
        </w:tc>
        <w:tc>
          <w:tcPr>
            <w:tcW w:type="dxa" w:w="3002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; en Windows falla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test_servidor_apagado</w:t>
            </w:r>
            <w:r>
              <w:rPr>
                <w:sz w:val="19"/>
              </w:rPr>
              <w:t xml:space="preserve"> (documento 15)</w:t>
            </w:r>
          </w:p>
        </w:tc>
      </w:tr>
      <w:tr>
        <w:trPr>
          <w:cantSplit/>
        </w:trPr>
        <w:tc>
          <w:tcPr>
            <w:tcW w:type="dxa" w:w="106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RF-07, RF-08</w:t>
            </w:r>
          </w:p>
        </w:tc>
        <w:tc>
          <w:tcPr>
            <w:tcW w:type="dxa" w:w="200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SOAR-VALIDATE</w:t>
            </w:r>
          </w:p>
        </w:tc>
        <w:tc>
          <w:tcPr>
            <w:tcW w:type="dxa" w:w="333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tests/unit/test_contrato.py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test_chequeos.py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test_catalogo.py</w:t>
            </w:r>
          </w:p>
        </w:tc>
        <w:tc>
          <w:tcPr>
            <w:tcW w:type="dxa" w:w="300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06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RNF-10</w:t>
            </w:r>
          </w:p>
        </w:tc>
        <w:tc>
          <w:tcPr>
            <w:tcW w:type="dxa" w:w="200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SOAR-VALIDATE, prompts</w:t>
            </w:r>
          </w:p>
        </w:tc>
        <w:tc>
          <w:tcPr>
            <w:tcW w:type="dxa" w:w="3335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tests/unit/test_inyeccion.py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casos_inyeccion.json</w:t>
            </w:r>
            <w:r>
              <w:rPr>
                <w:sz w:val="19"/>
              </w:rPr>
              <w:t xml:space="preserve"> (10 casos)</w:t>
            </w:r>
          </w:p>
        </w:tc>
        <w:tc>
          <w:tcPr>
            <w:tcW w:type="dxa" w:w="3002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salidas mal formadas, comandos y desvío contra un activo excluido (INY-03, 04, 07 y 09); </w:t>
            </w: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desvío de familia con JSON válido, que sólo se mide contra el modelo</w:t>
            </w:r>
          </w:p>
        </w:tc>
      </w:tr>
      <w:tr>
        <w:trPr>
          <w:cantSplit/>
        </w:trPr>
        <w:tc>
          <w:tcPr>
            <w:tcW w:type="dxa" w:w="106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RF-24, RNF-04</w:t>
            </w:r>
          </w:p>
        </w:tc>
        <w:tc>
          <w:tcPr>
            <w:tcW w:type="dxa" w:w="200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SOAR-AUDIT</w:t>
            </w:r>
          </w:p>
        </w:tc>
        <w:tc>
          <w:tcPr>
            <w:tcW w:type="dxa" w:w="333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Pruebas «b», «c» y «d» de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tests/sql</w:t>
            </w:r>
          </w:p>
        </w:tc>
        <w:tc>
          <w:tcPr>
            <w:tcW w:type="dxa" w:w="300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PC y servidor</w:t>
            </w:r>
          </w:p>
        </w:tc>
      </w:tr>
      <w:tr>
        <w:trPr>
          <w:cantSplit/>
        </w:trPr>
        <w:tc>
          <w:tcPr>
            <w:tcW w:type="dxa" w:w="106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RNF-03</w:t>
            </w:r>
          </w:p>
        </w:tc>
        <w:tc>
          <w:tcPr>
            <w:tcW w:type="dxa" w:w="200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SOAR-AUDIT</w:t>
            </w:r>
          </w:p>
        </w:tc>
        <w:tc>
          <w:tcPr>
            <w:tcW w:type="dxa" w:w="333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Prueba «a» de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tests/sql</w:t>
            </w:r>
          </w:p>
        </w:tc>
        <w:tc>
          <w:tcPr>
            <w:tcW w:type="dxa" w:w="3002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PC y servidor</w:t>
            </w:r>
          </w:p>
        </w:tc>
      </w:tr>
      <w:tr>
        <w:trPr>
          <w:cantSplit/>
        </w:trPr>
        <w:tc>
          <w:tcPr>
            <w:tcW w:type="dxa" w:w="106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RNF-05</w:t>
            </w:r>
          </w:p>
        </w:tc>
        <w:tc>
          <w:tcPr>
            <w:tcW w:type="dxa" w:w="200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Repositorio</w:t>
            </w:r>
          </w:p>
        </w:tc>
        <w:tc>
          <w:tcPr>
            <w:tcW w:type="dxa" w:w="333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Check R1 del CI</w:t>
            </w:r>
          </w:p>
        </w:tc>
        <w:tc>
          <w:tcPr>
            <w:tcW w:type="dxa" w:w="300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06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RNF-08</w:t>
            </w:r>
          </w:p>
        </w:tc>
        <w:tc>
          <w:tcPr>
            <w:tcW w:type="dxa" w:w="200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Repositorio</w:t>
            </w:r>
          </w:p>
        </w:tc>
        <w:tc>
          <w:tcPr>
            <w:tcW w:type="dxa" w:w="333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gitleaks del CI y pre-commit</w:t>
            </w:r>
          </w:p>
        </w:tc>
        <w:tc>
          <w:tcPr>
            <w:tcW w:type="dxa" w:w="3002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06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RNF-01</w:t>
            </w:r>
          </w:p>
        </w:tc>
        <w:tc>
          <w:tcPr>
            <w:tcW w:type="dxa" w:w="200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SOAR-CLASSIFY</w:t>
            </w:r>
          </w:p>
        </w:tc>
        <w:tc>
          <w:tcPr>
            <w:tcW w:type="dxa" w:w="333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Medición de latencia con 3B y 7B</w:t>
            </w:r>
          </w:p>
        </w:tc>
        <w:tc>
          <w:tcPr>
            <w:tcW w:type="dxa" w:w="300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🟡</w:t>
            </w:r>
            <w:r>
              <w:rPr>
                <w:sz w:val="19"/>
              </w:rPr>
              <w:t xml:space="preserve"> medido sin Wazuh ni PostgreSQL corriendo</w:t>
            </w:r>
          </w:p>
        </w:tc>
      </w:tr>
      <w:tr>
        <w:trPr>
          <w:cantSplit/>
        </w:trPr>
        <w:tc>
          <w:tcPr>
            <w:tcW w:type="dxa" w:w="106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RNF-06</w:t>
            </w:r>
          </w:p>
        </w:tc>
        <w:tc>
          <w:tcPr>
            <w:tcW w:type="dxa" w:w="200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SOAR-CORE-01</w:t>
            </w:r>
          </w:p>
        </w:tc>
        <w:tc>
          <w:tcPr>
            <w:tcW w:type="dxa" w:w="333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Prueba de reinicio</w:t>
            </w:r>
          </w:p>
        </w:tc>
        <w:tc>
          <w:tcPr>
            <w:tcW w:type="dxa" w:w="3002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  <w:tr>
        <w:trPr>
          <w:cantSplit/>
        </w:trPr>
        <w:tc>
          <w:tcPr>
            <w:tcW w:type="dxa" w:w="106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RNF-11</w:t>
            </w:r>
          </w:p>
        </w:tc>
        <w:tc>
          <w:tcPr>
            <w:tcW w:type="dxa" w:w="200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SOAR-AUDIT</w:t>
            </w:r>
          </w:p>
        </w:tc>
        <w:tc>
          <w:tcPr>
            <w:tcW w:type="dxa" w:w="333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Restauración probada</w:t>
            </w:r>
          </w:p>
        </w:tc>
        <w:tc>
          <w:tcPr>
            <w:tcW w:type="dxa" w:w="300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  <w:tr>
        <w:trPr>
          <w:cantSplit/>
        </w:trPr>
        <w:tc>
          <w:tcPr>
            <w:tcW w:type="dxa" w:w="106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RF-10 a RF-19, RF-25</w:t>
            </w:r>
          </w:p>
        </w:tc>
        <w:tc>
          <w:tcPr>
            <w:tcW w:type="dxa" w:w="200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EXECUTE, NOTIFY, CONSOLE</w:t>
            </w:r>
          </w:p>
        </w:tc>
        <w:tc>
          <w:tcPr>
            <w:tcW w:type="dxa" w:w="333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Documento 16 (pendiente)</w:t>
            </w:r>
          </w:p>
        </w:tc>
        <w:tc>
          <w:tcPr>
            <w:tcW w:type="dxa" w:w="3002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</w:tbl>
    <w:p>
      <w:pPr>
        <w:spacing w:after="40" w:line="192" w:lineRule="auto"/>
      </w:pPr>
    </w:p>
    <w:p>
      <w:r>
        <w:t>La matriz completa, desde los objetivos específicos hasta la evidencia, está en el documento 00 (Índice documental y matriz de trazabilidad). La estrategia de pruebas está en el documento 15 (Plan de pruebas de software).</w:t>
      </w:r>
    </w:p>
    <w:p>
      <w:pPr>
        <w:pStyle w:val="Heading1"/>
      </w:pPr>
      <w:bookmarkStart w:id="1022" w:name="_Toc0022"/>
      <w:r>
        <w:t>11. Referencias</w:t>
      </w:r>
      <w:bookmarkEnd w:id="1022"/>
    </w:p>
    <w:p>
      <w:pPr>
        <w:ind w:left="567" w:hanging="567"/>
      </w:pPr>
      <w:r>
        <w:rPr>
          <w:sz w:val="20"/>
        </w:rPr>
        <w:t>Pantaleo, G., y Rinaudo, L. (</w:t>
      </w:r>
      <w:r>
        <w:rPr>
          <w:b/>
          <w:color w:val="7A4A00"/>
          <w:sz w:val="20"/>
          <w:highlight w:val="yellow"/>
        </w:rPr>
        <w:t>[POR CONFIRMAR: año y edición, tomados de la portada del libro — preguntar a Patricio]</w:t>
      </w:r>
      <w:r>
        <w:rPr>
          <w:sz w:val="20"/>
        </w:rPr>
        <w:t xml:space="preserve">). </w:t>
      </w:r>
      <w:r>
        <w:rPr>
          <w:i/>
          <w:sz w:val="20"/>
        </w:rPr>
        <w:t>Ingeniería de software</w:t>
      </w:r>
      <w:r>
        <w:rPr>
          <w:sz w:val="20"/>
        </w:rPr>
        <w:t>. Alfaomega.</w:t>
      </w:r>
    </w:p>
    <w:p>
      <w:pPr>
        <w:ind w:left="567" w:hanging="567"/>
      </w:pPr>
      <w:r>
        <w:rPr>
          <w:sz w:val="20"/>
        </w:rPr>
        <w:t xml:space="preserve">Ley N.° 19.628, sobre protección de la vida privada. (1999). </w:t>
      </w:r>
      <w:r>
        <w:rPr>
          <w:i/>
          <w:sz w:val="20"/>
        </w:rPr>
        <w:t>Diario Oficial de la República de Chile</w:t>
      </w:r>
      <w:r>
        <w:rPr>
          <w:sz w:val="20"/>
        </w:rPr>
        <w:t>.</w:t>
      </w:r>
    </w:p>
    <w:p>
      <w:pPr>
        <w:ind w:left="567" w:hanging="567"/>
      </w:pPr>
      <w:r>
        <w:rPr>
          <w:sz w:val="20"/>
        </w:rPr>
        <w:t xml:space="preserve">Ley N.° 21.719, que regula la protección y el tratamiento de los datos personales y crea la Agencia de Protección de Datos Personales. (2024). </w:t>
      </w:r>
      <w:r>
        <w:rPr>
          <w:i/>
          <w:sz w:val="20"/>
        </w:rPr>
        <w:t>Diario Oficial de la República de Chile</w:t>
      </w:r>
      <w:r>
        <w:rPr>
          <w:sz w:val="20"/>
        </w:rPr>
        <w:t>.</w:t>
      </w:r>
    </w:p>
    <w:p>
      <w:pPr>
        <w:ind w:left="567" w:hanging="567"/>
      </w:pPr>
      <w:r>
        <w:rPr>
          <w:sz w:val="20"/>
        </w:rPr>
        <w:t xml:space="preserve">Ley N.° 21.663, Ley Marco de Ciberseguridad. (2024). </w:t>
      </w:r>
      <w:r>
        <w:rPr>
          <w:i/>
          <w:sz w:val="20"/>
        </w:rPr>
        <w:t>Diario Oficial de la República de Chile</w:t>
      </w:r>
      <w:r>
        <w:rPr>
          <w:sz w:val="20"/>
        </w:rPr>
        <w:t>.</w:t>
      </w:r>
    </w:p>
    <w:p>
      <w:pPr>
        <w:ind w:left="567" w:hanging="567"/>
      </w:pPr>
      <w:r>
        <w:rPr>
          <w:sz w:val="20"/>
        </w:rPr>
        <w:t xml:space="preserve">Equipo Kronos AI. (2026). </w:t>
      </w:r>
      <w:r>
        <w:rPr>
          <w:i/>
          <w:sz w:val="20"/>
        </w:rPr>
        <w:t>Kronos AI — Contexto maestro para la redacción de documentos</w:t>
      </w:r>
      <w:r>
        <w:rPr>
          <w:sz w:val="20"/>
        </w:rPr>
        <w:t xml:space="preserve"> (versión 2.1, 14-10-2026) [Documento interno].</w:t>
      </w:r>
    </w:p>
    <w:p>
      <w:pPr>
        <w:ind w:left="567" w:hanging="567"/>
      </w:pPr>
      <w:r>
        <w:rPr>
          <w:sz w:val="20"/>
        </w:rPr>
        <w:t xml:space="preserve">Equipo Kronos AI. (2026). </w:t>
      </w:r>
      <w:r>
        <w:rPr>
          <w:i/>
          <w:sz w:val="20"/>
        </w:rPr>
        <w:t>soarai2026/kronos-ai</w:t>
      </w:r>
      <w:r>
        <w:rPr>
          <w:sz w:val="20"/>
        </w:rPr>
        <w:t xml:space="preserve"> [Repositorio privado, rama develop]. GitHub.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68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05" w:val="right"/>
      </w:tabs>
      <w:pBdr>
        <w:top w:val="single" w:sz="4" w:space="4" w:color="BFBFBF"/>
      </w:pBdr>
    </w:pPr>
    <w:r>
      <w:rPr>
        <w:color w:val="6B6B6B"/>
        <w:sz w:val="18"/>
      </w:rPr>
      <w:t>Uso interno · Versión 0.1</w:t>
    </w:r>
    <w:r>
      <w:rPr>
        <w:color w:val="6B6B6B"/>
        <w:sz w:val="18"/>
      </w:rPr>
      <w:tab/>
      <w:t xml:space="preserve">Página </w:t>
    </w:r>
    <w:r>
      <w:rPr>
        <w:color w:val="6B6B6B"/>
        <w:sz w:val="18"/>
      </w:rPr>
      <w:fldChar w:fldCharType="begin"/>
    </w:r>
    <w:r>
      <w:rPr>
        <w:color w:val="6B6B6B"/>
        <w:sz w:val="18"/>
      </w:rPr>
      <w:instrText xml:space="preserve"> PAGE </w:instrText>
    </w:r>
    <w:r>
      <w:rPr>
        <w:color w:val="6B6B6B"/>
        <w:sz w:val="18"/>
      </w:rPr>
      <w:fldChar w:fldCharType="separate"/>
    </w:r>
    <w:r>
      <w:rPr>
        <w:color w:val="6B6B6B"/>
        <w:sz w:val="18"/>
      </w:rPr>
      <w:t>1</w:t>
    </w:r>
    <w:r>
      <w:rPr>
        <w:color w:val="6B6B6B"/>
        <w:sz w:val="18"/>
      </w:rPr>
      <w:fldChar w:fldCharType="end"/>
    </w:r>
    <w:r>
      <w:rPr>
        <w:color w:val="6B6B6B"/>
        <w:sz w:val="18"/>
      </w:rPr>
      <w:t xml:space="preserve"> de </w:t>
    </w:r>
    <w:r>
      <w:rPr>
        <w:color w:val="6B6B6B"/>
        <w:sz w:val="18"/>
      </w:rPr>
      <w:fldChar w:fldCharType="begin"/>
    </w:r>
    <w:r>
      <w:rPr>
        <w:color w:val="6B6B6B"/>
        <w:sz w:val="18"/>
      </w:rPr>
      <w:instrText xml:space="preserve"> NUMPAGES </w:instrText>
    </w:r>
    <w:r>
      <w:rPr>
        <w:color w:val="6B6B6B"/>
        <w:sz w:val="18"/>
      </w:rPr>
      <w:fldChar w:fldCharType="separate"/>
    </w:r>
    <w:r>
      <w:rPr>
        <w:color w:val="6B6B6B"/>
        <w:sz w:val="18"/>
      </w:rPr>
      <w:t>1</w:t>
    </w:r>
    <w:r>
      <w:rPr>
        <w:color w:val="6B6B6B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405" w:val="right"/>
      </w:tabs>
      <w:pBdr>
        <w:bottom w:val="single" w:sz="4" w:space="4" w:color="BFBFBF"/>
      </w:pBdr>
    </w:pPr>
    <w:r>
      <w:rPr>
        <w:b/>
        <w:color w:val="1F3A5F"/>
        <w:sz w:val="18"/>
      </w:rPr>
      <w:t>Kronos AI</w:t>
    </w:r>
    <w:r>
      <w:rPr>
        <w:color w:val="6B6B6B"/>
        <w:sz w:val="18"/>
      </w:rPr>
      <w:tab/>
      <w:t>Documento 02 · Especificación de requerimientos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</w:pPr>
    <w:rPr>
      <w:rFonts w:ascii="Calibri" w:hAnsi="Calibri" w:eastAsia="Calibri"/>
      <w:sz w:val="22"/>
      <w:lang w:val="es-CL" w:eastAsia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40" w:lineRule="auto"/>
      <w:outlineLvl w:val="0"/>
      <w:pBdr>
        <w:bottom w:val="single" w:sz="6" w:space="4" w:color="1F3A5F"/>
      </w:pBdr>
    </w:pPr>
    <w:rPr>
      <w:rFonts w:ascii="Calibri" w:hAnsi="Calibri" w:eastAsia="Calibri" w:cs="Calibri"/>
      <w:b/>
      <w:bCs/>
      <w:i w:val="0"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="Calibri" w:hAnsi="Calibri" w:eastAsia="Calibri" w:cs="Calibri"/>
      <w:b/>
      <w:bCs/>
      <w:i w:val="0"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40" w:lineRule="auto"/>
      <w:outlineLvl w:val="2"/>
    </w:pPr>
    <w:rPr>
      <w:rFonts w:ascii="Calibri" w:hAnsi="Calibri" w:eastAsia="Calibri" w:cs="Calibri"/>
      <w:b/>
      <w:bCs/>
      <w:i w:val="0"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</w:pPr>
    <w:rPr>
      <w:rFonts w:ascii="Calibri" w:hAnsi="Calibri"/>
      <w:b w:val="0"/>
      <w:bCs/>
      <w:i/>
      <w:color w:val="40404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ódigo">
    <w:name w:val="Código"/>
    <w:basedOn w:val="Normal"/>
    <w:pPr>
      <w:keepLines/>
      <w:spacing w:line="240" w:lineRule="auto" w:after="160"/>
      <w:ind w:left="113" w:right="113"/>
      <w:shd w:val="clear" w:color="auto" w:fill="F2F2F2"/>
      <w:pBdr>
        <w:top w:val="single" w:sz="4" w:space="4" w:color="D9D9D9"/>
        <w:left w:val="single" w:sz="4" w:space="4" w:color="D9D9D9"/>
        <w:bottom w:val="single" w:sz="4" w:space="4" w:color="D9D9D9"/>
        <w:right w:val="single" w:sz="4" w:space="4" w:color="D9D9D9"/>
      </w:pBdr>
    </w:pPr>
    <w:rPr>
      <w:rFonts w:ascii="Consolas" w:hAnsi="Consolas" w:eastAsia="Consolas"/>
      <w:sz w:val="17"/>
    </w:rPr>
  </w:style>
  <w:style w:type="paragraph" w:customStyle="1" w:styleId="Nota">
    <w:name w:val="Nota"/>
    <w:basedOn w:val="Normal"/>
    <w:pPr>
      <w:spacing w:before="80" w:after="160"/>
      <w:ind w:left="170" w:right="113"/>
      <w:shd w:val="clear" w:color="auto" w:fill="EEF3F8"/>
      <w:pBdr>
        <w:left w:val="single" w:sz="24" w:space="6" w:color="1F3A5F"/>
      </w:pBdr>
    </w:pPr>
    <w:rPr>
      <w:sz w:val="20"/>
    </w:rPr>
  </w:style>
  <w:style w:type="paragraph" w:customStyle="1" w:styleId="Textodetabla">
    <w:name w:val="Texto de tabla"/>
    <w:basedOn w:val="Normal"/>
    <w:pPr>
      <w:spacing w:after="0" w:before="0" w:line="240" w:lineRule="auto"/>
    </w:pPr>
    <w:rPr>
      <w:sz w:val="19"/>
    </w:rPr>
  </w:style>
  <w:style w:type="paragraph" w:customStyle="1" w:styleId="Viñeta">
    <w:name w:val="Viñeta"/>
    <w:basedOn w:val="Normal"/>
    <w:pPr>
      <w:spacing w:after="60"/>
      <w:ind w:left="510" w:hanging="255"/>
    </w:pPr>
  </w:style>
  <w:style w:type="paragraph" w:customStyle="1" w:styleId="Viñeta2">
    <w:name w:val="Viñeta 2"/>
    <w:basedOn w:val="Viñeta"/>
    <w:pPr>
      <w:ind w:left="907" w:hanging="255"/>
    </w:pPr>
  </w:style>
  <w:style w:type="paragraph" w:customStyle="1" w:styleId="TOC1">
    <w:name w:val="TOC 1"/>
    <w:basedOn w:val="Normal"/>
    <w:pPr>
      <w:tabs>
        <w:tab w:pos="9405" w:val="right" w:leader="dot"/>
      </w:tabs>
      <w:spacing w:after="80" w:before="80"/>
      <w:ind w:left="0"/>
    </w:pPr>
    <w:rPr>
      <w:b/>
      <w:sz w:val="21"/>
    </w:rPr>
  </w:style>
  <w:style w:type="paragraph" w:customStyle="1" w:styleId="TOC2">
    <w:name w:val="TOC 2"/>
    <w:basedOn w:val="Normal"/>
    <w:pPr>
      <w:tabs>
        <w:tab w:pos="9405" w:val="right" w:leader="dot"/>
      </w:tabs>
      <w:spacing w:after="40" w:before="0"/>
      <w:ind w:left="340"/>
    </w:pPr>
    <w:rPr>
      <w:b w:val="0"/>
      <w:sz w:val="20"/>
    </w:rPr>
  </w:style>
  <w:style w:type="paragraph" w:customStyle="1" w:styleId="TOC3">
    <w:name w:val="TOC 3"/>
    <w:basedOn w:val="Normal"/>
    <w:pPr>
      <w:tabs>
        <w:tab w:pos="9405" w:val="right" w:leader="dot"/>
      </w:tabs>
      <w:spacing w:after="40" w:before="0"/>
      <w:ind w:left="680"/>
    </w:pPr>
    <w:rPr>
      <w:b w:val="0"/>
      <w:sz w:val="20"/>
    </w:rPr>
  </w:style>
  <w:style w:type="paragraph" w:customStyle="1" w:styleId="TableofFigures">
    <w:name w:val="Table of Figures"/>
    <w:basedOn w:val="Normal"/>
    <w:pPr>
      <w:tabs>
        <w:tab w:pos="9405" w:val="right" w:leader="dot"/>
      </w:tabs>
      <w:spacing w:after="40"/>
    </w:pPr>
    <w:rPr>
      <w:sz w:val="20"/>
    </w:rPr>
  </w:style>
  <w:style w:type="paragraph" w:customStyle="1" w:styleId="Listanumerada">
    <w:name w:val="Lista numerada"/>
    <w:basedOn w:val="Viñeta"/>
    <w:pPr>
      <w:ind w:left="510" w:hanging="34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· Especificación de requerimientos</dc:title>
  <dc:subject>Kronos AI</dc:subject>
  <dc:creator>Equipo Kronos AI</dc:creator>
  <cp:keywords>Kronos AI; Capstone; DUOC UC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es-CL</dc:language>
</cp:coreProperties>
</file>