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olor w:val="1F3A5F"/>
          <w:sz w:val="60"/>
        </w:rPr>
        <w:t>KRONOS AI</w:t>
      </w:r>
    </w:p>
    <w:p>
      <w:pPr>
        <w:pBdr>
          <w:bottom w:val="single" w:sz="12" w:space="8" w:color="1F3A5F"/>
        </w:pBdr>
      </w:pPr>
      <w:r>
        <w:rPr>
          <w:color w:val="6B6B6B"/>
          <w:sz w:val="24"/>
        </w:rPr>
        <w:t>SOAR con clasificación de incidentes asistida por IA bajo control determinista</w:t>
      </w:r>
    </w:p>
    <w:p>
      <w:pPr>
        <w:spacing w:before="1800"/>
      </w:pPr>
      <w:r>
        <w:rPr>
          <w:b/>
          <w:color w:val="404040"/>
          <w:sz w:val="28"/>
        </w:rPr>
        <w:t>Documento 19</w:t>
      </w:r>
    </w:p>
    <w:p>
      <w:pPr>
        <w:spacing w:after="120"/>
      </w:pPr>
      <w:r>
        <w:rPr>
          <w:b/>
          <w:color w:val="1F3A5F"/>
          <w:sz w:val="52"/>
        </w:rPr>
        <w:t>Política de respaldo y retención</w:t>
      </w:r>
    </w:p>
    <w:p>
      <w:r>
        <w:rPr>
          <w:i/>
          <w:color w:val="404040"/>
          <w:sz w:val="23"/>
        </w:rPr>
        <w:t>Qué se respalda, cómo y cada cuánto; restauración probada con la cadena íntegra; copia fuera del servidor en el PC de Nicolás con sus condiciones; retención de las copias, RPO y RTO propuestos.</w:t>
      </w:r>
    </w:p>
    <w:p>
      <w:pPr>
        <w:spacing w:before="360"/>
      </w:pPr>
      <w:r>
        <w:rPr>
          <w:color w:val="404040"/>
          <w:sz w:val="22"/>
        </w:rPr>
        <w:t>Versión 0.1 (borrador) · 14-10-2026</w:t>
      </w:r>
    </w:p>
    <w:p>
      <w:pPr>
        <w:spacing w:before="2400" w:after="40"/>
        <w:pBdr>
          <w:top w:val="single" w:sz="4" w:space="8" w:color="BFBFBF"/>
        </w:pBdr>
      </w:pPr>
      <w:r>
        <w:rPr>
          <w:b/>
          <w:color w:val="1F3A5F"/>
          <w:sz w:val="21"/>
        </w:rPr>
        <w:t xml:space="preserve">Integrantes: </w:t>
      </w:r>
      <w:r>
        <w:rPr>
          <w:sz w:val="21"/>
        </w:rPr>
        <w:t>Nicolás Zamora · Rodrigo Riveros · Patricio González</w:t>
      </w:r>
    </w:p>
    <w:p>
      <w:pPr>
        <w:spacing w:after="40"/>
      </w:pPr>
      <w:r>
        <w:rPr>
          <w:b/>
          <w:color w:val="1F3A5F"/>
          <w:sz w:val="21"/>
        </w:rPr>
        <w:t xml:space="preserve">Profesor guía: </w:t>
      </w:r>
      <w:r>
        <w:rPr>
          <w:sz w:val="21"/>
        </w:rPr>
        <w:t>Ceferino Aníbal Sotelo Becerra</w:t>
      </w:r>
    </w:p>
    <w:p>
      <w:pPr>
        <w:spacing w:after="40"/>
      </w:pPr>
      <w:r>
        <w:rPr>
          <w:b/>
          <w:color w:val="1F3A5F"/>
          <w:sz w:val="21"/>
        </w:rPr>
        <w:t xml:space="preserve">Asignatura: </w:t>
      </w:r>
      <w:r>
        <w:rPr>
          <w:sz w:val="21"/>
        </w:rPr>
        <w:t>Capstone — Portafolio de Título</w:t>
      </w:r>
    </w:p>
    <w:p>
      <w:pPr>
        <w:spacing w:after="40"/>
      </w:pPr>
      <w:r>
        <w:rPr>
          <w:b/>
          <w:color w:val="1F3A5F"/>
          <w:sz w:val="21"/>
        </w:rPr>
        <w:t xml:space="preserve">Carrera: </w:t>
      </w:r>
      <w:r>
        <w:rPr>
          <w:sz w:val="21"/>
        </w:rPr>
        <w:t>Ingeniería en Informática</w:t>
      </w:r>
    </w:p>
    <w:p>
      <w:pPr>
        <w:spacing w:after="40"/>
      </w:pPr>
      <w:r>
        <w:rPr>
          <w:b/>
          <w:color w:val="1F3A5F"/>
          <w:sz w:val="21"/>
        </w:rPr>
        <w:t xml:space="preserve">Institución: </w:t>
      </w:r>
      <w:r>
        <w:rPr>
          <w:sz w:val="21"/>
        </w:rPr>
        <w:t>DUOC UC, sede Padre Alonso de Ovalle, Santiago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Control del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268"/>
        <w:gridCol w:w="7138"/>
      </w:tblGrid>
      <w:tr>
        <w:trPr>
          <w:cantSplit/>
          <w:tblHeader/>
        </w:trPr>
        <w:tc>
          <w:tcPr>
            <w:tcW w:type="dxa" w:w="226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3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Documento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19 · Política de respaldo y retención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Proyecto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Kronos AI — SOAR con clasificación asistida por IA bajo control determinista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Versión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 (borrador)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Fecha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Autor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 (redacción asistida por IA)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Revisor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Por asignar en la revisión del PR (otro integrante, distinto del autor)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Estado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Borrador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Base bibliográfica</w:t>
            </w:r>
          </w:p>
        </w:tc>
        <w:tc>
          <w:tcPr>
            <w:tcW w:type="dxa" w:w="713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No aplica (documento operativo); se apoya en el documento 05 para la configuración</w:t>
            </w:r>
          </w:p>
        </w:tc>
      </w:tr>
      <w:tr>
        <w:trPr>
          <w:cantSplit/>
        </w:trPr>
        <w:tc>
          <w:tcPr>
            <w:tcW w:type="dxa" w:w="226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Archivo</w:t>
            </w:r>
          </w:p>
        </w:tc>
        <w:tc>
          <w:tcPr>
            <w:tcW w:type="dxa" w:w="713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docs/entregables/19_respaldo-retencion.docx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Historial de versiones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1020"/>
        <w:gridCol w:w="1360"/>
        <w:gridCol w:w="2608"/>
        <w:gridCol w:w="4416"/>
      </w:tblGrid>
      <w:tr>
        <w:trPr>
          <w:cantSplit/>
          <w:tblHeader/>
        </w:trPr>
        <w:tc>
          <w:tcPr>
            <w:tcW w:type="dxa" w:w="102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60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4416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Cambios</w:t>
            </w:r>
          </w:p>
        </w:tc>
      </w:tr>
      <w:tr>
        <w:trPr>
          <w:cantSplit/>
        </w:trPr>
        <w:tc>
          <w:tcPr>
            <w:tcW w:type="dxa" w:w="102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0.1</w:t>
            </w:r>
          </w:p>
        </w:tc>
        <w:tc>
          <w:tcPr>
            <w:tcW w:type="dxa" w:w="136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2026-10-14</w:t>
            </w:r>
          </w:p>
        </w:tc>
        <w:tc>
          <w:tcPr>
            <w:tcW w:type="dxa" w:w="260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Rodrigo Riveros</w:t>
            </w:r>
          </w:p>
        </w:tc>
        <w:tc>
          <w:tcPr>
            <w:tcW w:type="dxa" w:w="4416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Primera versión para la entrega del 16-10-2026</w:t>
            </w:r>
          </w:p>
        </w:tc>
      </w:tr>
    </w:tbl>
    <w:p>
      <w:pPr>
        <w:spacing w:after="40" w:line="192" w:lineRule="auto"/>
      </w:pPr>
    </w:p>
    <w:p>
      <w:pPr>
        <w:keepNext/>
        <w:spacing w:after="160" w:before="120"/>
      </w:pPr>
      <w:r>
        <w:rPr>
          <w:b/>
          <w:color w:val="1F3A5F"/>
          <w:sz w:val="26"/>
        </w:rPr>
        <w:t>Cómo leer este documento</w:t>
      </w:r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041"/>
        <w:gridCol w:w="7365"/>
      </w:tblGrid>
      <w:tr>
        <w:trPr>
          <w:cantSplit/>
          <w:tblHeader/>
        </w:trPr>
        <w:tc>
          <w:tcPr>
            <w:tcW w:type="dxa" w:w="204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Marca</w:t>
            </w:r>
          </w:p>
        </w:tc>
        <w:tc>
          <w:tcPr>
            <w:tcW w:type="dxa" w:w="73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  <w:r>
              <w:rPr>
                <w:sz w:val="19"/>
              </w:rPr>
              <w:t xml:space="preserve"> Verificado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Hay evidencia en el repositorio, en la salida de una terminal o en un documento del equipo.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🟡</w:t>
            </w:r>
            <w:r>
              <w:rPr>
                <w:sz w:val="19"/>
              </w:rPr>
              <w:t xml:space="preserve"> Informado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dice un documento o una herramienta, pero no se ha comprobado o la fuente es antigua.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  <w:r>
              <w:rPr>
                <w:sz w:val="19"/>
              </w:rPr>
              <w:t xml:space="preserve"> Pendiente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Está decidido hacerlo, pero no se ha hecho.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❓</w:t>
            </w:r>
            <w:r>
              <w:rPr>
                <w:sz w:val="19"/>
              </w:rPr>
              <w:t xml:space="preserve"> Por confirmar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Falta el dato. No se inventa: se marca </w:t>
            </w:r>
            <w:r>
              <w:rPr>
                <w:b/>
                <w:color w:val="7A4A00"/>
                <w:sz w:val="19"/>
                <w:highlight w:val="yellow"/>
              </w:rPr>
              <w:t>[POR CONFIRMAR: …]</w:t>
            </w:r>
            <w:r>
              <w:rPr>
                <w:sz w:val="19"/>
              </w:rPr>
              <w:t xml:space="preserve"> y se agrega a docs/00-indice/preguntas-abiertas.md.</w:t>
            </w:r>
          </w:p>
        </w:tc>
      </w:tr>
      <w:tr>
        <w:trPr>
          <w:cantSplit/>
        </w:trPr>
        <w:tc>
          <w:tcPr>
            <w:tcW w:type="dxa" w:w="2041"/>
            <w:vAlign w:val="top"/>
          </w:tcPr>
          <w:p>
            <w:pPr>
              <w:pStyle w:val="Textodetabla"/>
            </w:pPr>
            <w:r>
              <w:rPr>
                <w:b/>
                <w:color w:val="004D40"/>
                <w:sz w:val="19"/>
                <w:highlight w:val="cyan"/>
              </w:rPr>
              <w:t>[PENDIENTE: …]</w:t>
            </w:r>
          </w:p>
        </w:tc>
        <w:tc>
          <w:tcPr>
            <w:tcW w:type="dxa" w:w="73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Depende de la instalación en la farmacia (D-28); se lista en docs/00-indice/pendientes-farmacia.md.</w:t>
            </w:r>
          </w:p>
        </w:tc>
      </w:tr>
      <w:tr>
        <w:trPr>
          <w:cantSplit/>
        </w:trPr>
        <w:tc>
          <w:tcPr>
            <w:tcW w:type="dxa" w:w="204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b/>
                <w:color w:val="8A2B0E"/>
                <w:sz w:val="19"/>
              </w:rPr>
              <w:t>«Propuesta»</w:t>
            </w:r>
          </w:p>
        </w:tc>
        <w:tc>
          <w:tcPr>
            <w:tcW w:type="dxa" w:w="73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Lo propone la redacción y el equipo aún no lo decide.</w:t>
            </w:r>
          </w:p>
        </w:tc>
      </w:tr>
    </w:tbl>
    <w:p>
      <w:pPr>
        <w:spacing w:after="40" w:line="192" w:lineRule="auto"/>
      </w:pPr>
    </w:p>
    <w:p>
      <w:r>
        <w:rPr>
          <w:sz w:val="19"/>
        </w:rPr>
        <w:t>Los documentos se identifican por su número y su nombre. Las remisiones a otro documento se escriben «documento NN (Nombre)». Este documento no contiene secretos, contraseñas, llaves, tokens, direcciones IP reales ni datos que identifiquen a la farmacia o a su personal.</w:t>
      </w:r>
    </w:p>
    <w:p>
      <w:pPr>
        <w:spacing w:after="0"/>
      </w:pPr>
      <w:r>
        <w:br w:type="page"/>
      </w:r>
    </w:p>
    <w:p>
      <w:pPr>
        <w:keepNext/>
        <w:spacing w:after="160" w:before="0"/>
      </w:pPr>
      <w:r>
        <w:rPr>
          <w:b/>
          <w:color w:val="1F3A5F"/>
          <w:sz w:val="32"/>
        </w:rPr>
        <w:t>Índice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0001" w:history="1">
        <w:r>
          <w:rPr/>
          <w:t xml:space="preserve">1. Propósito y alcance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2" w:history="1">
        <w:r>
          <w:rPr/>
          <w:t xml:space="preserve">2. Qué se respalda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3" w:history="1">
        <w:r>
          <w:rPr/>
          <w:t xml:space="preserve">3. Respaldo diario</w:t>
        </w:r>
        <w:r>
          <w:rPr/>
          <w:tab/>
        </w:r>
        <w:r>
          <w:rPr/>
          <w:t xml:space="preserve">4</w:t>
        </w:r>
      </w:hyperlink>
    </w:p>
    <w:p>
      <w:pPr>
        <w:pStyle w:val="TOC1"/>
      </w:pPr>
      <w:hyperlink w:anchor="_Toc0004" w:history="1">
        <w:r>
          <w:rPr/>
          <w:t xml:space="preserve">4. Restauración probada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5" w:history="1">
        <w:r>
          <w:rPr/>
          <w:t xml:space="preserve">4.1 El trigger de la cadena al restaurar</w:t>
        </w:r>
        <w:r>
          <w:rPr/>
          <w:tab/>
        </w:r>
        <w:r>
          <w:rPr/>
          <w:t xml:space="preserve">5</w:t>
        </w:r>
      </w:hyperlink>
    </w:p>
    <w:p>
      <w:pPr>
        <w:pStyle w:val="TOC1"/>
      </w:pPr>
      <w:hyperlink w:anchor="_Toc0006" w:history="1">
        <w:r>
          <w:rPr/>
          <w:t xml:space="preserve">5. Copia fuera del servidor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7" w:history="1">
        <w:r>
          <w:rPr/>
          <w:t xml:space="preserve">5.1 Decisión</w:t>
        </w:r>
        <w:r>
          <w:rPr/>
          <w:tab/>
        </w:r>
        <w:r>
          <w:rPr/>
          <w:t xml:space="preserve">5</w:t>
        </w:r>
      </w:hyperlink>
    </w:p>
    <w:p>
      <w:pPr>
        <w:pStyle w:val="TOC2"/>
      </w:pPr>
      <w:hyperlink w:anchor="_Toc0008" w:history="1">
        <w:r>
          <w:rPr/>
          <w:t xml:space="preserve">5.2 Condiciones</w:t>
        </w:r>
        <w:r>
          <w:rPr/>
          <w:tab/>
        </w:r>
        <w:r>
          <w:rPr/>
          <w:t xml:space="preserve">6</w:t>
        </w:r>
      </w:hyperlink>
    </w:p>
    <w:p>
      <w:pPr>
        <w:pStyle w:val="TOC1"/>
      </w:pPr>
      <w:hyperlink w:anchor="_Toc0009" w:history="1">
        <w:r>
          <w:rPr/>
          <w:t xml:space="preserve">6. Retención de las copias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0" w:history="1">
        <w:r>
          <w:rPr/>
          <w:t xml:space="preserve">7. Monitoreo</w:t>
        </w:r>
        <w:r>
          <w:rPr/>
          <w:tab/>
        </w:r>
        <w:r>
          <w:rPr/>
          <w:t xml:space="preserve">7</w:t>
        </w:r>
      </w:hyperlink>
    </w:p>
    <w:p>
      <w:pPr>
        <w:pStyle w:val="TOC1"/>
      </w:pPr>
      <w:hyperlink w:anchor="_Toc0011" w:history="1">
        <w:r>
          <w:rPr/>
          <w:t xml:space="preserve">8. Objetivos de recuperación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2" w:history="1">
        <w:r>
          <w:rPr/>
          <w:t xml:space="preserve">9. Prueba de reinicio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3" w:history="1">
        <w:r>
          <w:rPr/>
          <w:t xml:space="preserve">10. Fin del servicio</w:t>
        </w:r>
        <w:r>
          <w:rPr/>
          <w:tab/>
        </w:r>
        <w:r>
          <w:rPr/>
          <w:t xml:space="preserve">8</w:t>
        </w:r>
      </w:hyperlink>
    </w:p>
    <w:p>
      <w:pPr>
        <w:pStyle w:val="TOC1"/>
      </w:pPr>
      <w:hyperlink w:anchor="_Toc0014" w:history="1">
        <w:r>
          <w:rPr/>
          <w:t xml:space="preserve">11. Referencias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keepNext/>
        <w:spacing w:after="160" w:before="120"/>
      </w:pPr>
      <w:r>
        <w:rPr>
          <w:b/>
          <w:color w:val="1F3A5F"/>
          <w:sz w:val="26"/>
        </w:rPr>
        <w:t>Índice de tablas</w:t>
      </w:r>
    </w:p>
    <w:p>
      <w:pPr>
        <w:pStyle w:val="TableofFigures"/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ab001" w:history="1">
        <w:r>
          <w:rPr/>
          <w:t xml:space="preserve">Tabla 1. Elementos del respaldo</w:t>
        </w:r>
        <w:r>
          <w:rPr/>
          <w:tab/>
        </w:r>
        <w:r>
          <w:rPr/>
          <w:t xml:space="preserve">4</w:t>
        </w:r>
      </w:hyperlink>
    </w:p>
    <w:p>
      <w:pPr>
        <w:pStyle w:val="TableofFigures"/>
      </w:pPr>
      <w:hyperlink w:anchor="_Tab002" w:history="1">
        <w:r>
          <w:rPr/>
          <w:t xml:space="preserve">Tabla 2. Condiciones de la copia en el PC de Nicolás (R-10)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3" w:history="1">
        <w:r>
          <w:rPr/>
          <w:t xml:space="preserve">Tabla 3. Retención propuesta de las copias</w:t>
        </w:r>
        <w:r>
          <w:rPr/>
          <w:tab/>
        </w:r>
        <w:r>
          <w:rPr/>
          <w:t xml:space="preserve">7</w:t>
        </w:r>
      </w:hyperlink>
    </w:p>
    <w:p>
      <w:pPr>
        <w:pStyle w:val="TableofFigures"/>
      </w:pPr>
      <w:hyperlink w:anchor="_Tab004" w:history="1">
        <w:r>
          <w:rPr/>
          <w:t xml:space="preserve">Tabla 4. RPO y RTO propuestos</w:t>
        </w:r>
        <w:r>
          <w:rPr/>
          <w:tab/>
        </w:r>
        <w:r>
          <w:rPr/>
          <w:t xml:space="preserve">8</w:t>
        </w:r>
      </w:hyperlink>
      <w:r>
        <w:fldChar w:fldCharType="end"/>
      </w:r>
    </w:p>
    <w:p>
      <w:pPr>
        <w:spacing w:after="0"/>
      </w:pPr>
      <w:r>
        <w:br w:type="page"/>
      </w:r>
    </w:p>
    <w:p>
      <w:pPr>
        <w:pStyle w:val="Heading1"/>
      </w:pPr>
      <w:bookmarkStart w:id="1001" w:name="_Toc0001"/>
      <w:r>
        <w:t>1. Propósito y alcance</w:t>
      </w:r>
      <w:bookmarkEnd w:id="1001"/>
    </w:p>
    <w:p>
      <w:r>
        <w:t>Este documento define cómo se respalda Kronos AI y cómo se comprueba que el respaldo sirve. También fija cuánto tiempo se guardan las copias.</w:t>
      </w:r>
    </w:p>
    <w:p>
      <w:r>
        <w:t xml:space="preserve">La retención de los </w:t>
      </w:r>
      <w:r>
        <w:rPr>
          <w:b/>
        </w:rPr>
        <w:t>datos</w:t>
      </w:r>
      <w:r>
        <w:t xml:space="preserve"> (alertas y bitácora durante 2 años) y su eliminación al vencer se tratan en el documento 18 (Cierre de brechas BR-01 y BR-05, pendiente). Este documento trata la retención de las </w:t>
      </w:r>
      <w:r>
        <w:rPr>
          <w:b/>
        </w:rPr>
        <w:t>copias de respaldo</w:t>
      </w:r>
      <w:r>
        <w:t>. Los secretos que el respaldo necesita, como la llave de cifrado, se gestionan según el documento 20 (Procedimiento de gestión de secretos).</w:t>
      </w:r>
    </w:p>
    <w:p>
      <w:pPr>
        <w:pStyle w:val="Nota"/>
      </w:pPr>
      <w:r>
        <w:rPr>
          <w:b/>
          <w:sz w:val="20"/>
        </w:rPr>
        <w:t>Estado.</w:t>
      </w:r>
      <w:r>
        <w:rPr>
          <w:sz w:val="20"/>
        </w:rPr>
        <w:t xml:space="preserve"> Hoy no existe ningún respaldo de SOAR-AUDIT ni de la configuración de Wazuh (R-01). Casi todo lo que sigue es </w:t>
      </w:r>
      <w:r>
        <w:rPr>
          <w:b/>
          <w:color w:val="8A2B0E"/>
          <w:sz w:val="20"/>
        </w:rPr>
        <w:t>«Propuesta»</w:t>
      </w:r>
      <w:r>
        <w:rPr>
          <w:sz w:val="20"/>
        </w:rPr>
        <w:t xml:space="preserve"> para la rama </w:t>
      </w:r>
      <w:r>
        <w:rPr>
          <w:rFonts w:ascii="Consolas" w:hAnsi="Consolas"/>
          <w:sz w:val="17"/>
          <w:shd w:val="clear" w:color="auto" w:fill="F2F2F2"/>
        </w:rPr>
        <w:t>feat/e2-respaldo</w:t>
      </w:r>
      <w:r>
        <w:rPr>
          <w:sz w:val="20"/>
        </w:rPr>
        <w:t>.</w:t>
      </w:r>
    </w:p>
    <w:p>
      <w:pPr>
        <w:pStyle w:val="Heading1"/>
      </w:pPr>
      <w:bookmarkStart w:id="1002" w:name="_Toc0002"/>
      <w:r>
        <w:t>2. Qué se respalda</w:t>
      </w:r>
      <w:bookmarkEnd w:id="1002"/>
    </w:p>
    <w:p>
      <w:pPr>
        <w:pStyle w:val="Caption"/>
        <w:keepNext/>
        <w:spacing w:before="120" w:after="80"/>
      </w:pPr>
      <w:bookmarkStart w:id="5001" w:name="_Tab00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Elementos del respaldo</w:t>
      </w:r>
      <w:bookmarkEnd w:id="5001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039"/>
        <w:gridCol w:w="3328"/>
        <w:gridCol w:w="1881"/>
        <w:gridCol w:w="1157"/>
      </w:tblGrid>
      <w:tr>
        <w:trPr>
          <w:cantSplit/>
          <w:tblHeader/>
        </w:trPr>
        <w:tc>
          <w:tcPr>
            <w:tcW w:type="dxa" w:w="3039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Por qué</w:t>
            </w:r>
          </w:p>
        </w:tc>
        <w:tc>
          <w:tcPr>
            <w:tcW w:type="dxa" w:w="1881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Cómo</w:t>
            </w:r>
          </w:p>
        </w:tc>
        <w:tc>
          <w:tcPr>
            <w:tcW w:type="dxa" w:w="115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Base de SOAR-AUDIT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Tickets, bitácora encadenada, temporizadores y cortacircuito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pg_dump</w:t>
            </w:r>
            <w:r>
              <w:rPr>
                <w:sz w:val="19"/>
              </w:rPr>
              <w:t xml:space="preserve"> desde el contenedor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Configuración de Wazuh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 xml:space="preserve">Reglas, decodificadores, grupos y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ossec.conf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Copia de los volúmenes de configuración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Certificados de Wazuh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Sin ellos el indexer y el manager no se comunican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Copia cifrada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Consolas" w:hAnsi="Consolas"/>
                <w:sz w:val="16"/>
                <w:shd w:val="clear" w:color="auto" w:fill="F2F2F2"/>
              </w:rPr>
              <w:t>client.keys</w:t>
            </w:r>
            <w:r>
              <w:rPr>
                <w:sz w:val="19"/>
              </w:rPr>
              <w:t xml:space="preserve"> del manager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él, todos los agentes deben registrarse de nuevo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Copia cifrada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  <w:tr>
        <w:trPr>
          <w:cantSplit/>
        </w:trPr>
        <w:tc>
          <w:tcPr>
            <w:tcW w:type="dxa" w:w="3039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 xml:space="preserve">Compose y archivos </w:t>
            </w:r>
            <w:r>
              <w:rPr>
                <w:rFonts w:ascii="Consolas" w:hAnsi="Consolas"/>
                <w:sz w:val="16"/>
                <w:shd w:val="clear" w:color="auto" w:fill="F2F2F2"/>
              </w:rPr>
              <w:t>.example</w:t>
            </w:r>
          </w:p>
        </w:tc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Reconstruir el servidor</w:t>
            </w:r>
          </w:p>
        </w:tc>
        <w:tc>
          <w:tcPr>
            <w:tcW w:type="dxa" w:w="1881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Ya están en el repositorio</w:t>
            </w:r>
          </w:p>
        </w:tc>
        <w:tc>
          <w:tcPr>
            <w:tcW w:type="dxa" w:w="1158"/>
            <w:vAlign w:val="top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✅</w:t>
            </w:r>
          </w:p>
        </w:tc>
      </w:tr>
      <w:tr>
        <w:trPr>
          <w:cantSplit/>
        </w:trPr>
        <w:tc>
          <w:tcPr>
            <w:tcW w:type="dxa" w:w="3039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Secretos del servidor</w:t>
            </w:r>
          </w:p>
        </w:tc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Sin ellos no se puede abrir la base restaurada</w:t>
            </w:r>
          </w:p>
        </w:tc>
        <w:tc>
          <w:tcPr>
            <w:tcW w:type="dxa" w:w="1881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Gestor de contraseñas, no el respaldo (documento 20)</w:t>
            </w:r>
          </w:p>
        </w:tc>
        <w:tc>
          <w:tcPr>
            <w:tcW w:type="dxa" w:w="115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rFonts w:ascii="Segoe UI Emoji" w:hAnsi="Segoe UI Emoji"/>
                <w:sz w:val="19"/>
              </w:rPr>
              <w:t>⏳</w:t>
            </w:r>
          </w:p>
        </w:tc>
      </w:tr>
    </w:tbl>
    <w:p>
      <w:pPr>
        <w:spacing w:after="40" w:line="192" w:lineRule="auto"/>
      </w:pPr>
    </w:p>
    <w:p>
      <w:r>
        <w:t xml:space="preserve">Los índices del Wazuh Indexer (alertas históricas) quedan fuera del respaldo diario. </w:t>
      </w:r>
      <w:r>
        <w:rPr>
          <w:b/>
          <w:color w:val="7A4A00"/>
          <w:highlight w:val="yellow"/>
        </w:rPr>
        <w:t>[POR CONFIRMAR: si las alertas del indexer se respaldan o sólo se conservan en el servidor según la política del documento 18 — preguntar a Nicolás]</w:t>
      </w:r>
    </w:p>
    <w:p>
      <w:pPr>
        <w:pStyle w:val="Heading1"/>
      </w:pPr>
      <w:bookmarkStart w:id="1003" w:name="_Toc0003"/>
      <w:r>
        <w:t>3. Respaldo diario</w:t>
      </w:r>
      <w:bookmarkEnd w:id="1003"/>
    </w:p>
    <w:p>
      <w:r>
        <w:rPr>
          <w:b/>
          <w:color w:val="8A2B0E"/>
        </w:rPr>
        <w:t>«Propuesta»</w:t>
      </w:r>
      <w:r>
        <w:t>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Un script </w:t>
      </w:r>
      <w:r>
        <w:rPr>
          <w:rFonts w:ascii="Consolas" w:hAnsi="Consolas"/>
          <w:sz w:val="19"/>
          <w:shd w:val="clear" w:color="auto" w:fill="F2F2F2"/>
        </w:rPr>
        <w:t>respaldo.sh</w:t>
      </w:r>
      <w:r>
        <w:t xml:space="preserve"> ejecuta </w:t>
      </w:r>
      <w:r>
        <w:rPr>
          <w:rFonts w:ascii="Consolas" w:hAnsi="Consolas"/>
          <w:sz w:val="19"/>
          <w:shd w:val="clear" w:color="auto" w:fill="F2F2F2"/>
        </w:rPr>
        <w:t>pg_dump</w:t>
      </w:r>
      <w:r>
        <w:t xml:space="preserve"> dentro del contenedor de la base y guarda la copia con la fecha en UTC en el nombre.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Un temporizador de systemd lo dispara una vez al día.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 xml:space="preserve">El script sigue los estándares del documento 13: </w:t>
      </w:r>
      <w:r>
        <w:rPr>
          <w:rFonts w:ascii="Consolas" w:hAnsi="Consolas"/>
          <w:sz w:val="19"/>
          <w:shd w:val="clear" w:color="auto" w:fill="F2F2F2"/>
        </w:rPr>
        <w:t>set -euo pipefail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umask 077</w:t>
      </w:r>
      <w:r>
        <w:t xml:space="preserve"> y sin mostrar secretos.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La copia se cifra en el servidor antes de salir de él.</w:t>
      </w:r>
    </w:p>
    <w:p>
      <w:r>
        <w:rPr>
          <w:b/>
          <w:color w:val="7A4A00"/>
          <w:highlight w:val="yellow"/>
        </w:rPr>
        <w:t>[POR CONFIRMAR: hora del respaldo diario (en UTC) y herramienta de cifrado — preguntar a Rodrigo]</w:t>
      </w:r>
    </w:p>
    <w:p>
      <w:pPr>
        <w:pStyle w:val="Heading1"/>
      </w:pPr>
      <w:bookmarkStart w:id="1004" w:name="_Toc0004"/>
      <w:r>
        <w:t>4. Restauración probada</w:t>
      </w:r>
      <w:bookmarkEnd w:id="1004"/>
    </w:p>
    <w:p>
      <w:r>
        <w:t xml:space="preserve">Un respaldo que nunca se restauró no es un respaldo. </w:t>
      </w:r>
      <w:r>
        <w:rPr>
          <w:b/>
          <w:color w:val="8A2B0E"/>
        </w:rPr>
        <w:t>«Propuesta»</w:t>
      </w:r>
      <w:r>
        <w:t>: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rPr>
          <w:rFonts w:ascii="Consolas" w:hAnsi="Consolas"/>
          <w:sz w:val="19"/>
          <w:shd w:val="clear" w:color="auto" w:fill="F2F2F2"/>
        </w:rPr>
        <w:t>restaurar_prueba.sh</w:t>
      </w:r>
      <w:r>
        <w:t xml:space="preserve"> levanta una base vacía en un contenedor aparte, en el PC con Docker Desktop o en el servidor, sin tocar la base en uso.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Restaura la copia más reciente.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 xml:space="preserve">Ejecuta </w:t>
      </w:r>
      <w:r>
        <w:rPr>
          <w:rFonts w:ascii="Consolas" w:hAnsi="Consolas"/>
          <w:sz w:val="19"/>
          <w:shd w:val="clear" w:color="auto" w:fill="F2F2F2"/>
        </w:rPr>
        <w:t>fn_verificar_cadena</w:t>
      </w:r>
      <w:r>
        <w:t xml:space="preserve"> para cada inquilino. El resultado esperado es </w:t>
      </w:r>
      <w:r>
        <w:rPr>
          <w:rFonts w:ascii="Consolas" w:hAnsi="Consolas"/>
          <w:sz w:val="19"/>
          <w:shd w:val="clear" w:color="auto" w:fill="F2F2F2"/>
        </w:rPr>
        <w:t>NULL</w:t>
      </w:r>
      <w:r>
        <w:t xml:space="preserve"> (cadena íntegra).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4.</w:t>
        <w:tab/>
      </w:r>
      <w:r>
        <w:t xml:space="preserve">Compara la cantidad de filas y el último </w:t>
      </w:r>
      <w:r>
        <w:rPr>
          <w:rFonts w:ascii="Consolas" w:hAnsi="Consolas"/>
          <w:sz w:val="19"/>
          <w:shd w:val="clear" w:color="auto" w:fill="F2F2F2"/>
        </w:rPr>
        <w:t>seq</w:t>
      </w:r>
      <w:r>
        <w:t xml:space="preserve"> de cada inquilino con los del origen.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5.</w:t>
        <w:tab/>
      </w:r>
      <w:r>
        <w:t xml:space="preserve">Guarda la salida en </w:t>
      </w:r>
      <w:r>
        <w:rPr>
          <w:rFonts w:ascii="Consolas" w:hAnsi="Consolas"/>
          <w:sz w:val="19"/>
          <w:shd w:val="clear" w:color="auto" w:fill="F2F2F2"/>
        </w:rPr>
        <w:t>docs/evidencia/</w:t>
      </w:r>
      <w:r>
        <w:t>, sin contraseñas.</w:t>
      </w:r>
    </w:p>
    <w:p>
      <w:pPr>
        <w:pStyle w:val="Heading2"/>
      </w:pPr>
      <w:bookmarkStart w:id="1005" w:name="_Toc0005"/>
      <w:r>
        <w:t>4.1 El trigger de la cadena al restaurar</w:t>
      </w:r>
      <w:bookmarkEnd w:id="1005"/>
    </w:p>
    <w:p>
      <w:r>
        <w:t xml:space="preserve">El trigger </w:t>
      </w:r>
      <w:r>
        <w:rPr>
          <w:rFonts w:ascii="Consolas" w:hAnsi="Consolas"/>
          <w:sz w:val="19"/>
          <w:shd w:val="clear" w:color="auto" w:fill="F2F2F2"/>
        </w:rPr>
        <w:t>trg_auditoria_encadenar</w:t>
      </w:r>
      <w:r>
        <w:t xml:space="preserve">, que ejecuta la función </w:t>
      </w:r>
      <w:r>
        <w:rPr>
          <w:rFonts w:ascii="Consolas" w:hAnsi="Consolas"/>
          <w:sz w:val="19"/>
          <w:shd w:val="clear" w:color="auto" w:fill="F2F2F2"/>
        </w:rPr>
        <w:t>fn_auditoria_encadenar</w:t>
      </w:r>
      <w:r>
        <w:t xml:space="preserve">, reasigna </w:t>
      </w:r>
      <w:r>
        <w:rPr>
          <w:rFonts w:ascii="Consolas" w:hAnsi="Consolas"/>
          <w:sz w:val="19"/>
          <w:shd w:val="clear" w:color="auto" w:fill="F2F2F2"/>
        </w:rPr>
        <w:t>seq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hash_anterior</w:t>
      </w:r>
      <w:r>
        <w:t xml:space="preserve">, </w:t>
      </w:r>
      <w:r>
        <w:rPr>
          <w:rFonts w:ascii="Consolas" w:hAnsi="Consolas"/>
          <w:sz w:val="19"/>
          <w:shd w:val="clear" w:color="auto" w:fill="F2F2F2"/>
        </w:rPr>
        <w:t>creado_en</w:t>
      </w:r>
      <w:r>
        <w:t xml:space="preserve"> y </w:t>
      </w:r>
      <w:r>
        <w:rPr>
          <w:rFonts w:ascii="Consolas" w:hAnsi="Consolas"/>
          <w:sz w:val="19"/>
          <w:shd w:val="clear" w:color="auto" w:fill="F2F2F2"/>
        </w:rPr>
        <w:t>hash</w:t>
      </w:r>
      <w:r>
        <w:t xml:space="preserve"> en cada inserción, ignorando lo que se envíe. Si la restauración inserta las filas a través del trigger, la cadena se recalcula con fechas nuevas y deja de ser la original.</w:t>
      </w:r>
    </w:p>
    <w:p>
      <w:r>
        <w:t xml:space="preserve">En una restauración completa, </w:t>
      </w:r>
      <w:r>
        <w:rPr>
          <w:rFonts w:ascii="Consolas" w:hAnsi="Consolas"/>
          <w:sz w:val="19"/>
          <w:shd w:val="clear" w:color="auto" w:fill="F2F2F2"/>
        </w:rPr>
        <w:t>pg_dump</w:t>
      </w:r>
      <w:r>
        <w:t xml:space="preserve"> crea los triggers después de cargar los datos, así que en principio no se disparan; el problema aparece en una restauración sólo de datos sobre un esquema ya creado. Hay que comprobarlo con la prueba. Si el trigger se dispara, se restaura con </w:t>
      </w:r>
      <w:r>
        <w:rPr>
          <w:rFonts w:ascii="Consolas" w:hAnsi="Consolas"/>
          <w:sz w:val="19"/>
          <w:shd w:val="clear" w:color="auto" w:fill="F2F2F2"/>
        </w:rPr>
        <w:t>--disable-triggers</w:t>
      </w:r>
      <w:r>
        <w:t xml:space="preserve">, que exige un superusuario. Se justifica porque el objetivo es reproducir los datos tal como estaban, no generar eventos nuevos. Después de restaurar, </w:t>
      </w:r>
      <w:r>
        <w:rPr>
          <w:rFonts w:ascii="Consolas" w:hAnsi="Consolas"/>
          <w:sz w:val="19"/>
          <w:shd w:val="clear" w:color="auto" w:fill="F2F2F2"/>
        </w:rPr>
        <w:t>fn_verificar_cadena</w:t>
      </w:r>
      <w:r>
        <w:t xml:space="preserve"> demuestra que la cadena es la original. </w:t>
      </w:r>
      <w:r>
        <w:rPr>
          <w:b/>
          <w:color w:val="7A4A00"/>
          <w:highlight w:val="yellow"/>
        </w:rPr>
        <w:t>[POR CONFIRMAR: si el trigger se dispara al restaurar y si basta con --disable-triggers — preguntar a Rodrigo]</w:t>
      </w:r>
    </w:p>
    <w:p>
      <w:r>
        <w:t xml:space="preserve">Los triggers de inmutabilidad están marcados </w:t>
      </w:r>
      <w:r>
        <w:rPr>
          <w:rFonts w:ascii="Consolas" w:hAnsi="Consolas"/>
          <w:sz w:val="19"/>
          <w:shd w:val="clear" w:color="auto" w:fill="F2F2F2"/>
        </w:rPr>
        <w:t>ENABLE ALWAYS</w:t>
      </w:r>
      <w:r>
        <w:t>. Esto no impide restaurar en una base nueva, porque la restauración sólo inserta.</w:t>
      </w:r>
    </w:p>
    <w:p>
      <w:pPr>
        <w:pStyle w:val="Heading1"/>
      </w:pPr>
      <w:bookmarkStart w:id="1006" w:name="_Toc0006"/>
      <w:r>
        <w:t>5. Copia fuera del servidor</w:t>
      </w:r>
      <w:bookmarkEnd w:id="1006"/>
    </w:p>
    <w:p>
      <w:pPr>
        <w:pStyle w:val="Heading2"/>
      </w:pPr>
      <w:bookmarkStart w:id="1007" w:name="_Toc0007"/>
      <w:r>
        <w:t>5.1 Decisión</w:t>
      </w:r>
      <w:bookmarkEnd w:id="1007"/>
    </w:p>
    <w:p>
      <w:r>
        <w:t xml:space="preserve">La copia fuera del servidor se guarda en el </w:t>
      </w:r>
      <w:r>
        <w:rPr>
          <w:b/>
        </w:rPr>
        <w:t>PC de escritorio de Nicolás</w:t>
      </w:r>
      <w:r>
        <w:t xml:space="preserve"> (D-26).</w:t>
      </w:r>
    </w:p>
    <w:p>
      <w:pPr>
        <w:pStyle w:val="Nota"/>
      </w:pPr>
      <w:r>
        <w:rPr>
          <w:b/>
          <w:sz w:val="20"/>
        </w:rPr>
        <w:t>Se aparta del criterio anterior.</w:t>
      </w:r>
      <w:r>
        <w:rPr>
          <w:sz w:val="20"/>
        </w:rPr>
        <w:t xml:space="preserve"> El registro de trabajo del 08-10-2026 dejaba como pendiente una copia fuera del servidor «cifrada y sin pasar por PC personales». La decisión D-26 elige un PC personal. Esto agrega un riesgo: una copia con datos de clientes reales queda fuera de la infraestructura controlada (R-10). El documento deja constancia del cambio y de las condiciones con que se acepta.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340000" cy="6327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respal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327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bookmarkStart w:id="3001" w:name="_Fig00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. </w:t>
      </w:r>
      <w:r>
        <w:t>Flujo del respaldo hacia el PC de Nicolás</w:t>
      </w:r>
      <w:bookmarkEnd w:id="3001"/>
    </w:p>
    <w:p>
      <w:pPr>
        <w:pStyle w:val="Heading2"/>
      </w:pPr>
      <w:bookmarkStart w:id="1008" w:name="_Toc0008"/>
      <w:r>
        <w:t>5.2 Condiciones</w:t>
      </w:r>
      <w:bookmarkEnd w:id="1008"/>
    </w:p>
    <w:p>
      <w:r>
        <w:t xml:space="preserve">Las condiciones siguientes son </w:t>
      </w:r>
      <w:r>
        <w:rPr>
          <w:b/>
          <w:color w:val="8A2B0E"/>
        </w:rPr>
        <w:t>«Propuesta»</w:t>
      </w:r>
      <w:r>
        <w:t xml:space="preserve"> y deben aceptarse antes de la primera copia con datos de clientes. </w:t>
      </w:r>
      <w:r>
        <w:rPr>
          <w:b/>
          <w:color w:val="7A4A00"/>
          <w:highlight w:val="yellow"/>
        </w:rPr>
        <w:t>[POR CONFIRMAR: aceptación por el equipo de las condiciones de R-10 para el respaldo en el PC de Nicolás — preguntar al equipo]</w:t>
      </w:r>
    </w:p>
    <w:p>
      <w:pPr>
        <w:pStyle w:val="Caption"/>
        <w:keepNext/>
        <w:spacing w:before="120" w:after="80"/>
      </w:pPr>
      <w:bookmarkStart w:id="5002" w:name="_Tab00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2</w:t>
      </w:r>
      <w:r>
        <w:fldChar w:fldCharType="end"/>
      </w:r>
      <w:r>
        <w:t xml:space="preserve">. </w:t>
      </w:r>
      <w:r>
        <w:t>Condiciones de la copia en el PC de Nicolás (R-10)</w:t>
      </w:r>
      <w:bookmarkEnd w:id="5002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3328"/>
        <w:gridCol w:w="6078"/>
      </w:tblGrid>
      <w:tr>
        <w:trPr>
          <w:cantSplit/>
          <w:tblHeader/>
        </w:trPr>
        <w:tc>
          <w:tcPr>
            <w:tcW w:type="dxa" w:w="3328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077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Qué mitiga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Cifrar la copia en el servidor antes de que salga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Que el PC o el canal expongan datos legibles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Guardar la llave de cifrado fuera de ese PC, en el gestor de contraseñas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el robo del PC permita abrir la copia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Traer la copia sólo por NetBird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Exponer el canal a internet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Disco cifrado en el PC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Robo o pérdida del equipo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Acceso sólo de Nicolás a la carpeta de copias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Acceso de otras personas del hogar o de otras cuentas</w:t>
            </w:r>
          </w:p>
        </w:tc>
      </w:tr>
      <w:tr>
        <w:trPr>
          <w:cantSplit/>
        </w:trPr>
        <w:tc>
          <w:tcPr>
            <w:tcW w:type="dxa" w:w="3328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Restauración probada desde esa copia</w:t>
            </w:r>
          </w:p>
        </w:tc>
        <w:tc>
          <w:tcPr>
            <w:tcW w:type="dxa" w:w="6077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Que la copia no sirva cuando se necesite</w:t>
            </w:r>
          </w:p>
        </w:tc>
      </w:tr>
      <w:tr>
        <w:trPr>
          <w:cantSplit/>
        </w:trPr>
        <w:tc>
          <w:tcPr>
            <w:tcW w:type="dxa" w:w="3328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Borrar las copias vencidas según la retención</w:t>
            </w:r>
          </w:p>
        </w:tc>
        <w:tc>
          <w:tcPr>
            <w:tcW w:type="dxa" w:w="6077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Conservar datos más tiempo del necesario</w:t>
            </w:r>
          </w:p>
        </w:tc>
      </w:tr>
    </w:tbl>
    <w:p>
      <w:pPr>
        <w:spacing w:after="40" w:line="192" w:lineRule="auto"/>
      </w:pPr>
    </w:p>
    <w:p>
      <w:pPr>
        <w:pStyle w:val="Heading1"/>
      </w:pPr>
      <w:bookmarkStart w:id="1009" w:name="_Toc0009"/>
      <w:r>
        <w:t>6. Retención de las copias</w:t>
      </w:r>
      <w:bookmarkEnd w:id="1009"/>
    </w:p>
    <w:p>
      <w:r>
        <w:rPr>
          <w:b/>
          <w:color w:val="8A2B0E"/>
        </w:rPr>
        <w:t>«Propuesta»</w:t>
      </w:r>
      <w:r>
        <w:t>, basada en el registro del 08-10-2026, que pedía decidir copias diarias y semanales:</w:t>
      </w:r>
    </w:p>
    <w:p>
      <w:pPr>
        <w:pStyle w:val="Caption"/>
        <w:keepNext/>
        <w:spacing w:before="120" w:after="80"/>
      </w:pPr>
      <w:bookmarkStart w:id="5003" w:name="_Tab003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3</w:t>
      </w:r>
      <w:r>
        <w:fldChar w:fldCharType="end"/>
      </w:r>
      <w:r>
        <w:t xml:space="preserve">. </w:t>
      </w:r>
      <w:r>
        <w:t>Retención propuesta de las copias</w:t>
      </w:r>
      <w:bookmarkEnd w:id="5003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315"/>
        <w:gridCol w:w="2460"/>
        <w:gridCol w:w="4630"/>
      </w:tblGrid>
      <w:tr>
        <w:trPr>
          <w:cantSplit/>
          <w:tblHeader/>
        </w:trPr>
        <w:tc>
          <w:tcPr>
            <w:tcW w:type="dxa" w:w="2315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Copia</w:t>
            </w:r>
          </w:p>
        </w:tc>
        <w:tc>
          <w:tcPr>
            <w:tcW w:type="dxa" w:w="246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Se conserva</w:t>
            </w:r>
          </w:p>
        </w:tc>
        <w:tc>
          <w:tcPr>
            <w:tcW w:type="dxa" w:w="463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Dónde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Diaria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7 días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Servidor y PC de Nicolás</w:t>
            </w:r>
          </w:p>
        </w:tc>
      </w:tr>
      <w:tr>
        <w:trPr>
          <w:cantSplit/>
        </w:trPr>
        <w:tc>
          <w:tcPr>
            <w:tcW w:type="dxa" w:w="2315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Semanal</w:t>
            </w:r>
          </w:p>
        </w:tc>
        <w:tc>
          <w:tcPr>
            <w:tcW w:type="dxa" w:w="246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 semanas</w:t>
            </w:r>
          </w:p>
        </w:tc>
        <w:tc>
          <w:tcPr>
            <w:tcW w:type="dxa" w:w="463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PC de Nicolás</w:t>
            </w:r>
          </w:p>
        </w:tc>
      </w:tr>
      <w:tr>
        <w:trPr>
          <w:cantSplit/>
        </w:trPr>
        <w:tc>
          <w:tcPr>
            <w:tcW w:type="dxa" w:w="2315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Antes de un cambio de esquema</w:t>
            </w:r>
          </w:p>
        </w:tc>
        <w:tc>
          <w:tcPr>
            <w:tcW w:type="dxa" w:w="246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Hasta la siguiente copia semanal</w:t>
            </w:r>
          </w:p>
        </w:tc>
        <w:tc>
          <w:tcPr>
            <w:tcW w:type="dxa" w:w="463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Servidor</w:t>
            </w:r>
          </w:p>
        </w:tc>
      </w:tr>
    </w:tbl>
    <w:p>
      <w:pPr>
        <w:spacing w:after="40" w:line="192" w:lineRule="auto"/>
      </w:pPr>
    </w:p>
    <w:p>
      <w:r>
        <w:rPr>
          <w:b/>
          <w:color w:val="7A4A00"/>
          <w:highlight w:val="yellow"/>
        </w:rPr>
        <w:t>[POR CONFIRMAR: retención de las copias diarias y semanales — preguntar al equipo]</w:t>
      </w:r>
    </w:p>
    <w:p>
      <w:r>
        <w:t>La retención de las copias no puede superar la de los datos. Si un dato debe eliminarse al vencer sus 2 años (D-27), tampoco puede sobrevivir en una copia. La forma de conciliarlo está en el documento 18 (pendiente).</w:t>
      </w:r>
    </w:p>
    <w:p>
      <w:pPr>
        <w:pStyle w:val="Heading1"/>
      </w:pPr>
      <w:bookmarkStart w:id="1010" w:name="_Toc0010"/>
      <w:r>
        <w:t>7. Monitoreo</w:t>
      </w:r>
      <w:bookmarkEnd w:id="1010"/>
    </w:p>
    <w:p>
      <w:r>
        <w:rPr>
          <w:b/>
          <w:color w:val="8A2B0E"/>
        </w:rPr>
        <w:t>«Propuesta»</w:t>
      </w:r>
      <w:r>
        <w:t>: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El temporizador deja su resultado en el diario del sistema.</w:t>
      </w:r>
    </w:p>
    <w:p>
      <w:pPr>
        <w:pStyle w:val="Viñeta"/>
        <w:tabs>
          <w:tab w:pos="510" w:val="left"/>
        </w:tabs>
      </w:pPr>
      <w:r>
        <w:rPr>
          <w:color w:val="1F3A5F"/>
        </w:rPr>
        <w:t>•</w:t>
        <w:tab/>
      </w:r>
      <w:r>
        <w:t>Si el respaldo falla, se avisa al equipo por SOAR-NOTIFY, cuando exista.</w:t>
      </w:r>
    </w:p>
    <w:p>
      <w:pPr>
        <w:pStyle w:val="Viñeta"/>
        <w:tabs>
          <w:tab w:pos="510" w:val="left"/>
        </w:tabs>
        <w:spacing w:after="160"/>
      </w:pPr>
      <w:r>
        <w:rPr>
          <w:color w:val="1F3A5F"/>
        </w:rPr>
        <w:t>•</w:t>
        <w:tab/>
      </w:r>
      <w:r>
        <w:t>Al cerrar cada sprint se revisa la fecha de la última copia y la última restauración probada (documento 08).</w:t>
      </w:r>
    </w:p>
    <w:p>
      <w:pPr>
        <w:pStyle w:val="Heading1"/>
      </w:pPr>
      <w:bookmarkStart w:id="1011" w:name="_Toc0011"/>
      <w:r>
        <w:t>8. Objetivos de recuperación</w:t>
      </w:r>
      <w:bookmarkEnd w:id="1011"/>
    </w:p>
    <w:p>
      <w:pPr>
        <w:pStyle w:val="Caption"/>
        <w:keepNext/>
        <w:spacing w:before="120" w:after="80"/>
      </w:pPr>
      <w:bookmarkStart w:id="5004" w:name="_Tab004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>
        <w:t>RPO y RTO propuestos</w:t>
      </w:r>
      <w:bookmarkEnd w:id="5004"/>
    </w:p>
    <w:tbl>
      <w:tblPr>
        <w:tblW w:type="dxa" w:w="9406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bottom w:w="40" w:type="dxa"/>
          <w:left w:w="90" w:type="dxa"/>
          <w:right w:w="90" w:type="dxa"/>
        </w:tblCellMar>
        <w:tblLayout w:type="fixed"/>
      </w:tblPr>
      <w:tblGrid>
        <w:gridCol w:w="2170"/>
        <w:gridCol w:w="2170"/>
        <w:gridCol w:w="5065"/>
      </w:tblGrid>
      <w:tr>
        <w:trPr>
          <w:cantSplit/>
          <w:tblHeader/>
        </w:trPr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2170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Valor propuesto</w:t>
            </w:r>
          </w:p>
        </w:tc>
        <w:tc>
          <w:tcPr>
            <w:tcW w:type="dxa" w:w="5064"/>
            <w:vAlign w:val="center"/>
            <w:shd w:val="clear" w:color="auto" w:fill="1F3A5F"/>
          </w:tcPr>
          <w:p>
            <w:pPr>
              <w:pStyle w:val="Textodetabla"/>
            </w:pPr>
            <w:r>
              <w:rPr>
                <w:b/>
                <w:color w:val="FFFFFF"/>
                <w:sz w:val="19"/>
              </w:rPr>
              <w:t>Fundamento</w:t>
            </w:r>
          </w:p>
        </w:tc>
      </w:tr>
      <w:tr>
        <w:trPr>
          <w:cantSplit/>
        </w:trPr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RPO (pérdida máxima de datos)</w:t>
            </w:r>
          </w:p>
        </w:tc>
        <w:tc>
          <w:tcPr>
            <w:tcW w:type="dxa" w:w="2170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24 horas</w:t>
            </w:r>
          </w:p>
        </w:tc>
        <w:tc>
          <w:tcPr>
            <w:tcW w:type="dxa" w:w="5064"/>
            <w:vAlign w:val="top"/>
          </w:tcPr>
          <w:p>
            <w:pPr>
              <w:pStyle w:val="Textodetabla"/>
            </w:pPr>
            <w:r>
              <w:rPr>
                <w:sz w:val="19"/>
              </w:rPr>
              <w:t>Respaldo diario</w:t>
            </w:r>
          </w:p>
        </w:tc>
      </w:tr>
      <w:tr>
        <w:trPr>
          <w:cantSplit/>
        </w:trPr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RTO (tiempo máximo de recuperación)</w:t>
            </w:r>
          </w:p>
        </w:tc>
        <w:tc>
          <w:tcPr>
            <w:tcW w:type="dxa" w:w="2170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4 horas</w:t>
            </w:r>
          </w:p>
        </w:tc>
        <w:tc>
          <w:tcPr>
            <w:tcW w:type="dxa" w:w="5064"/>
            <w:vAlign w:val="top"/>
            <w:shd w:val="clear" w:color="auto" w:fill="F3F6FA"/>
          </w:tcPr>
          <w:p>
            <w:pPr>
              <w:pStyle w:val="Textodetabla"/>
            </w:pPr>
            <w:r>
              <w:rPr>
                <w:sz w:val="19"/>
              </w:rPr>
              <w:t>Reinstalación desde el repositorio, secretos del gestor y restauración de la última copia</w:t>
            </w:r>
          </w:p>
        </w:tc>
      </w:tr>
    </w:tbl>
    <w:p>
      <w:pPr>
        <w:spacing w:after="40" w:line="192" w:lineRule="auto"/>
      </w:pPr>
    </w:p>
    <w:p>
      <w:r>
        <w:t xml:space="preserve">Los dos valores son </w:t>
      </w:r>
      <w:r>
        <w:rPr>
          <w:b/>
          <w:color w:val="8A2B0E"/>
        </w:rPr>
        <w:t>«Propuesta»</w:t>
      </w:r>
      <w:r>
        <w:t xml:space="preserve">. </w:t>
      </w:r>
      <w:r>
        <w:rPr>
          <w:b/>
          <w:color w:val="7A4A00"/>
          <w:highlight w:val="yellow"/>
        </w:rPr>
        <w:t>[POR CONFIRMAR: RPO y RTO aceptados por el equipo — preguntar al equipo]</w:t>
      </w:r>
    </w:p>
    <w:p>
      <w:pPr>
        <w:pStyle w:val="Heading1"/>
      </w:pPr>
      <w:bookmarkStart w:id="1012" w:name="_Toc0012"/>
      <w:r>
        <w:t>9. Prueba de reinicio</w:t>
      </w:r>
      <w:bookmarkEnd w:id="1012"/>
    </w:p>
    <w:p>
      <w:r>
        <w:t>Relacionada con el respaldo, pero distinta: comprueba que el servidor se recupera solo de un reinicio, sin restaurar nada (R-02).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1.</w:t>
        <w:tab/>
      </w:r>
      <w:r>
        <w:t>Verificar que Docker está habilitado al arranque (</w:t>
      </w:r>
      <w:r>
        <w:rPr>
          <w:rFonts w:ascii="Consolas" w:hAnsi="Consolas"/>
          <w:sz w:val="19"/>
          <w:shd w:val="clear" w:color="auto" w:fill="F2F2F2"/>
        </w:rPr>
        <w:t>systemctl is-enabled docker</w:t>
      </w:r>
      <w:r>
        <w:t>).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2.</w:t>
        <w:tab/>
      </w:r>
      <w:r>
        <w:t>Reiniciar SOAR-CORE-01.</w:t>
      </w:r>
    </w:p>
    <w:p>
      <w:pPr>
        <w:pStyle w:val="Listanumerada"/>
        <w:tabs>
          <w:tab w:pos="510" w:val="left"/>
        </w:tabs>
      </w:pPr>
      <w:r>
        <w:rPr>
          <w:b/>
          <w:color w:val="1F3A5F"/>
        </w:rPr>
        <w:t>3.</w:t>
        <w:tab/>
      </w:r>
      <w:r>
        <w:t>Comprobar que los cinco contenedores vuelven solos y que la base responde su chequeo de salud.</w:t>
      </w:r>
    </w:p>
    <w:p>
      <w:pPr>
        <w:pStyle w:val="Listanumerada"/>
        <w:tabs>
          <w:tab w:pos="510" w:val="left"/>
        </w:tabs>
        <w:spacing w:after="160"/>
      </w:pPr>
      <w:r>
        <w:rPr>
          <w:b/>
          <w:color w:val="1F3A5F"/>
        </w:rPr>
        <w:t>4.</w:t>
        <w:tab/>
      </w:r>
      <w:r>
        <w:t>Verificar la cadena de la bitácora.</w:t>
      </w:r>
    </w:p>
    <w:p>
      <w:r>
        <w:t xml:space="preserve">Responsable: Nicolás, con Rodrigo para la base. Estado: </w:t>
      </w:r>
      <w:r>
        <w:rPr>
          <w:rFonts w:ascii="Segoe UI Emoji" w:hAnsi="Segoe UI Emoji"/>
        </w:rPr>
        <w:t>⏳</w:t>
      </w:r>
      <w:r>
        <w:t>.</w:t>
      </w:r>
    </w:p>
    <w:p>
      <w:pPr>
        <w:pStyle w:val="Heading1"/>
      </w:pPr>
      <w:bookmarkStart w:id="1013" w:name="_Toc0013"/>
      <w:r>
        <w:t>10. Fin del servicio</w:t>
      </w:r>
      <w:bookmarkEnd w:id="1013"/>
    </w:p>
    <w:p>
      <w:r>
        <w:t xml:space="preserve">El contrato del servidor termina el 10-12-2026. Qué pasa con los datos y las copias de la farmacia después de esa fecha está abierto (R-15) y se trata en el documento 18 (pendiente). </w:t>
      </w:r>
      <w:r>
        <w:rPr>
          <w:b/>
          <w:color w:val="7A4A00"/>
          <w:highlight w:val="yellow"/>
        </w:rPr>
        <w:t>[POR CONFIRMAR: destino de los datos y copias de la farmacia al terminar el contrato del servidor — preguntar al equipo]</w:t>
      </w:r>
    </w:p>
    <w:p>
      <w:pPr>
        <w:pStyle w:val="Heading1"/>
      </w:pPr>
      <w:bookmarkStart w:id="1014" w:name="_Toc0014"/>
      <w:r>
        <w:t>11. Referencias</w:t>
      </w:r>
      <w:bookmarkEnd w:id="1014"/>
    </w:p>
    <w:p>
      <w:pPr>
        <w:ind w:left="567" w:hanging="567"/>
      </w:pPr>
      <w:r>
        <w:rPr>
          <w:sz w:val="20"/>
        </w:rPr>
        <w:t xml:space="preserve">Ley N.° 21.663, Ley Marco de Ciberseguridad.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Ley N.° 21.719, que regula la protección y el tratamiento de los datos personales y crea la Agencia de Protección de Datos Personales. (2024). </w:t>
      </w:r>
      <w:r>
        <w:rPr>
          <w:i/>
          <w:sz w:val="20"/>
        </w:rPr>
        <w:t>Diario Oficial de la República de Chile</w:t>
      </w:r>
      <w:r>
        <w:rPr>
          <w:sz w:val="20"/>
        </w:rPr>
        <w:t>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Kronos AI — Contexto maestro para la redacción de documentos</w:t>
      </w:r>
      <w:r>
        <w:rPr>
          <w:sz w:val="20"/>
        </w:rPr>
        <w:t xml:space="preserve"> (versión 2.1, 14-10-2026) [Documento interno].</w:t>
      </w:r>
    </w:p>
    <w:p>
      <w:pPr>
        <w:ind w:left="567" w:hanging="567"/>
      </w:pPr>
      <w:r>
        <w:rPr>
          <w:sz w:val="20"/>
        </w:rPr>
        <w:t xml:space="preserve">Equipo Kronos AI. (2026). </w:t>
      </w:r>
      <w:r>
        <w:rPr>
          <w:i/>
          <w:sz w:val="20"/>
        </w:rPr>
        <w:t>soarai2026/kronos-ai</w:t>
      </w:r>
      <w:r>
        <w:rPr>
          <w:sz w:val="20"/>
        </w:rPr>
        <w:t xml:space="preserve"> [Repositorio privado, rama develop]. GitHub.</w:t>
      </w:r>
    </w:p>
    <w:p>
      <w:pPr>
        <w:ind w:left="567" w:hanging="567"/>
      </w:pPr>
      <w:r>
        <w:rPr>
          <w:sz w:val="20"/>
        </w:rPr>
        <w:t xml:space="preserve">Riveros, R. (2026). </w:t>
      </w:r>
      <w:r>
        <w:rPr>
          <w:i/>
          <w:sz w:val="20"/>
        </w:rPr>
        <w:t>Registro de trabajo KRO-LOG-RR-2026-10-08</w:t>
      </w:r>
      <w:r>
        <w:rPr>
          <w:sz w:val="20"/>
        </w:rPr>
        <w:t xml:space="preserve"> [Documento interno].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05" w:val="right"/>
      </w:tabs>
      <w:pBdr>
        <w:top w:val="single" w:sz="4" w:space="4" w:color="BFBFBF"/>
      </w:pBdr>
    </w:pPr>
    <w:r>
      <w:rPr>
        <w:color w:val="6B6B6B"/>
        <w:sz w:val="18"/>
      </w:rPr>
      <w:t>Uso interno · Versión 0.1</w:t>
    </w:r>
    <w:r>
      <w:rPr>
        <w:color w:val="6B6B6B"/>
        <w:sz w:val="18"/>
      </w:rPr>
      <w:tab/>
      <w:t xml:space="preserve">Página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PAGE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  <w:r>
      <w:rPr>
        <w:color w:val="6B6B6B"/>
        <w:sz w:val="18"/>
      </w:rPr>
      <w:t xml:space="preserve"> de </w:t>
    </w:r>
    <w:r>
      <w:rPr>
        <w:color w:val="6B6B6B"/>
        <w:sz w:val="18"/>
      </w:rPr>
      <w:fldChar w:fldCharType="begin"/>
    </w:r>
    <w:r>
      <w:rPr>
        <w:color w:val="6B6B6B"/>
        <w:sz w:val="18"/>
      </w:rPr>
      <w:instrText xml:space="preserve"> NUMPAGES </w:instrText>
    </w:r>
    <w:r>
      <w:rPr>
        <w:color w:val="6B6B6B"/>
        <w:sz w:val="18"/>
      </w:rPr>
      <w:fldChar w:fldCharType="separate"/>
    </w:r>
    <w:r>
      <w:rPr>
        <w:color w:val="6B6B6B"/>
        <w:sz w:val="18"/>
      </w:rPr>
      <w:t>1</w:t>
    </w:r>
    <w:r>
      <w:rPr>
        <w:color w:val="6B6B6B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05" w:val="right"/>
      </w:tabs>
      <w:pBdr>
        <w:bottom w:val="single" w:sz="4" w:space="4" w:color="BFBFBF"/>
      </w:pBdr>
    </w:pPr>
    <w:r>
      <w:rPr>
        <w:b/>
        <w:color w:val="1F3A5F"/>
        <w:sz w:val="18"/>
      </w:rPr>
      <w:t>Kronos AI</w:t>
    </w:r>
    <w:r>
      <w:rPr>
        <w:color w:val="6B6B6B"/>
        <w:sz w:val="18"/>
      </w:rPr>
      <w:tab/>
      <w:t>Documento 19 · Política de respaldo y retención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</w:pPr>
    <w:rPr>
      <w:rFonts w:ascii="Calibri" w:hAnsi="Calibri" w:eastAsia="Calibri"/>
      <w:sz w:val="22"/>
      <w:lang w:val="es-CL" w:eastAsia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40" w:lineRule="auto"/>
      <w:outlineLvl w:val="0"/>
      <w:pBdr>
        <w:bottom w:val="single" w:sz="6" w:space="4" w:color="1F3A5F"/>
      </w:pBdr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="Calibri" w:hAnsi="Calibri" w:eastAsia="Calibri" w:cs="Calibri"/>
      <w:b/>
      <w:bCs/>
      <w:i w:val="0"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</w:pPr>
    <w:rPr>
      <w:rFonts w:ascii="Calibri" w:hAnsi="Calibri"/>
      <w:b w:val="0"/>
      <w:bCs/>
      <w:i/>
      <w:color w:val="40404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basedOn w:val="Normal"/>
    <w:pPr>
      <w:keepLines/>
      <w:spacing w:line="240" w:lineRule="auto" w:after="160"/>
      <w:ind w:left="113" w:right="113"/>
      <w:shd w:val="clear" w:color="auto" w:fill="F2F2F2"/>
      <w:pBdr>
        <w:top w:val="single" w:sz="4" w:space="4" w:color="D9D9D9"/>
        <w:left w:val="single" w:sz="4" w:space="4" w:color="D9D9D9"/>
        <w:bottom w:val="single" w:sz="4" w:space="4" w:color="D9D9D9"/>
        <w:right w:val="single" w:sz="4" w:space="4" w:color="D9D9D9"/>
      </w:pBdr>
    </w:pPr>
    <w:rPr>
      <w:rFonts w:ascii="Consolas" w:hAnsi="Consolas" w:eastAsia="Consolas"/>
      <w:sz w:val="17"/>
    </w:rPr>
  </w:style>
  <w:style w:type="paragraph" w:customStyle="1" w:styleId="Nota">
    <w:name w:val="Nota"/>
    <w:basedOn w:val="Normal"/>
    <w:pPr>
      <w:spacing w:before="80" w:after="160"/>
      <w:ind w:left="170" w:right="113"/>
      <w:shd w:val="clear" w:color="auto" w:fill="EEF3F8"/>
      <w:pBdr>
        <w:left w:val="single" w:sz="24" w:space="6" w:color="1F3A5F"/>
      </w:pBdr>
    </w:pPr>
    <w:rPr>
      <w:sz w:val="20"/>
    </w:rPr>
  </w:style>
  <w:style w:type="paragraph" w:customStyle="1" w:styleId="Textodetabla">
    <w:name w:val="Texto de tabla"/>
    <w:basedOn w:val="Normal"/>
    <w:pPr>
      <w:spacing w:after="0" w:before="0" w:line="240" w:lineRule="auto"/>
    </w:pPr>
    <w:rPr>
      <w:sz w:val="19"/>
    </w:rPr>
  </w:style>
  <w:style w:type="paragraph" w:customStyle="1" w:styleId="Viñeta">
    <w:name w:val="Viñeta"/>
    <w:basedOn w:val="Normal"/>
    <w:pPr>
      <w:spacing w:after="60"/>
      <w:ind w:left="510" w:hanging="255"/>
    </w:pPr>
  </w:style>
  <w:style w:type="paragraph" w:customStyle="1" w:styleId="Viñeta2">
    <w:name w:val="Viñeta 2"/>
    <w:basedOn w:val="Viñeta"/>
    <w:pPr>
      <w:ind w:left="907" w:hanging="255"/>
    </w:pPr>
  </w:style>
  <w:style w:type="paragraph" w:customStyle="1" w:styleId="TOC1">
    <w:name w:val="TOC 1"/>
    <w:basedOn w:val="Normal"/>
    <w:pPr>
      <w:tabs>
        <w:tab w:pos="9405" w:val="right" w:leader="dot"/>
      </w:tabs>
      <w:spacing w:after="80" w:before="80"/>
      <w:ind w:left="0"/>
    </w:pPr>
    <w:rPr>
      <w:b/>
      <w:sz w:val="21"/>
    </w:rPr>
  </w:style>
  <w:style w:type="paragraph" w:customStyle="1" w:styleId="TOC2">
    <w:name w:val="TOC 2"/>
    <w:basedOn w:val="Normal"/>
    <w:pPr>
      <w:tabs>
        <w:tab w:pos="9405" w:val="right" w:leader="dot"/>
      </w:tabs>
      <w:spacing w:after="40" w:before="0"/>
      <w:ind w:left="340"/>
    </w:pPr>
    <w:rPr>
      <w:b w:val="0"/>
      <w:sz w:val="20"/>
    </w:rPr>
  </w:style>
  <w:style w:type="paragraph" w:customStyle="1" w:styleId="TOC3">
    <w:name w:val="TOC 3"/>
    <w:basedOn w:val="Normal"/>
    <w:pPr>
      <w:tabs>
        <w:tab w:pos="9405" w:val="right" w:leader="dot"/>
      </w:tabs>
      <w:spacing w:after="40" w:before="0"/>
      <w:ind w:left="680"/>
    </w:pPr>
    <w:rPr>
      <w:b w:val="0"/>
      <w:sz w:val="20"/>
    </w:rPr>
  </w:style>
  <w:style w:type="paragraph" w:customStyle="1" w:styleId="TableofFigures">
    <w:name w:val="Table of Figures"/>
    <w:basedOn w:val="Normal"/>
    <w:pPr>
      <w:tabs>
        <w:tab w:pos="9405" w:val="right" w:leader="dot"/>
      </w:tabs>
      <w:spacing w:after="40"/>
    </w:pPr>
    <w:rPr>
      <w:sz w:val="20"/>
    </w:rPr>
  </w:style>
  <w:style w:type="paragraph" w:customStyle="1" w:styleId="Listanumerada">
    <w:name w:val="Lista numerada"/>
    <w:basedOn w:val="Viñeta"/>
    <w:pPr>
      <w:ind w:left="510" w:hanging="3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 · Política de respaldo y retención</dc:title>
  <dc:subject>Kronos AI</dc:subject>
  <dc:creator>Equipo Kronos AI</dc:creator>
  <cp:keywords>Kronos AI; Capstone; DUOC UC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