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</w:pPr>
      <w:r>
        <w:rPr>
          <w:b/>
          <w:color w:val="1F3A5F"/>
          <w:sz w:val="60"/>
        </w:rPr>
        <w:t>KRONOS AI</w:t>
      </w:r>
    </w:p>
    <w:p>
      <w:pPr>
        <w:pBdr>
          <w:bottom w:val="single" w:sz="12" w:space="8" w:color="1F3A5F"/>
        </w:pBdr>
      </w:pPr>
      <w:r>
        <w:rPr>
          <w:color w:val="6B6B6B"/>
          <w:sz w:val="24"/>
        </w:rPr>
        <w:t>SOAR con clasificación de incidentes asistida por IA bajo control determinista</w:t>
      </w:r>
    </w:p>
    <w:p>
      <w:pPr>
        <w:spacing w:before="1800"/>
      </w:pPr>
      <w:r>
        <w:rPr>
          <w:b/>
          <w:color w:val="404040"/>
          <w:sz w:val="28"/>
        </w:rPr>
        <w:t>Documento 06</w:t>
      </w:r>
    </w:p>
    <w:p>
      <w:pPr>
        <w:spacing w:after="120"/>
      </w:pPr>
      <w:r>
        <w:rPr>
          <w:b/>
          <w:color w:val="1F3A5F"/>
          <w:sz w:val="52"/>
        </w:rPr>
        <w:t>Plan de calidad</w:t>
      </w:r>
    </w:p>
    <w:p>
      <w:r>
        <w:rPr>
          <w:i/>
          <w:color w:val="404040"/>
          <w:sz w:val="23"/>
        </w:rPr>
        <w:t>Objetivos de calidad medibles, actividades de aseguramiento, validación y verificación, responsables, registros y tratamiento de no conformidades.</w:t>
      </w:r>
    </w:p>
    <w:p>
      <w:pPr>
        <w:spacing w:before="360"/>
      </w:pPr>
      <w:r>
        <w:rPr>
          <w:color w:val="404040"/>
          <w:sz w:val="22"/>
        </w:rPr>
        <w:t>Versión 0.1 (borrador) · 14-10-2026</w:t>
      </w:r>
    </w:p>
    <w:p>
      <w:pPr>
        <w:spacing w:before="2400" w:after="40"/>
        <w:pBdr>
          <w:top w:val="single" w:sz="4" w:space="8" w:color="BFBFBF"/>
        </w:pBdr>
      </w:pPr>
      <w:r>
        <w:rPr>
          <w:b/>
          <w:color w:val="1F3A5F"/>
          <w:sz w:val="21"/>
        </w:rPr>
        <w:t xml:space="preserve">Integrantes: </w:t>
      </w:r>
      <w:r>
        <w:rPr>
          <w:sz w:val="21"/>
        </w:rPr>
        <w:t>Nicolás Zamora · Rodrigo Riveros · Patricio González</w:t>
      </w:r>
    </w:p>
    <w:p>
      <w:pPr>
        <w:spacing w:after="40"/>
      </w:pPr>
      <w:r>
        <w:rPr>
          <w:b/>
          <w:color w:val="1F3A5F"/>
          <w:sz w:val="21"/>
        </w:rPr>
        <w:t xml:space="preserve">Profesor guía: </w:t>
      </w:r>
      <w:r>
        <w:rPr>
          <w:sz w:val="21"/>
        </w:rPr>
        <w:t>Ceferino Aníbal Sotelo Becerra</w:t>
      </w:r>
    </w:p>
    <w:p>
      <w:pPr>
        <w:spacing w:after="40"/>
      </w:pPr>
      <w:r>
        <w:rPr>
          <w:b/>
          <w:color w:val="1F3A5F"/>
          <w:sz w:val="21"/>
        </w:rPr>
        <w:t xml:space="preserve">Asignatura: </w:t>
      </w:r>
      <w:r>
        <w:rPr>
          <w:sz w:val="21"/>
        </w:rPr>
        <w:t>Capstone — Portafolio de Título</w:t>
      </w:r>
    </w:p>
    <w:p>
      <w:pPr>
        <w:spacing w:after="40"/>
      </w:pPr>
      <w:r>
        <w:rPr>
          <w:b/>
          <w:color w:val="1F3A5F"/>
          <w:sz w:val="21"/>
        </w:rPr>
        <w:t xml:space="preserve">Carrera: </w:t>
      </w:r>
      <w:r>
        <w:rPr>
          <w:sz w:val="21"/>
        </w:rPr>
        <w:t>Ingeniería en Informática</w:t>
      </w:r>
    </w:p>
    <w:p>
      <w:pPr>
        <w:spacing w:after="40"/>
      </w:pPr>
      <w:r>
        <w:rPr>
          <w:b/>
          <w:color w:val="1F3A5F"/>
          <w:sz w:val="21"/>
        </w:rPr>
        <w:t xml:space="preserve">Institución: </w:t>
      </w:r>
      <w:r>
        <w:rPr>
          <w:sz w:val="21"/>
        </w:rPr>
        <w:t>DUOC UC, sede Padre Alonso de Ovalle, Santiago</w:t>
      </w:r>
    </w:p>
    <w:p>
      <w:pPr>
        <w:spacing w:after="0"/>
      </w:pPr>
      <w:r>
        <w:br w:type="page"/>
      </w:r>
    </w:p>
    <w:p>
      <w:pPr>
        <w:keepNext/>
        <w:spacing w:after="160" w:before="0"/>
      </w:pPr>
      <w:r>
        <w:rPr>
          <w:b/>
          <w:color w:val="1F3A5F"/>
          <w:sz w:val="32"/>
        </w:rPr>
        <w:t>Control del documento</w:t>
      </w:r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268"/>
        <w:gridCol w:w="7138"/>
      </w:tblGrid>
      <w:tr>
        <w:trPr>
          <w:cantSplit/>
          <w:tblHeader/>
        </w:trPr>
        <w:tc>
          <w:tcPr>
            <w:tcW w:type="dxa" w:w="226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713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Documento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06 · Plan de calidad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Proyecto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Kronos AI — SOAR con clasificación asistida por IA bajo control determinista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Versión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0.1 (borrador)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Fecha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2026-10-14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Autor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Patricio González (redacción asistida por IA)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Revisor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Por asignar en la revisión del PR (otro integrante, distinto del autor)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Estado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Borrador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Base bibliográfica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Pantaleo y Rinaudo, 5.10.2; caps. 22 y 24; cap. 25 como referencia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Archivo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docs/entregables/06_calidad.docx</w:t>
            </w:r>
          </w:p>
        </w:tc>
      </w:tr>
    </w:tbl>
    <w:p>
      <w:pPr>
        <w:spacing w:after="40" w:line="192" w:lineRule="auto"/>
      </w:pPr>
    </w:p>
    <w:p>
      <w:pPr>
        <w:keepNext/>
        <w:spacing w:after="160" w:before="120"/>
      </w:pPr>
      <w:r>
        <w:rPr>
          <w:b/>
          <w:color w:val="1F3A5F"/>
          <w:sz w:val="26"/>
        </w:rPr>
        <w:t>Historial de versiones</w:t>
      </w:r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1020"/>
        <w:gridCol w:w="1360"/>
        <w:gridCol w:w="2608"/>
        <w:gridCol w:w="4416"/>
      </w:tblGrid>
      <w:tr>
        <w:trPr>
          <w:cantSplit/>
          <w:tblHeader/>
        </w:trPr>
        <w:tc>
          <w:tcPr>
            <w:tcW w:type="dxa" w:w="1020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Versión</w:t>
            </w:r>
          </w:p>
        </w:tc>
        <w:tc>
          <w:tcPr>
            <w:tcW w:type="dxa" w:w="136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260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Autor</w:t>
            </w:r>
          </w:p>
        </w:tc>
        <w:tc>
          <w:tcPr>
            <w:tcW w:type="dxa" w:w="4416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Cambios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0.1</w:t>
            </w:r>
          </w:p>
        </w:tc>
        <w:tc>
          <w:tcPr>
            <w:tcW w:type="dxa" w:w="136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2026-10-14</w:t>
            </w:r>
          </w:p>
        </w:tc>
        <w:tc>
          <w:tcPr>
            <w:tcW w:type="dxa" w:w="260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Patricio González</w:t>
            </w:r>
          </w:p>
        </w:tc>
        <w:tc>
          <w:tcPr>
            <w:tcW w:type="dxa" w:w="441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Primera versión para la entrega del 16-10-2026</w:t>
            </w:r>
          </w:p>
        </w:tc>
      </w:tr>
    </w:tbl>
    <w:p>
      <w:pPr>
        <w:spacing w:after="40" w:line="192" w:lineRule="auto"/>
      </w:pPr>
    </w:p>
    <w:p>
      <w:pPr>
        <w:keepNext/>
        <w:spacing w:after="160" w:before="120"/>
      </w:pPr>
      <w:r>
        <w:rPr>
          <w:b/>
          <w:color w:val="1F3A5F"/>
          <w:sz w:val="26"/>
        </w:rPr>
        <w:t>Cómo leer este documento</w:t>
      </w:r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041"/>
        <w:gridCol w:w="7365"/>
      </w:tblGrid>
      <w:tr>
        <w:trPr>
          <w:cantSplit/>
          <w:tblHeader/>
        </w:trPr>
        <w:tc>
          <w:tcPr>
            <w:tcW w:type="dxa" w:w="204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Marca</w:t>
            </w:r>
          </w:p>
        </w:tc>
        <w:tc>
          <w:tcPr>
            <w:tcW w:type="dxa" w:w="7364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Significado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Verificado</w:t>
            </w:r>
          </w:p>
        </w:tc>
        <w:tc>
          <w:tcPr>
            <w:tcW w:type="dxa" w:w="736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Hay evidencia en el repositorio, en la salida de una terminal o en un documento del equipo.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🟡</w:t>
            </w:r>
            <w:r>
              <w:rPr>
                <w:sz w:val="19"/>
              </w:rPr>
              <w:t xml:space="preserve"> Informado</w:t>
            </w:r>
          </w:p>
        </w:tc>
        <w:tc>
          <w:tcPr>
            <w:tcW w:type="dxa" w:w="736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Lo dice un documento o una herramienta, pero no se ha comprobado o la fuente es antigua.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Pendiente</w:t>
            </w:r>
          </w:p>
        </w:tc>
        <w:tc>
          <w:tcPr>
            <w:tcW w:type="dxa" w:w="736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Está decidido hacerlo, pero no se ha hecho.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❓</w:t>
            </w:r>
            <w:r>
              <w:rPr>
                <w:sz w:val="19"/>
              </w:rPr>
              <w:t xml:space="preserve"> Por confirmar</w:t>
            </w:r>
          </w:p>
        </w:tc>
        <w:tc>
          <w:tcPr>
            <w:tcW w:type="dxa" w:w="736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Falta el dato. No se inventa: se marca </w:t>
            </w:r>
            <w:r>
              <w:rPr>
                <w:b/>
                <w:color w:val="7A4A00"/>
                <w:sz w:val="19"/>
                <w:highlight w:val="yellow"/>
              </w:rPr>
              <w:t>[POR CONFIRMAR: …]</w:t>
            </w:r>
            <w:r>
              <w:rPr>
                <w:sz w:val="19"/>
              </w:rPr>
              <w:t xml:space="preserve"> y se agrega a docs/00-indice/preguntas-abiertas.md.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pStyle w:val="Textodetabla"/>
            </w:pPr>
            <w:r>
              <w:rPr>
                <w:b/>
                <w:color w:val="004D40"/>
                <w:sz w:val="19"/>
                <w:highlight w:val="cyan"/>
              </w:rPr>
              <w:t>[PENDIENTE: …]</w:t>
            </w:r>
          </w:p>
        </w:tc>
        <w:tc>
          <w:tcPr>
            <w:tcW w:type="dxa" w:w="736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Depende de la instalación en la farmacia (D-28); se lista en docs/00-indice/pendientes-farmacia.md.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b/>
                <w:color w:val="8A2B0E"/>
                <w:sz w:val="19"/>
              </w:rPr>
              <w:t>«Propuesta»</w:t>
            </w:r>
          </w:p>
        </w:tc>
        <w:tc>
          <w:tcPr>
            <w:tcW w:type="dxa" w:w="736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Lo propone la redacción y el equipo aún no lo decide.</w:t>
            </w:r>
          </w:p>
        </w:tc>
      </w:tr>
    </w:tbl>
    <w:p>
      <w:pPr>
        <w:spacing w:after="40" w:line="192" w:lineRule="auto"/>
      </w:pPr>
    </w:p>
    <w:p>
      <w:r>
        <w:rPr>
          <w:sz w:val="19"/>
        </w:rPr>
        <w:t>Los documentos se identifican por su número y su nombre. Las remisiones a otro documento se escriben «documento NN (Nombre)». Este documento no contiene secretos, contraseñas, llaves, tokens, direcciones IP reales ni datos que identifiquen a la farmacia o a su personal.</w:t>
      </w:r>
    </w:p>
    <w:p>
      <w:pPr>
        <w:spacing w:after="0"/>
      </w:pPr>
      <w:r>
        <w:br w:type="page"/>
      </w:r>
    </w:p>
    <w:p>
      <w:pPr>
        <w:keepNext/>
        <w:spacing w:after="160" w:before="0"/>
      </w:pPr>
      <w:r>
        <w:rPr>
          <w:b/>
          <w:color w:val="1F3A5F"/>
          <w:sz w:val="32"/>
        </w:rPr>
        <w:t>Índice</w:t>
      </w:r>
    </w:p>
    <w:p>
      <w:pPr>
        <w:pStyle w:val="TOC1"/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0001" w:history="1">
        <w:r>
          <w:rPr/>
          <w:t xml:space="preserve">1. Propósito y alcance</w:t>
        </w:r>
        <w:r>
          <w:rPr/>
          <w:tab/>
        </w:r>
        <w:r>
          <w:rPr/>
          <w:t xml:space="preserve">4</w:t>
        </w:r>
      </w:hyperlink>
    </w:p>
    <w:p>
      <w:pPr>
        <w:pStyle w:val="TOC1"/>
      </w:pPr>
      <w:hyperlink w:anchor="_Toc0002" w:history="1">
        <w:r>
          <w:rPr/>
          <w:t xml:space="preserve">2. Política de calidad</w:t>
        </w:r>
        <w:r>
          <w:rPr/>
          <w:tab/>
        </w:r>
        <w:r>
          <w:rPr/>
          <w:t xml:space="preserve">4</w:t>
        </w:r>
      </w:hyperlink>
    </w:p>
    <w:p>
      <w:pPr>
        <w:pStyle w:val="TOC1"/>
      </w:pPr>
      <w:hyperlink w:anchor="_Toc0003" w:history="1">
        <w:r>
          <w:rPr/>
          <w:t xml:space="preserve">3. Objetivos de calidad</w:t>
        </w:r>
        <w:r>
          <w:rPr/>
          <w:tab/>
        </w:r>
        <w:r>
          <w:rPr/>
          <w:t xml:space="preserve">4</w:t>
        </w:r>
      </w:hyperlink>
    </w:p>
    <w:p>
      <w:pPr>
        <w:pStyle w:val="TOC1"/>
      </w:pPr>
      <w:hyperlink w:anchor="_Toc0004" w:history="1">
        <w:r>
          <w:rPr/>
          <w:t xml:space="preserve">4. Actividades de aseguramiento</w:t>
        </w:r>
        <w:r>
          <w:rPr/>
          <w:tab/>
        </w:r>
        <w:r>
          <w:rPr/>
          <w:t xml:space="preserve">5</w:t>
        </w:r>
      </w:hyperlink>
    </w:p>
    <w:p>
      <w:pPr>
        <w:pStyle w:val="TOC1"/>
      </w:pPr>
      <w:hyperlink w:anchor="_Toc0005" w:history="1">
        <w:r>
          <w:rPr/>
          <w:t xml:space="preserve">5. Validación y verificación</w:t>
        </w:r>
        <w:r>
          <w:rPr/>
          <w:tab/>
        </w:r>
        <w:r>
          <w:rPr/>
          <w:t xml:space="preserve">5</w:t>
        </w:r>
      </w:hyperlink>
    </w:p>
    <w:p>
      <w:pPr>
        <w:pStyle w:val="TOC1"/>
      </w:pPr>
      <w:hyperlink w:anchor="_Toc0006" w:history="1">
        <w:r>
          <w:rPr/>
          <w:t xml:space="preserve">6. Responsables</w:t>
        </w:r>
        <w:r>
          <w:rPr/>
          <w:tab/>
        </w:r>
        <w:r>
          <w:rPr/>
          <w:t xml:space="preserve">6</w:t>
        </w:r>
      </w:hyperlink>
    </w:p>
    <w:p>
      <w:pPr>
        <w:pStyle w:val="TOC1"/>
      </w:pPr>
      <w:hyperlink w:anchor="_Toc0007" w:history="1">
        <w:r>
          <w:rPr/>
          <w:t xml:space="preserve">7. Registros de calidad</w:t>
        </w:r>
        <w:r>
          <w:rPr/>
          <w:tab/>
        </w:r>
        <w:r>
          <w:rPr/>
          <w:t xml:space="preserve">6</w:t>
        </w:r>
      </w:hyperlink>
    </w:p>
    <w:p>
      <w:pPr>
        <w:pStyle w:val="TOC1"/>
      </w:pPr>
      <w:hyperlink w:anchor="_Toc0008" w:history="1">
        <w:r>
          <w:rPr/>
          <w:t xml:space="preserve">8. No conformidades</w:t>
        </w:r>
        <w:r>
          <w:rPr/>
          <w:tab/>
        </w:r>
        <w:r>
          <w:rPr/>
          <w:t xml:space="preserve">6</w:t>
        </w:r>
      </w:hyperlink>
    </w:p>
    <w:p>
      <w:pPr>
        <w:pStyle w:val="TOC1"/>
      </w:pPr>
      <w:hyperlink w:anchor="_Toc0009" w:history="1">
        <w:r>
          <w:rPr/>
          <w:t xml:space="preserve">9. Marcos de referencia</w:t>
        </w:r>
        <w:r>
          <w:rPr/>
          <w:tab/>
        </w:r>
        <w:r>
          <w:rPr/>
          <w:t xml:space="preserve">8</w:t>
        </w:r>
      </w:hyperlink>
    </w:p>
    <w:p>
      <w:pPr>
        <w:pStyle w:val="TOC1"/>
      </w:pPr>
      <w:hyperlink w:anchor="_Toc0010" w:history="1">
        <w:r>
          <w:rPr/>
          <w:t xml:space="preserve">10. Referencias</w:t>
        </w:r>
        <w:r>
          <w:rPr/>
          <w:tab/>
        </w:r>
        <w:r>
          <w:rPr/>
          <w:t xml:space="preserve">8</w:t>
        </w:r>
      </w:hyperlink>
      <w:r>
        <w:fldChar w:fldCharType="end"/>
      </w:r>
    </w:p>
    <w:p>
      <w:pPr>
        <w:keepNext/>
        <w:spacing w:after="160" w:before="120"/>
      </w:pPr>
      <w:r>
        <w:rPr>
          <w:b/>
          <w:color w:val="1F3A5F"/>
          <w:sz w:val="26"/>
        </w:rPr>
        <w:t>Índice de tablas</w:t>
      </w:r>
    </w:p>
    <w:p>
      <w:pPr>
        <w:pStyle w:val="TableofFigures"/>
      </w:pPr>
      <w:r>
        <w:fldChar w:fldCharType="begin"/>
      </w:r>
      <w:r>
        <w:instrText xml:space="preserve"> TOC \h \z \c "Tabla" </w:instrText>
      </w:r>
      <w:r>
        <w:fldChar w:fldCharType="separate"/>
      </w:r>
      <w:hyperlink w:anchor="_Tab001" w:history="1">
        <w:r>
          <w:rPr/>
          <w:t xml:space="preserve">Tabla 1. Objetivos de calidad medibles</w:t>
        </w:r>
        <w:r>
          <w:rPr/>
          <w:tab/>
        </w:r>
        <w:r>
          <w:rPr/>
          <w:t xml:space="preserve">4</w:t>
        </w:r>
      </w:hyperlink>
    </w:p>
    <w:p>
      <w:pPr>
        <w:pStyle w:val="TableofFigures"/>
      </w:pPr>
      <w:hyperlink w:anchor="_Tab002" w:history="1">
        <w:r>
          <w:rPr/>
          <w:t xml:space="preserve">Tabla 2. Actividades de aseguramiento de la calidad</w:t>
        </w:r>
        <w:r>
          <w:rPr/>
          <w:tab/>
        </w:r>
        <w:r>
          <w:rPr/>
          <w:t xml:space="preserve">5</w:t>
        </w:r>
      </w:hyperlink>
    </w:p>
    <w:p>
      <w:pPr>
        <w:pStyle w:val="TableofFigures"/>
      </w:pPr>
      <w:hyperlink w:anchor="_Tab003" w:history="1">
        <w:r>
          <w:rPr/>
          <w:t xml:space="preserve">Tabla 3. Validación y verificación en Kronos</w:t>
        </w:r>
        <w:r>
          <w:rPr/>
          <w:tab/>
        </w:r>
        <w:r>
          <w:rPr/>
          <w:t xml:space="preserve">5</w:t>
        </w:r>
      </w:hyperlink>
    </w:p>
    <w:p>
      <w:pPr>
        <w:pStyle w:val="TableofFigures"/>
      </w:pPr>
      <w:hyperlink w:anchor="_Tab004" w:history="1">
        <w:r>
          <w:rPr/>
          <w:t xml:space="preserve">Tabla 4. Responsables de la calidad</w:t>
        </w:r>
        <w:r>
          <w:rPr/>
          <w:tab/>
        </w:r>
        <w:r>
          <w:rPr/>
          <w:t xml:space="preserve">6</w:t>
        </w:r>
      </w:hyperlink>
    </w:p>
    <w:p>
      <w:pPr>
        <w:pStyle w:val="TableofFigures"/>
      </w:pPr>
      <w:hyperlink w:anchor="_Tab005" w:history="1">
        <w:r>
          <w:rPr/>
          <w:t xml:space="preserve">Tabla 5. Registros que demuestran la calidad</w:t>
        </w:r>
        <w:r>
          <w:rPr/>
          <w:tab/>
        </w:r>
        <w:r>
          <w:rPr/>
          <w:t xml:space="preserve">6</w:t>
        </w:r>
      </w:hyperlink>
    </w:p>
    <w:p>
      <w:pPr>
        <w:pStyle w:val="TableofFigures"/>
      </w:pPr>
      <w:hyperlink w:anchor="_Tab006" w:history="1">
        <w:r>
          <w:rPr/>
          <w:t xml:space="preserve">Tabla 6. No conformidades abiertas al 14-10-2026</w:t>
        </w:r>
        <w:r>
          <w:rPr/>
          <w:tab/>
        </w:r>
        <w:r>
          <w:rPr/>
          <w:t xml:space="preserve">7</w:t>
        </w:r>
      </w:hyperlink>
      <w:r>
        <w:fldChar w:fldCharType="end"/>
      </w:r>
    </w:p>
    <w:p>
      <w:pPr>
        <w:spacing w:after="0"/>
      </w:pPr>
      <w:r>
        <w:br w:type="page"/>
      </w:r>
    </w:p>
    <w:p>
      <w:pPr>
        <w:pStyle w:val="Heading1"/>
      </w:pPr>
      <w:bookmarkStart w:id="1001" w:name="_Toc0001"/>
      <w:r>
        <w:t>1. Propósito y alcance</w:t>
      </w:r>
      <w:bookmarkEnd w:id="1001"/>
    </w:p>
    <w:p>
      <w:r>
        <w:t>Este plan define qué significa «calidad» para Kronos AI, cómo se mide y quién la cuida. Cubre el producto (lo que Kronos hace) y el proceso (cómo lo construye el equipo).</w:t>
      </w:r>
    </w:p>
    <w:p>
      <w:r>
        <w:t>Las métricas, con su fórmula, fuente y frecuencia, están en el documento 07 (Plan de métricas y medición). La estrategia de pruebas está en el documento 15 (Plan de pruebas de software).</w:t>
      </w:r>
    </w:p>
    <w:p>
      <w:r>
        <w:t xml:space="preserve">El libro separa dos preguntas. La </w:t>
      </w:r>
      <w:r>
        <w:rPr>
          <w:b/>
        </w:rPr>
        <w:t>validación</w:t>
      </w:r>
      <w:r>
        <w:t xml:space="preserve"> comprueba que se construye el producto correcto, el que el cliente necesita. La </w:t>
      </w:r>
      <w:r>
        <w:rPr>
          <w:b/>
        </w:rPr>
        <w:t>verificación</w:t>
      </w:r>
      <w:r>
        <w:t xml:space="preserve"> comprueba que se construye bien, según su especificación (Pantaleo y Rinaudo, cap. 22). Un plan de calidad fija objetivos medibles, las actividades que los aseguran y los registros que lo demuestran (Pantaleo y Rinaudo, 5.10.2 y cap. 24).</w:t>
      </w:r>
    </w:p>
    <w:p>
      <w:pPr>
        <w:pStyle w:val="Heading1"/>
      </w:pPr>
      <w:bookmarkStart w:id="1002" w:name="_Toc0002"/>
      <w:r>
        <w:t>2. Política de calidad</w:t>
      </w:r>
      <w:bookmarkEnd w:id="1002"/>
    </w:p>
    <w:p>
      <w:r>
        <w:t xml:space="preserve">En Kronos, la calidad se ordena por la misma prioridad que la arquitectura: </w:t>
      </w:r>
      <w:r>
        <w:rPr>
          <w:b/>
        </w:rPr>
        <w:t>seguridad y auditabilidad antes que rendimiento y disponibilidad</w:t>
      </w:r>
      <w:r>
        <w:t>. Un Kronos lento pero seguro es aceptable. Un Kronos rápido que contiene un equipo por error no lo es.</w:t>
      </w:r>
    </w:p>
    <w:p>
      <w:pPr>
        <w:pStyle w:val="Heading1"/>
      </w:pPr>
      <w:bookmarkStart w:id="1003" w:name="_Toc0003"/>
      <w:r>
        <w:t>3. Objetivos de calidad</w:t>
      </w:r>
      <w:bookmarkEnd w:id="1003"/>
    </w:p>
    <w:p>
      <w:pPr>
        <w:pStyle w:val="Caption"/>
        <w:keepNext/>
        <w:spacing w:before="120" w:after="80"/>
      </w:pPr>
      <w:bookmarkStart w:id="5001" w:name="_Tab001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1</w:t>
      </w:r>
      <w:r>
        <w:fldChar w:fldCharType="end"/>
      </w:r>
      <w:r>
        <w:t xml:space="preserve">. </w:t>
      </w:r>
      <w:r>
        <w:t>Objetivos de calidad medibles</w:t>
      </w:r>
      <w:bookmarkEnd w:id="5001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506"/>
        <w:gridCol w:w="3328"/>
        <w:gridCol w:w="2315"/>
        <w:gridCol w:w="1808"/>
        <w:gridCol w:w="1447"/>
      </w:tblGrid>
      <w:tr>
        <w:trPr>
          <w:cantSplit/>
          <w:tblHeader/>
        </w:trPr>
        <w:tc>
          <w:tcPr>
            <w:tcW w:type="dxa" w:w="506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32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Objetivo</w:t>
            </w:r>
          </w:p>
        </w:tc>
        <w:tc>
          <w:tcPr>
            <w:tcW w:type="dxa" w:w="2315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Meta</w:t>
            </w:r>
          </w:p>
        </w:tc>
        <w:tc>
          <w:tcPr>
            <w:tcW w:type="dxa" w:w="1809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Cómo se verifica</w:t>
            </w:r>
          </w:p>
        </w:tc>
        <w:tc>
          <w:tcPr>
            <w:tcW w:type="dxa" w:w="1447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Estado al 14-10</w:t>
            </w:r>
          </w:p>
        </w:tc>
      </w:tr>
      <w:tr>
        <w:trPr>
          <w:cantSplit/>
        </w:trPr>
        <w:tc>
          <w:tcPr>
            <w:tcW w:type="dxa" w:w="50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OC1</w:t>
            </w:r>
          </w:p>
        </w:tc>
        <w:tc>
          <w:tcPr>
            <w:tcW w:type="dxa" w:w="332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PR con los tres checks en verde</w:t>
            </w:r>
          </w:p>
        </w:tc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100 %</w:t>
            </w:r>
          </w:p>
        </w:tc>
        <w:tc>
          <w:tcPr>
            <w:tcW w:type="dxa" w:w="180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GitHub</w:t>
            </w:r>
          </w:p>
        </w:tc>
        <w:tc>
          <w:tcPr>
            <w:tcW w:type="dxa" w:w="1447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7 de 7</w:t>
            </w:r>
          </w:p>
        </w:tc>
      </w:tr>
      <w:tr>
        <w:trPr>
          <w:cantSplit/>
        </w:trPr>
        <w:tc>
          <w:tcPr>
            <w:tcW w:type="dxa" w:w="50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OC2</w:t>
            </w:r>
          </w:p>
        </w:tc>
        <w:tc>
          <w:tcPr>
            <w:tcW w:type="dxa" w:w="332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PR revisados por otro integrante</w:t>
            </w:r>
          </w:p>
        </w:tc>
        <w:tc>
          <w:tcPr>
            <w:tcW w:type="dxa" w:w="231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100 %</w:t>
            </w:r>
          </w:p>
        </w:tc>
        <w:tc>
          <w:tcPr>
            <w:tcW w:type="dxa" w:w="180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Revisiones registradas en GitHub</w:t>
            </w:r>
          </w:p>
        </w:tc>
        <w:tc>
          <w:tcPr>
            <w:tcW w:type="dxa" w:w="144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⚠</w:t>
            </w:r>
            <w:r>
              <w:rPr>
                <w:sz w:val="19"/>
              </w:rPr>
              <w:t xml:space="preserve"> 0 de 6 integrados</w:t>
            </w:r>
          </w:p>
        </w:tc>
      </w:tr>
      <w:tr>
        <w:trPr>
          <w:cantSplit/>
        </w:trPr>
        <w:tc>
          <w:tcPr>
            <w:tcW w:type="dxa" w:w="50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OC3</w:t>
            </w:r>
          </w:p>
        </w:tc>
        <w:tc>
          <w:tcPr>
            <w:tcW w:type="dxa" w:w="332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Secretos en el historial del repositorio</w:t>
            </w:r>
          </w:p>
        </w:tc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</w:t>
            </w:r>
          </w:p>
        </w:tc>
        <w:tc>
          <w:tcPr>
            <w:tcW w:type="dxa" w:w="180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gitleaks sobre todo el historial</w:t>
            </w:r>
          </w:p>
        </w:tc>
        <w:tc>
          <w:tcPr>
            <w:tcW w:type="dxa" w:w="1447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0</w:t>
            </w:r>
          </w:p>
        </w:tc>
      </w:tr>
      <w:tr>
        <w:trPr>
          <w:cantSplit/>
        </w:trPr>
        <w:tc>
          <w:tcPr>
            <w:tcW w:type="dxa" w:w="50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OC4</w:t>
            </w:r>
          </w:p>
        </w:tc>
        <w:tc>
          <w:tcPr>
            <w:tcW w:type="dxa" w:w="332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Cadena de la bitácora íntegra en cada verificación</w:t>
            </w:r>
          </w:p>
        </w:tc>
        <w:tc>
          <w:tcPr>
            <w:tcW w:type="dxa" w:w="231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100 %</w:t>
            </w:r>
          </w:p>
        </w:tc>
        <w:tc>
          <w:tcPr>
            <w:tcW w:type="dxa" w:w="180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fn_verificar_cadena</w:t>
            </w:r>
            <w:r>
              <w:rPr>
                <w:sz w:val="19"/>
              </w:rPr>
              <w:t xml:space="preserve"> devuelve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NULL</w:t>
            </w:r>
          </w:p>
        </w:tc>
        <w:tc>
          <w:tcPr>
            <w:tcW w:type="dxa" w:w="144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en las pruebas</w:t>
            </w:r>
          </w:p>
        </w:tc>
      </w:tr>
      <w:tr>
        <w:trPr>
          <w:cantSplit/>
        </w:trPr>
        <w:tc>
          <w:tcPr>
            <w:tcW w:type="dxa" w:w="50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OC5</w:t>
            </w:r>
          </w:p>
        </w:tc>
        <w:tc>
          <w:tcPr>
            <w:tcW w:type="dxa" w:w="332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Latencia de la decisión</w:t>
            </w:r>
          </w:p>
        </w:tc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≤ 60 s</w:t>
            </w:r>
          </w:p>
        </w:tc>
        <w:tc>
          <w:tcPr>
            <w:tcW w:type="dxa" w:w="180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Medición con todos los servicios corriendo</w:t>
            </w:r>
          </w:p>
        </w:tc>
        <w:tc>
          <w:tcPr>
            <w:tcW w:type="dxa" w:w="1447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🟡</w:t>
            </w:r>
            <w:r>
              <w:rPr>
                <w:sz w:val="19"/>
              </w:rPr>
              <w:t xml:space="preserve"> 7B en frío al límite</w:t>
            </w:r>
          </w:p>
        </w:tc>
      </w:tr>
      <w:tr>
        <w:trPr>
          <w:cantSplit/>
        </w:trPr>
        <w:tc>
          <w:tcPr>
            <w:tcW w:type="dxa" w:w="50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OC6</w:t>
            </w:r>
          </w:p>
        </w:tc>
        <w:tc>
          <w:tcPr>
            <w:tcW w:type="dxa" w:w="332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Casos adversariales de inyección bloqueados</w:t>
            </w:r>
          </w:p>
        </w:tc>
        <w:tc>
          <w:tcPr>
            <w:tcW w:type="dxa" w:w="231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10 de 10</w:t>
            </w:r>
          </w:p>
        </w:tc>
        <w:tc>
          <w:tcPr>
            <w:tcW w:type="dxa" w:w="180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ESC-04</w:t>
            </w:r>
          </w:p>
        </w:tc>
        <w:tc>
          <w:tcPr>
            <w:tcW w:type="dxa" w:w="144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capas deterministas; </w:t>
            </w: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contra el modelo</w:t>
            </w:r>
          </w:p>
        </w:tc>
      </w:tr>
      <w:tr>
        <w:trPr>
          <w:cantSplit/>
        </w:trPr>
        <w:tc>
          <w:tcPr>
            <w:tcW w:type="dxa" w:w="50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OC7</w:t>
            </w:r>
          </w:p>
        </w:tc>
        <w:tc>
          <w:tcPr>
            <w:tcW w:type="dxa" w:w="332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Cortacircuito activo con 30 alertas en 10 minutos</w:t>
            </w:r>
          </w:p>
        </w:tc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Sí</w:t>
            </w:r>
          </w:p>
        </w:tc>
        <w:tc>
          <w:tcPr>
            <w:tcW w:type="dxa" w:w="180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Prueba de estrés</w:t>
            </w:r>
          </w:p>
        </w:tc>
        <w:tc>
          <w:tcPr>
            <w:tcW w:type="dxa" w:w="1447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  <w:tr>
        <w:trPr>
          <w:cantSplit/>
        </w:trPr>
        <w:tc>
          <w:tcPr>
            <w:tcW w:type="dxa" w:w="50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OC8</w:t>
            </w:r>
          </w:p>
        </w:tc>
        <w:tc>
          <w:tcPr>
            <w:tcW w:type="dxa" w:w="332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Falla segura con el motor apagado</w:t>
            </w:r>
          </w:p>
        </w:tc>
        <w:tc>
          <w:tcPr>
            <w:tcW w:type="dxa" w:w="231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Sin ejecución; ticket en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MANUAL_TRIAGE</w:t>
            </w:r>
          </w:p>
        </w:tc>
        <w:tc>
          <w:tcPr>
            <w:tcW w:type="dxa" w:w="180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ESC-05</w:t>
            </w:r>
          </w:p>
        </w:tc>
        <w:tc>
          <w:tcPr>
            <w:tcW w:type="dxa" w:w="144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pruebas unitarias; </w:t>
            </w: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con el motor real</w:t>
            </w:r>
          </w:p>
        </w:tc>
      </w:tr>
      <w:tr>
        <w:trPr>
          <w:cantSplit/>
        </w:trPr>
        <w:tc>
          <w:tcPr>
            <w:tcW w:type="dxa" w:w="50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OC9</w:t>
            </w:r>
          </w:p>
        </w:tc>
        <w:tc>
          <w:tcPr>
            <w:tcW w:type="dxa" w:w="332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Criterios de la lista de verificación SaaS cumplidos en su sprint</w:t>
            </w:r>
          </w:p>
        </w:tc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15 de 15</w:t>
            </w:r>
          </w:p>
        </w:tc>
        <w:tc>
          <w:tcPr>
            <w:tcW w:type="dxa" w:w="180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Revisión al cierre de cada sprint</w:t>
            </w:r>
          </w:p>
        </w:tc>
        <w:tc>
          <w:tcPr>
            <w:tcW w:type="dxa" w:w="1447"/>
            <w:vAlign w:val="top"/>
          </w:tcPr>
          <w:p>
            <w:pPr>
              <w:pStyle w:val="Textodetabla"/>
            </w:pPr>
            <w:r>
              <w:rPr>
                <w:b/>
                <w:color w:val="7A4A00"/>
                <w:sz w:val="19"/>
                <w:highlight w:val="yellow"/>
              </w:rPr>
              <w:t>[POR CONFIRMAR: texto de los 15 criterios de la lista de verificación SaaS y su sprint — preguntar al equipo]</w:t>
            </w:r>
          </w:p>
        </w:tc>
      </w:tr>
      <w:tr>
        <w:trPr>
          <w:cantSplit/>
        </w:trPr>
        <w:tc>
          <w:tcPr>
            <w:tcW w:type="dxa" w:w="50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OC10</w:t>
            </w:r>
          </w:p>
        </w:tc>
        <w:tc>
          <w:tcPr>
            <w:tcW w:type="dxa" w:w="332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Restauración del respaldo con la cadena íntegra</w:t>
            </w:r>
          </w:p>
        </w:tc>
        <w:tc>
          <w:tcPr>
            <w:tcW w:type="dxa" w:w="231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Sí</w:t>
            </w:r>
          </w:p>
        </w:tc>
        <w:tc>
          <w:tcPr>
            <w:tcW w:type="dxa" w:w="180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Prueba de restauración (documento 19)</w:t>
            </w:r>
          </w:p>
        </w:tc>
        <w:tc>
          <w:tcPr>
            <w:tcW w:type="dxa" w:w="144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</w:tbl>
    <w:p>
      <w:pPr>
        <w:spacing w:after="40" w:line="192" w:lineRule="auto"/>
      </w:pPr>
    </w:p>
    <w:p>
      <w:pPr>
        <w:pStyle w:val="Heading1"/>
      </w:pPr>
      <w:bookmarkStart w:id="1004" w:name="_Toc0004"/>
      <w:r>
        <w:t>4. Actividades de aseguramiento</w:t>
      </w:r>
      <w:bookmarkEnd w:id="1004"/>
    </w:p>
    <w:p>
      <w:pPr>
        <w:pStyle w:val="Caption"/>
        <w:keepNext/>
        <w:spacing w:before="120" w:after="80"/>
      </w:pPr>
      <w:bookmarkStart w:id="5002" w:name="_Tab002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2</w:t>
      </w:r>
      <w:r>
        <w:fldChar w:fldCharType="end"/>
      </w:r>
      <w:r>
        <w:t xml:space="preserve">. </w:t>
      </w:r>
      <w:r>
        <w:t>Actividades de aseguramiento de la calidad</w:t>
      </w:r>
      <w:bookmarkEnd w:id="5002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604"/>
        <w:gridCol w:w="3907"/>
        <w:gridCol w:w="1447"/>
        <w:gridCol w:w="1447"/>
      </w:tblGrid>
      <w:tr>
        <w:trPr>
          <w:cantSplit/>
          <w:tblHeader/>
        </w:trPr>
        <w:tc>
          <w:tcPr>
            <w:tcW w:type="dxa" w:w="2605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3907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Qué se hace</w:t>
            </w:r>
          </w:p>
        </w:tc>
        <w:tc>
          <w:tcPr>
            <w:tcW w:type="dxa" w:w="1447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1447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Responsable</w:t>
            </w:r>
          </w:p>
        </w:tc>
      </w:tr>
      <w:tr>
        <w:trPr>
          <w:cantSplit/>
        </w:trPr>
        <w:tc>
          <w:tcPr>
            <w:tcW w:type="dxa" w:w="260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Revisión de PR</w:t>
            </w:r>
          </w:p>
        </w:tc>
        <w:tc>
          <w:tcPr>
            <w:tcW w:type="dxa" w:w="390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Otro integrante revisa diseño, estándares y pruebas antes del merge</w:t>
            </w:r>
          </w:p>
        </w:tc>
        <w:tc>
          <w:tcPr>
            <w:tcW w:type="dxa" w:w="144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Cada PR</w:t>
            </w:r>
          </w:p>
        </w:tc>
        <w:tc>
          <w:tcPr>
            <w:tcW w:type="dxa" w:w="144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El revisor asignado</w:t>
            </w:r>
          </w:p>
        </w:tc>
      </w:tr>
      <w:tr>
        <w:trPr>
          <w:cantSplit/>
        </w:trPr>
        <w:tc>
          <w:tcPr>
            <w:tcW w:type="dxa" w:w="260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Checks automáticos</w:t>
            </w:r>
          </w:p>
        </w:tc>
        <w:tc>
          <w:tcPr>
            <w:tcW w:type="dxa" w:w="390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gitleaks, ruff y R1</w:t>
            </w:r>
          </w:p>
        </w:tc>
        <w:tc>
          <w:tcPr>
            <w:tcW w:type="dxa" w:w="144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Cada PR</w:t>
            </w:r>
          </w:p>
        </w:tc>
        <w:tc>
          <w:tcPr>
            <w:tcW w:type="dxa" w:w="144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CI</w:t>
            </w:r>
          </w:p>
        </w:tc>
      </w:tr>
      <w:tr>
        <w:trPr>
          <w:cantSplit/>
        </w:trPr>
        <w:tc>
          <w:tcPr>
            <w:tcW w:type="dxa" w:w="260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Pruebas unitarias</w:t>
            </w:r>
          </w:p>
        </w:tc>
        <w:tc>
          <w:tcPr>
            <w:tcW w:type="dxa" w:w="3907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tests/unit/</w:t>
            </w:r>
          </w:p>
        </w:tc>
        <w:tc>
          <w:tcPr>
            <w:tcW w:type="dxa" w:w="144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Cada cambio en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decision/</w:t>
            </w:r>
            <w:r>
              <w:rPr>
                <w:sz w:val="19"/>
              </w:rPr>
              <w:t xml:space="preserve"> o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validacion/</w:t>
            </w:r>
          </w:p>
        </w:tc>
        <w:tc>
          <w:tcPr>
            <w:tcW w:type="dxa" w:w="144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Autor del cambio</w:t>
            </w:r>
          </w:p>
        </w:tc>
      </w:tr>
      <w:tr>
        <w:trPr>
          <w:cantSplit/>
        </w:trPr>
        <w:tc>
          <w:tcPr>
            <w:tcW w:type="dxa" w:w="260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Pruebas del esquema</w:t>
            </w:r>
          </w:p>
        </w:tc>
        <w:tc>
          <w:tcPr>
            <w:tcW w:type="dxa" w:w="390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tests/sql/ejecutar.sh</w:t>
            </w:r>
          </w:p>
        </w:tc>
        <w:tc>
          <w:tcPr>
            <w:tcW w:type="dxa" w:w="144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Cada cambio del esquema</w:t>
            </w:r>
          </w:p>
        </w:tc>
        <w:tc>
          <w:tcPr>
            <w:tcW w:type="dxa" w:w="144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Rodrigo</w:t>
            </w:r>
          </w:p>
        </w:tc>
      </w:tr>
      <w:tr>
        <w:trPr>
          <w:cantSplit/>
        </w:trPr>
        <w:tc>
          <w:tcPr>
            <w:tcW w:type="dxa" w:w="260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Medición de la inferencia</w:t>
            </w:r>
          </w:p>
        </w:tc>
        <w:tc>
          <w:tcPr>
            <w:tcW w:type="dxa" w:w="3907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decision/mediciones/medir_inferencia.py</w:t>
            </w:r>
          </w:p>
        </w:tc>
        <w:tc>
          <w:tcPr>
            <w:tcW w:type="dxa" w:w="144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Cada cambio de prompts, catálogo o modelo</w:t>
            </w:r>
          </w:p>
        </w:tc>
        <w:tc>
          <w:tcPr>
            <w:tcW w:type="dxa" w:w="144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Patricio</w:t>
            </w:r>
          </w:p>
        </w:tc>
      </w:tr>
      <w:tr>
        <w:trPr>
          <w:cantSplit/>
        </w:trPr>
        <w:tc>
          <w:tcPr>
            <w:tcW w:type="dxa" w:w="260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Revisión de documentos</w:t>
            </w:r>
          </w:p>
        </w:tc>
        <w:tc>
          <w:tcPr>
            <w:tcW w:type="dxa" w:w="390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Otro integrante revisa cada documento antes de aprobarlo</w:t>
            </w:r>
          </w:p>
        </w:tc>
        <w:tc>
          <w:tcPr>
            <w:tcW w:type="dxa" w:w="144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Cada versión</w:t>
            </w:r>
          </w:p>
        </w:tc>
        <w:tc>
          <w:tcPr>
            <w:tcW w:type="dxa" w:w="144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El revisor asignado</w:t>
            </w:r>
          </w:p>
        </w:tc>
      </w:tr>
      <w:tr>
        <w:trPr>
          <w:cantSplit/>
        </w:trPr>
        <w:tc>
          <w:tcPr>
            <w:tcW w:type="dxa" w:w="260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Revisión de la guía</w:t>
            </w:r>
          </w:p>
        </w:tc>
        <w:tc>
          <w:tcPr>
            <w:tcW w:type="dxa" w:w="390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Otro integrante sigue cada parte de la guía de instalación</w:t>
            </w:r>
          </w:p>
        </w:tc>
        <w:tc>
          <w:tcPr>
            <w:tcW w:type="dxa" w:w="144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Antes de la farmacia</w:t>
            </w:r>
          </w:p>
        </w:tc>
        <w:tc>
          <w:tcPr>
            <w:tcW w:type="dxa" w:w="144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Integrante distinto del autor</w:t>
            </w:r>
          </w:p>
        </w:tc>
      </w:tr>
      <w:tr>
        <w:trPr>
          <w:cantSplit/>
        </w:trPr>
        <w:tc>
          <w:tcPr>
            <w:tcW w:type="dxa" w:w="260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Auditoría de configuración</w:t>
            </w:r>
          </w:p>
        </w:tc>
        <w:tc>
          <w:tcPr>
            <w:tcW w:type="dxa" w:w="390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Commit desplegado,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.example</w:t>
            </w:r>
            <w:r>
              <w:rPr>
                <w:sz w:val="19"/>
              </w:rPr>
              <w:t xml:space="preserve"> y gitleaks</w:t>
            </w:r>
          </w:p>
        </w:tc>
        <w:tc>
          <w:tcPr>
            <w:tcW w:type="dxa" w:w="144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Cierre de sprint</w:t>
            </w:r>
          </w:p>
        </w:tc>
        <w:tc>
          <w:tcPr>
            <w:tcW w:type="dxa" w:w="144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Rodrigo</w:t>
            </w:r>
          </w:p>
        </w:tc>
      </w:tr>
    </w:tbl>
    <w:p>
      <w:pPr>
        <w:spacing w:after="40" w:line="192" w:lineRule="auto"/>
      </w:pPr>
    </w:p>
    <w:p>
      <w:pPr>
        <w:pStyle w:val="Heading1"/>
      </w:pPr>
      <w:bookmarkStart w:id="1005" w:name="_Toc0005"/>
      <w:r>
        <w:t>5. Validación y verificación</w:t>
      </w:r>
      <w:bookmarkEnd w:id="1005"/>
    </w:p>
    <w:p>
      <w:pPr>
        <w:pStyle w:val="Caption"/>
        <w:keepNext/>
        <w:spacing w:before="120" w:after="80"/>
      </w:pPr>
      <w:bookmarkStart w:id="5003" w:name="_Tab003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3</w:t>
      </w:r>
      <w:r>
        <w:fldChar w:fldCharType="end"/>
      </w:r>
      <w:r>
        <w:t xml:space="preserve">. </w:t>
      </w:r>
      <w:r>
        <w:t>Validación y verificación en Kronos</w:t>
      </w:r>
      <w:bookmarkEnd w:id="5003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1591"/>
        <w:gridCol w:w="3834"/>
        <w:gridCol w:w="3979"/>
      </w:tblGrid>
      <w:tr>
        <w:trPr>
          <w:cantSplit/>
          <w:tblHeader/>
        </w:trPr>
        <w:tc>
          <w:tcPr>
            <w:tcW w:type="dxa" w:w="1592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3834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Pregunta</w:t>
            </w:r>
          </w:p>
        </w:tc>
        <w:tc>
          <w:tcPr>
            <w:tcW w:type="dxa" w:w="3979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</w:tr>
      <w:tr>
        <w:trPr>
          <w:cantSplit/>
        </w:trPr>
        <w:tc>
          <w:tcPr>
            <w:tcW w:type="dxa" w:w="159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Verificación</w:t>
            </w:r>
          </w:p>
        </w:tc>
        <w:tc>
          <w:tcPr>
            <w:tcW w:type="dxa" w:w="383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¿Se construyó según la especificación?</w:t>
            </w:r>
          </w:p>
        </w:tc>
        <w:tc>
          <w:tcPr>
            <w:tcW w:type="dxa" w:w="397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Checks del CI; pruebas unitarias y del esquema; revisión de PR contra el documento 02; trazabilidad requerimiento-prueba</w:t>
            </w:r>
          </w:p>
        </w:tc>
      </w:tr>
      <w:tr>
        <w:trPr>
          <w:cantSplit/>
        </w:trPr>
        <w:tc>
          <w:tcPr>
            <w:tcW w:type="dxa" w:w="159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Validación</w:t>
            </w:r>
          </w:p>
        </w:tc>
        <w:tc>
          <w:tcPr>
            <w:tcW w:type="dxa" w:w="383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¿Es el producto que se necesita?</w:t>
            </w:r>
          </w:p>
        </w:tc>
        <w:tc>
          <w:tcPr>
            <w:tcW w:type="dxa" w:w="397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Hito verificable de cada sprint mostrado con evidencia; prueba completa en el laboratorio como puerta para la farmacia; revisión del alcance con el profesor guía (D-07)</w:t>
            </w:r>
          </w:p>
        </w:tc>
      </w:tr>
    </w:tbl>
    <w:p>
      <w:pPr>
        <w:spacing w:after="40" w:line="192" w:lineRule="auto"/>
      </w:pPr>
    </w:p>
    <w:p>
      <w:r>
        <w:t>La prueba completa en el laboratorio, que es la puerta de salida a la farmacia, se detalla en el documento 16 (Casos de prueba y plan de aceptación en el laboratorio, pendiente).</w:t>
      </w:r>
    </w:p>
    <w:p>
      <w:pPr>
        <w:pStyle w:val="Heading1"/>
      </w:pPr>
      <w:bookmarkStart w:id="1006" w:name="_Toc0006"/>
      <w:r>
        <w:t>6. Responsables</w:t>
      </w:r>
      <w:bookmarkEnd w:id="1006"/>
    </w:p>
    <w:p>
      <w:pPr>
        <w:pStyle w:val="Caption"/>
        <w:keepNext/>
        <w:spacing w:before="120" w:after="80"/>
      </w:pPr>
      <w:bookmarkStart w:id="5004" w:name="_Tab004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4</w:t>
      </w:r>
      <w:r>
        <w:fldChar w:fldCharType="end"/>
      </w:r>
      <w:r>
        <w:t xml:space="preserve">. </w:t>
      </w:r>
      <w:r>
        <w:t>Responsables de la calidad</w:t>
      </w:r>
      <w:bookmarkEnd w:id="5004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170"/>
        <w:gridCol w:w="7235"/>
      </w:tblGrid>
      <w:tr>
        <w:trPr>
          <w:cantSplit/>
          <w:tblHeader/>
        </w:trPr>
        <w:tc>
          <w:tcPr>
            <w:tcW w:type="dxa" w:w="2170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Rol</w:t>
            </w:r>
          </w:p>
        </w:tc>
        <w:tc>
          <w:tcPr>
            <w:tcW w:type="dxa" w:w="7235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Responsabilidad</w:t>
            </w:r>
          </w:p>
        </w:tc>
      </w:tr>
      <w:tr>
        <w:trPr>
          <w:cantSplit/>
        </w:trPr>
        <w:tc>
          <w:tcPr>
            <w:tcW w:type="dxa" w:w="217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Autor de un cambio</w:t>
            </w:r>
          </w:p>
        </w:tc>
        <w:tc>
          <w:tcPr>
            <w:tcW w:type="dxa" w:w="723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Pruebas del cambio, checks en verde, descripción del PR y evidencia</w:t>
            </w:r>
          </w:p>
        </w:tc>
      </w:tr>
      <w:tr>
        <w:trPr>
          <w:cantSplit/>
        </w:trPr>
        <w:tc>
          <w:tcPr>
            <w:tcW w:type="dxa" w:w="217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Revisor</w:t>
            </w:r>
          </w:p>
        </w:tc>
        <w:tc>
          <w:tcPr>
            <w:tcW w:type="dxa" w:w="723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Revisar el PR o el documento; pedir cambios o aprobar; no fusionar su propio trabajo</w:t>
            </w:r>
          </w:p>
        </w:tc>
      </w:tr>
      <w:tr>
        <w:trPr>
          <w:cantSplit/>
        </w:trPr>
        <w:tc>
          <w:tcPr>
            <w:tcW w:type="dxa" w:w="217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Rodrigo Riveros</w:t>
            </w:r>
          </w:p>
        </w:tc>
        <w:tc>
          <w:tcPr>
            <w:tcW w:type="dxa" w:w="723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Repositorio, CI, auditoría de configuración y seguridad de la plataforma</w:t>
            </w:r>
          </w:p>
        </w:tc>
      </w:tr>
      <w:tr>
        <w:trPr>
          <w:cantSplit/>
        </w:trPr>
        <w:tc>
          <w:tcPr>
            <w:tcW w:type="dxa" w:w="217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Patricio González</w:t>
            </w:r>
          </w:p>
        </w:tc>
        <w:tc>
          <w:tcPr>
            <w:tcW w:type="dxa" w:w="723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Medición, métricas de producto y de proceso, y este plan</w:t>
            </w:r>
          </w:p>
        </w:tc>
      </w:tr>
      <w:tr>
        <w:trPr>
          <w:cantSplit/>
        </w:trPr>
        <w:tc>
          <w:tcPr>
            <w:tcW w:type="dxa" w:w="217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Nicolás Zamora</w:t>
            </w:r>
          </w:p>
        </w:tc>
        <w:tc>
          <w:tcPr>
            <w:tcW w:type="dxa" w:w="723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Calidad del laboratorio y de la infraestructura; prueba de reinicio</w:t>
            </w:r>
          </w:p>
        </w:tc>
      </w:tr>
      <w:tr>
        <w:trPr>
          <w:cantSplit/>
        </w:trPr>
        <w:tc>
          <w:tcPr>
            <w:tcW w:type="dxa" w:w="217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Equipo</w:t>
            </w:r>
          </w:p>
        </w:tc>
        <w:tc>
          <w:tcPr>
            <w:tcW w:type="dxa" w:w="723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Decisiones de alcance y aprobación de los documentos</w:t>
            </w:r>
          </w:p>
        </w:tc>
      </w:tr>
    </w:tbl>
    <w:p>
      <w:pPr>
        <w:spacing w:after="40" w:line="192" w:lineRule="auto"/>
      </w:pPr>
    </w:p>
    <w:p>
      <w:pPr>
        <w:pStyle w:val="Heading1"/>
      </w:pPr>
      <w:bookmarkStart w:id="1007" w:name="_Toc0007"/>
      <w:r>
        <w:t>7. Registros de calidad</w:t>
      </w:r>
      <w:bookmarkEnd w:id="1007"/>
    </w:p>
    <w:p>
      <w:pPr>
        <w:pStyle w:val="Caption"/>
        <w:keepNext/>
        <w:spacing w:before="120" w:after="80"/>
      </w:pPr>
      <w:bookmarkStart w:id="5005" w:name="_Tab005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5</w:t>
      </w:r>
      <w:r>
        <w:fldChar w:fldCharType="end"/>
      </w:r>
      <w:r>
        <w:t xml:space="preserve">. </w:t>
      </w:r>
      <w:r>
        <w:t>Registros que demuestran la calidad</w:t>
      </w:r>
      <w:bookmarkEnd w:id="5005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604"/>
        <w:gridCol w:w="3907"/>
        <w:gridCol w:w="2894"/>
      </w:tblGrid>
      <w:tr>
        <w:trPr>
          <w:cantSplit/>
          <w:tblHeader/>
        </w:trPr>
        <w:tc>
          <w:tcPr>
            <w:tcW w:type="dxa" w:w="2605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Registro</w:t>
            </w:r>
          </w:p>
        </w:tc>
        <w:tc>
          <w:tcPr>
            <w:tcW w:type="dxa" w:w="3907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Qué demuestra</w:t>
            </w:r>
          </w:p>
        </w:tc>
        <w:tc>
          <w:tcPr>
            <w:tcW w:type="dxa" w:w="2894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Dónde</w:t>
            </w:r>
          </w:p>
        </w:tc>
      </w:tr>
      <w:tr>
        <w:trPr>
          <w:cantSplit/>
        </w:trPr>
        <w:tc>
          <w:tcPr>
            <w:tcW w:type="dxa" w:w="260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Historial de PR con sus checks</w:t>
            </w:r>
          </w:p>
        </w:tc>
        <w:tc>
          <w:tcPr>
            <w:tcW w:type="dxa" w:w="390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Que cada cambio pasó los controles</w:t>
            </w:r>
          </w:p>
        </w:tc>
        <w:tc>
          <w:tcPr>
            <w:tcW w:type="dxa" w:w="289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GitHub</w:t>
            </w:r>
          </w:p>
        </w:tc>
      </w:tr>
      <w:tr>
        <w:trPr>
          <w:cantSplit/>
        </w:trPr>
        <w:tc>
          <w:tcPr>
            <w:tcW w:type="dxa" w:w="260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Evidencia de pruebas</w:t>
            </w:r>
          </w:p>
        </w:tc>
        <w:tc>
          <w:tcPr>
            <w:tcW w:type="dxa" w:w="390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Que las pruebas pasaron en el PC y en el servidor</w:t>
            </w:r>
          </w:p>
        </w:tc>
        <w:tc>
          <w:tcPr>
            <w:tcW w:type="dxa" w:w="289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docs/evidencia/</w:t>
            </w:r>
          </w:p>
        </w:tc>
      </w:tr>
      <w:tr>
        <w:trPr>
          <w:cantSplit/>
        </w:trPr>
        <w:tc>
          <w:tcPr>
            <w:tcW w:type="dxa" w:w="260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Resultados de medición</w:t>
            </w:r>
          </w:p>
        </w:tc>
        <w:tc>
          <w:tcPr>
            <w:tcW w:type="dxa" w:w="390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Latencia y acierto con cada modelo</w:t>
            </w:r>
          </w:p>
        </w:tc>
        <w:tc>
          <w:tcPr>
            <w:tcW w:type="dxa" w:w="2894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decision/mediciones/resultados/</w:t>
            </w:r>
          </w:p>
        </w:tc>
      </w:tr>
      <w:tr>
        <w:trPr>
          <w:cantSplit/>
        </w:trPr>
        <w:tc>
          <w:tcPr>
            <w:tcW w:type="dxa" w:w="260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Registros de trabajo</w:t>
            </w:r>
          </w:p>
        </w:tc>
        <w:tc>
          <w:tcPr>
            <w:tcW w:type="dxa" w:w="390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Qué se hizo, con qué evidencia y qué quedó pendiente</w:t>
            </w:r>
          </w:p>
        </w:tc>
        <w:tc>
          <w:tcPr>
            <w:tcW w:type="dxa" w:w="289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docs/registro/</w:t>
            </w:r>
          </w:p>
        </w:tc>
      </w:tr>
      <w:tr>
        <w:trPr>
          <w:cantSplit/>
        </w:trPr>
        <w:tc>
          <w:tcPr>
            <w:tcW w:type="dxa" w:w="260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Registro de decisiones y de riesgos</w:t>
            </w:r>
          </w:p>
        </w:tc>
        <w:tc>
          <w:tcPr>
            <w:tcW w:type="dxa" w:w="390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Por qué se decidió algo y qué riesgos se aceptaron</w:t>
            </w:r>
          </w:p>
        </w:tc>
        <w:tc>
          <w:tcPr>
            <w:tcW w:type="dxa" w:w="289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Documento 08</w:t>
            </w:r>
          </w:p>
        </w:tc>
      </w:tr>
      <w:tr>
        <w:trPr>
          <w:cantSplit/>
        </w:trPr>
        <w:tc>
          <w:tcPr>
            <w:tcW w:type="dxa" w:w="260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Informe de avance por sprint</w:t>
            </w:r>
          </w:p>
        </w:tc>
        <w:tc>
          <w:tcPr>
            <w:tcW w:type="dxa" w:w="390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Estado de los hitos y de las métricas</w:t>
            </w:r>
          </w:p>
        </w:tc>
        <w:tc>
          <w:tcPr>
            <w:tcW w:type="dxa" w:w="289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Documento 08</w:t>
            </w:r>
          </w:p>
        </w:tc>
      </w:tr>
    </w:tbl>
    <w:p>
      <w:pPr>
        <w:spacing w:after="40" w:line="192" w:lineRule="auto"/>
      </w:pPr>
    </w:p>
    <w:p>
      <w:pPr>
        <w:pStyle w:val="Heading1"/>
      </w:pPr>
      <w:bookmarkStart w:id="1008" w:name="_Toc0008"/>
      <w:r>
        <w:t>8. No conformidades</w:t>
      </w:r>
      <w:bookmarkEnd w:id="1008"/>
    </w:p>
    <w:p>
      <w:r>
        <w:t>Una no conformidad es cualquier desvío de un objetivo o una regla de este plan: un check en rojo, un PR sin revisión, una prueba que falla o una cadena rota.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2160000" cy="48242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no_conformidad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824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id="3001" w:name="_Fig001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1</w:t>
      </w:r>
      <w:r>
        <w:fldChar w:fldCharType="end"/>
      </w:r>
      <w:r>
        <w:t xml:space="preserve">. </w:t>
      </w:r>
      <w:r>
        <w:t>Tratamiento de una no conformidad</w:t>
      </w:r>
      <w:bookmarkEnd w:id="3001"/>
    </w:p>
    <w:p>
      <w:pPr>
        <w:pStyle w:val="Caption"/>
        <w:keepNext/>
        <w:spacing w:before="120" w:after="80"/>
      </w:pPr>
      <w:bookmarkStart w:id="5006" w:name="_Tab006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6</w:t>
      </w:r>
      <w:r>
        <w:fldChar w:fldCharType="end"/>
      </w:r>
      <w:r>
        <w:t xml:space="preserve">. </w:t>
      </w:r>
      <w:r>
        <w:t>No conformidades abiertas al 14-10-2026</w:t>
      </w:r>
      <w:bookmarkEnd w:id="5006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723"/>
        <w:gridCol w:w="4775"/>
        <w:gridCol w:w="3907"/>
      </w:tblGrid>
      <w:tr>
        <w:trPr>
          <w:cantSplit/>
          <w:tblHeader/>
        </w:trPr>
        <w:tc>
          <w:tcPr>
            <w:tcW w:type="dxa" w:w="723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4775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No conformidad</w:t>
            </w:r>
          </w:p>
        </w:tc>
        <w:tc>
          <w:tcPr>
            <w:tcW w:type="dxa" w:w="3907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Tratamiento propuesto</w:t>
            </w:r>
          </w:p>
        </w:tc>
      </w:tr>
      <w:tr>
        <w:trPr>
          <w:cantSplit/>
        </w:trPr>
        <w:tc>
          <w:tcPr>
            <w:tcW w:type="dxa" w:w="72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NC-01</w:t>
            </w:r>
          </w:p>
        </w:tc>
        <w:tc>
          <w:tcPr>
            <w:tcW w:type="dxa" w:w="477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PR #2 a #6 integrados sin revisión registrada (OC2)</w:t>
            </w:r>
          </w:p>
        </w:tc>
        <w:tc>
          <w:tcPr>
            <w:tcW w:type="dxa" w:w="390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Registrar las excepciones; revisar a posteriori el PR #6, que contiene el núcleo de SOAR-VALIDATE</w:t>
            </w:r>
          </w:p>
        </w:tc>
      </w:tr>
      <w:tr>
        <w:trPr>
          <w:cantSplit/>
        </w:trPr>
        <w:tc>
          <w:tcPr>
            <w:tcW w:type="dxa" w:w="72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NC-02</w:t>
            </w:r>
          </w:p>
        </w:tc>
        <w:tc>
          <w:tcPr>
            <w:tcW w:type="dxa" w:w="477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Las 72 pruebas unitarias no corren en el CI; en Windows falla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test_servidor_apagado</w:t>
            </w:r>
          </w:p>
        </w:tc>
        <w:tc>
          <w:tcPr>
            <w:tcW w:type="dxa" w:w="390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Agregar un job de pruebas al CI; ajustar la prueba para que no dependa del sistema operativo</w:t>
            </w:r>
          </w:p>
        </w:tc>
      </w:tr>
      <w:tr>
        <w:trPr>
          <w:cantSplit/>
        </w:trPr>
        <w:tc>
          <w:tcPr>
            <w:tcW w:type="dxa" w:w="72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NC-03</w:t>
            </w:r>
          </w:p>
        </w:tc>
        <w:tc>
          <w:tcPr>
            <w:tcW w:type="dxa" w:w="477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Sin prueba permanente del hash independiente de la zona horaria (R-03)</w:t>
            </w:r>
          </w:p>
        </w:tc>
        <w:tc>
          <w:tcPr>
            <w:tcW w:type="dxa" w:w="390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Aceptado (D-19)</w:t>
            </w:r>
          </w:p>
        </w:tc>
      </w:tr>
    </w:tbl>
    <w:p>
      <w:pPr>
        <w:spacing w:after="40" w:line="192" w:lineRule="auto"/>
      </w:pPr>
    </w:p>
    <w:p>
      <w:r>
        <w:t xml:space="preserve">Los identificadores NC-NN y su tratamiento son </w:t>
      </w:r>
      <w:r>
        <w:rPr>
          <w:b/>
          <w:color w:val="8A2B0E"/>
        </w:rPr>
        <w:t>«Propuesta»</w:t>
      </w:r>
      <w:r>
        <w:t>.</w:t>
      </w:r>
    </w:p>
    <w:p>
      <w:pPr>
        <w:pStyle w:val="Heading1"/>
      </w:pPr>
      <w:bookmarkStart w:id="1009" w:name="_Toc0009"/>
      <w:r>
        <w:t>9. Marcos de referencia</w:t>
      </w:r>
      <w:bookmarkEnd w:id="1009"/>
    </w:p>
    <w:p>
      <w:r>
        <w:t>ISO 9001 y CMMI se citan como marco de referencia, no se certifican (Pantaleo y Rinaudo, cap. 25). De ISO 9001 se toma la idea de registrar evidencias y tratar no conformidades. De CMMI, la de tener procesos definidos para la configuración, la medición y la verificación. El proyecto no pretende alcanzar un nivel de madurez formal.</w:t>
      </w:r>
    </w:p>
    <w:p>
      <w:pPr>
        <w:pStyle w:val="Heading1"/>
      </w:pPr>
      <w:bookmarkStart w:id="1010" w:name="_Toc0010"/>
      <w:r>
        <w:t>10. Referencias</w:t>
      </w:r>
      <w:bookmarkEnd w:id="1010"/>
    </w:p>
    <w:p>
      <w:pPr>
        <w:ind w:left="567" w:hanging="567"/>
      </w:pPr>
      <w:r>
        <w:rPr>
          <w:sz w:val="20"/>
        </w:rPr>
        <w:t>Pantaleo, G., y Rinaudo, L. (</w:t>
      </w:r>
      <w:r>
        <w:rPr>
          <w:b/>
          <w:color w:val="7A4A00"/>
          <w:sz w:val="20"/>
          <w:highlight w:val="yellow"/>
        </w:rPr>
        <w:t>[POR CONFIRMAR: año y edición, tomados de la portada del libro — preguntar a Patricio]</w:t>
      </w:r>
      <w:r>
        <w:rPr>
          <w:sz w:val="20"/>
        </w:rPr>
        <w:t xml:space="preserve">). </w:t>
      </w:r>
      <w:r>
        <w:rPr>
          <w:i/>
          <w:sz w:val="20"/>
        </w:rPr>
        <w:t>Ingeniería de software</w:t>
      </w:r>
      <w:r>
        <w:rPr>
          <w:sz w:val="20"/>
        </w:rPr>
        <w:t>. Alfaomega.</w:t>
      </w:r>
    </w:p>
    <w:p>
      <w:pPr>
        <w:ind w:left="567" w:hanging="567"/>
      </w:pPr>
      <w:r>
        <w:rPr>
          <w:sz w:val="20"/>
        </w:rPr>
        <w:t xml:space="preserve">Equipo Kronos AI. (2026). </w:t>
      </w:r>
      <w:r>
        <w:rPr>
          <w:i/>
          <w:sz w:val="20"/>
        </w:rPr>
        <w:t>Kronos AI — Contexto maestro para la redacción de documentos</w:t>
      </w:r>
      <w:r>
        <w:rPr>
          <w:sz w:val="20"/>
        </w:rPr>
        <w:t xml:space="preserve"> (versión 2.1, 14-10-2026) [Documento interno].</w:t>
      </w:r>
    </w:p>
    <w:p>
      <w:pPr>
        <w:ind w:left="567" w:hanging="567"/>
      </w:pPr>
      <w:r>
        <w:rPr>
          <w:sz w:val="20"/>
        </w:rPr>
        <w:t xml:space="preserve">Equipo Kronos AI. (2026). </w:t>
      </w:r>
      <w:r>
        <w:rPr>
          <w:i/>
          <w:sz w:val="20"/>
        </w:rPr>
        <w:t>soarai2026/kronos-ai</w:t>
      </w:r>
      <w:r>
        <w:rPr>
          <w:sz w:val="20"/>
        </w:rPr>
        <w:t xml:space="preserve"> [Repositorio privado, rama develop]. GitHub.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68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05" w:val="right"/>
      </w:tabs>
      <w:pBdr>
        <w:top w:val="single" w:sz="4" w:space="4" w:color="BFBFBF"/>
      </w:pBdr>
    </w:pPr>
    <w:r>
      <w:rPr>
        <w:color w:val="6B6B6B"/>
        <w:sz w:val="18"/>
      </w:rPr>
      <w:t>Uso interno · Versión 0.1</w:t>
    </w:r>
    <w:r>
      <w:rPr>
        <w:color w:val="6B6B6B"/>
        <w:sz w:val="18"/>
      </w:rPr>
      <w:tab/>
      <w:t xml:space="preserve">Página </w:t>
    </w:r>
    <w:r>
      <w:rPr>
        <w:color w:val="6B6B6B"/>
        <w:sz w:val="18"/>
      </w:rPr>
      <w:fldChar w:fldCharType="begin"/>
    </w:r>
    <w:r>
      <w:rPr>
        <w:color w:val="6B6B6B"/>
        <w:sz w:val="18"/>
      </w:rPr>
      <w:instrText xml:space="preserve"> PAGE </w:instrText>
    </w:r>
    <w:r>
      <w:rPr>
        <w:color w:val="6B6B6B"/>
        <w:sz w:val="18"/>
      </w:rPr>
      <w:fldChar w:fldCharType="separate"/>
    </w:r>
    <w:r>
      <w:rPr>
        <w:color w:val="6B6B6B"/>
        <w:sz w:val="18"/>
      </w:rPr>
      <w:t>1</w:t>
    </w:r>
    <w:r>
      <w:rPr>
        <w:color w:val="6B6B6B"/>
        <w:sz w:val="18"/>
      </w:rPr>
      <w:fldChar w:fldCharType="end"/>
    </w:r>
    <w:r>
      <w:rPr>
        <w:color w:val="6B6B6B"/>
        <w:sz w:val="18"/>
      </w:rPr>
      <w:t xml:space="preserve"> de </w:t>
    </w:r>
    <w:r>
      <w:rPr>
        <w:color w:val="6B6B6B"/>
        <w:sz w:val="18"/>
      </w:rPr>
      <w:fldChar w:fldCharType="begin"/>
    </w:r>
    <w:r>
      <w:rPr>
        <w:color w:val="6B6B6B"/>
        <w:sz w:val="18"/>
      </w:rPr>
      <w:instrText xml:space="preserve"> NUMPAGES </w:instrText>
    </w:r>
    <w:r>
      <w:rPr>
        <w:color w:val="6B6B6B"/>
        <w:sz w:val="18"/>
      </w:rPr>
      <w:fldChar w:fldCharType="separate"/>
    </w:r>
    <w:r>
      <w:rPr>
        <w:color w:val="6B6B6B"/>
        <w:sz w:val="18"/>
      </w:rPr>
      <w:t>1</w:t>
    </w:r>
    <w:r>
      <w:rPr>
        <w:color w:val="6B6B6B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405" w:val="right"/>
      </w:tabs>
      <w:pBdr>
        <w:bottom w:val="single" w:sz="4" w:space="4" w:color="BFBFBF"/>
      </w:pBdr>
    </w:pPr>
    <w:r>
      <w:rPr>
        <w:b/>
        <w:color w:val="1F3A5F"/>
        <w:sz w:val="18"/>
      </w:rPr>
      <w:t>Kronos AI</w:t>
    </w:r>
    <w:r>
      <w:rPr>
        <w:color w:val="6B6B6B"/>
        <w:sz w:val="18"/>
      </w:rPr>
      <w:tab/>
      <w:t>Documento 06 · Plan de calidad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</w:pPr>
    <w:rPr>
      <w:rFonts w:ascii="Calibri" w:hAnsi="Calibri" w:eastAsia="Calibri"/>
      <w:sz w:val="22"/>
      <w:lang w:val="es-CL" w:eastAsia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40" w:lineRule="auto"/>
      <w:outlineLvl w:val="0"/>
      <w:pBdr>
        <w:bottom w:val="single" w:sz="6" w:space="4" w:color="1F3A5F"/>
      </w:pBdr>
    </w:pPr>
    <w:rPr>
      <w:rFonts w:ascii="Calibri" w:hAnsi="Calibri" w:eastAsia="Calibri" w:cs="Calibri"/>
      <w:b/>
      <w:bCs/>
      <w:i w:val="0"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="Calibri" w:hAnsi="Calibri" w:eastAsia="Calibri" w:cs="Calibri"/>
      <w:b/>
      <w:bCs/>
      <w:i w:val="0"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40" w:lineRule="auto"/>
      <w:outlineLvl w:val="2"/>
    </w:pPr>
    <w:rPr>
      <w:rFonts w:ascii="Calibri" w:hAnsi="Calibri" w:eastAsia="Calibri" w:cs="Calibri"/>
      <w:b/>
      <w:bCs/>
      <w:i w:val="0"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00"/>
    </w:pPr>
    <w:rPr>
      <w:rFonts w:ascii="Calibri" w:hAnsi="Calibri"/>
      <w:b w:val="0"/>
      <w:bCs/>
      <w:i/>
      <w:color w:val="40404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ódigo">
    <w:name w:val="Código"/>
    <w:basedOn w:val="Normal"/>
    <w:pPr>
      <w:keepLines/>
      <w:spacing w:line="240" w:lineRule="auto" w:after="160"/>
      <w:ind w:left="113" w:right="113"/>
      <w:shd w:val="clear" w:color="auto" w:fill="F2F2F2"/>
      <w:pBdr>
        <w:top w:val="single" w:sz="4" w:space="4" w:color="D9D9D9"/>
        <w:left w:val="single" w:sz="4" w:space="4" w:color="D9D9D9"/>
        <w:bottom w:val="single" w:sz="4" w:space="4" w:color="D9D9D9"/>
        <w:right w:val="single" w:sz="4" w:space="4" w:color="D9D9D9"/>
      </w:pBdr>
    </w:pPr>
    <w:rPr>
      <w:rFonts w:ascii="Consolas" w:hAnsi="Consolas" w:eastAsia="Consolas"/>
      <w:sz w:val="17"/>
    </w:rPr>
  </w:style>
  <w:style w:type="paragraph" w:customStyle="1" w:styleId="Nota">
    <w:name w:val="Nota"/>
    <w:basedOn w:val="Normal"/>
    <w:pPr>
      <w:spacing w:before="80" w:after="160"/>
      <w:ind w:left="170" w:right="113"/>
      <w:shd w:val="clear" w:color="auto" w:fill="EEF3F8"/>
      <w:pBdr>
        <w:left w:val="single" w:sz="24" w:space="6" w:color="1F3A5F"/>
      </w:pBdr>
    </w:pPr>
    <w:rPr>
      <w:sz w:val="20"/>
    </w:rPr>
  </w:style>
  <w:style w:type="paragraph" w:customStyle="1" w:styleId="Textodetabla">
    <w:name w:val="Texto de tabla"/>
    <w:basedOn w:val="Normal"/>
    <w:pPr>
      <w:spacing w:after="0" w:before="0" w:line="240" w:lineRule="auto"/>
    </w:pPr>
    <w:rPr>
      <w:sz w:val="19"/>
    </w:rPr>
  </w:style>
  <w:style w:type="paragraph" w:customStyle="1" w:styleId="Viñeta">
    <w:name w:val="Viñeta"/>
    <w:basedOn w:val="Normal"/>
    <w:pPr>
      <w:spacing w:after="60"/>
      <w:ind w:left="510" w:hanging="255"/>
    </w:pPr>
  </w:style>
  <w:style w:type="paragraph" w:customStyle="1" w:styleId="Viñeta2">
    <w:name w:val="Viñeta 2"/>
    <w:basedOn w:val="Viñeta"/>
    <w:pPr>
      <w:ind w:left="907" w:hanging="255"/>
    </w:pPr>
  </w:style>
  <w:style w:type="paragraph" w:customStyle="1" w:styleId="TOC1">
    <w:name w:val="TOC 1"/>
    <w:basedOn w:val="Normal"/>
    <w:pPr>
      <w:tabs>
        <w:tab w:pos="9405" w:val="right" w:leader="dot"/>
      </w:tabs>
      <w:spacing w:after="80" w:before="80"/>
      <w:ind w:left="0"/>
    </w:pPr>
    <w:rPr>
      <w:b/>
      <w:sz w:val="21"/>
    </w:rPr>
  </w:style>
  <w:style w:type="paragraph" w:customStyle="1" w:styleId="TOC2">
    <w:name w:val="TOC 2"/>
    <w:basedOn w:val="Normal"/>
    <w:pPr>
      <w:tabs>
        <w:tab w:pos="9405" w:val="right" w:leader="dot"/>
      </w:tabs>
      <w:spacing w:after="40" w:before="0"/>
      <w:ind w:left="340"/>
    </w:pPr>
    <w:rPr>
      <w:b w:val="0"/>
      <w:sz w:val="20"/>
    </w:rPr>
  </w:style>
  <w:style w:type="paragraph" w:customStyle="1" w:styleId="TOC3">
    <w:name w:val="TOC 3"/>
    <w:basedOn w:val="Normal"/>
    <w:pPr>
      <w:tabs>
        <w:tab w:pos="9405" w:val="right" w:leader="dot"/>
      </w:tabs>
      <w:spacing w:after="40" w:before="0"/>
      <w:ind w:left="680"/>
    </w:pPr>
    <w:rPr>
      <w:b w:val="0"/>
      <w:sz w:val="20"/>
    </w:rPr>
  </w:style>
  <w:style w:type="paragraph" w:customStyle="1" w:styleId="TableofFigures">
    <w:name w:val="Table of Figures"/>
    <w:basedOn w:val="Normal"/>
    <w:pPr>
      <w:tabs>
        <w:tab w:pos="9405" w:val="right" w:leader="dot"/>
      </w:tabs>
      <w:spacing w:after="40"/>
    </w:pPr>
    <w:rPr>
      <w:sz w:val="20"/>
    </w:rPr>
  </w:style>
  <w:style w:type="paragraph" w:customStyle="1" w:styleId="Listanumerada">
    <w:name w:val="Lista numerada"/>
    <w:basedOn w:val="Viñeta"/>
    <w:pPr>
      <w:ind w:left="510" w:hanging="34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 · Plan de calidad</dc:title>
  <dc:subject>Kronos AI</dc:subject>
  <dc:creator>Equipo Kronos AI</dc:creator>
  <cp:keywords>Kronos AI; Capstone; DUOC UC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es-CL</dc:language>
</cp:coreProperties>
</file>