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15</w:t>
      </w:r>
    </w:p>
    <w:p>
      <w:pPr>
        <w:spacing w:after="120"/>
      </w:pPr>
      <w:r>
        <w:rPr>
          <w:b/>
          <w:color w:val="1F3A5F"/>
          <w:sz w:val="52"/>
        </w:rPr>
        <w:t>Plan de pruebas de software</w:t>
      </w:r>
    </w:p>
    <w:p>
      <w:r>
        <w:rPr>
          <w:i/>
          <w:color w:val="404040"/>
          <w:sz w:val="23"/>
        </w:rPr>
        <w:t>Estrategia de pruebas de Kronos AI: alcance, niveles, tipos, ambientes, pruebas existentes y faltantes, criterios de entrada y salida, datos de prueba y evidencia.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15 · Plan de pruebas de software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 Zamora y Patricio González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cap. 16; 17.1; 12.3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docs/entregables/15_plan-pruebas.docx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 Zamora y Patricio González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3" w:history="1">
        <w:r>
          <w:rPr/>
          <w:t xml:space="preserve">3. Niveles de prueba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4" w:history="1">
        <w:r>
          <w:rPr/>
          <w:t xml:space="preserve">4. Tipos de prueba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5" w:history="1">
        <w:r>
          <w:rPr/>
          <w:t xml:space="preserve">5. Ambientes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6" w:history="1">
        <w:r>
          <w:rPr/>
          <w:t xml:space="preserve">6. Pruebas existentes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7" w:history="1">
        <w:r>
          <w:rPr/>
          <w:t xml:space="preserve">6.1 Pruebas del esquema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8" w:history="1">
        <w:r>
          <w:rPr/>
          <w:t xml:space="preserve">6.2 Pruebas unitarias</w:t>
        </w:r>
        <w:r>
          <w:rPr/>
          <w:tab/>
        </w:r>
        <w:r>
          <w:rPr/>
          <w:t xml:space="preserve">7</w:t>
        </w:r>
      </w:hyperlink>
    </w:p>
    <w:p>
      <w:pPr>
        <w:pStyle w:val="TOC2"/>
      </w:pPr>
      <w:hyperlink w:anchor="_Toc0009" w:history="1">
        <w:r>
          <w:rPr/>
          <w:t xml:space="preserve">6.3 Medición de la inferencia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0" w:history="1">
        <w:r>
          <w:rPr/>
          <w:t xml:space="preserve">7. Pruebas faltantes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1" w:history="1">
        <w:r>
          <w:rPr/>
          <w:t xml:space="preserve">8. Criterios de entrada y salida</w:t>
        </w:r>
        <w:r>
          <w:rPr/>
          <w:tab/>
        </w:r>
        <w:r>
          <w:rPr/>
          <w:t xml:space="preserve">8</w:t>
        </w:r>
      </w:hyperlink>
    </w:p>
    <w:p>
      <w:pPr>
        <w:pStyle w:val="TOC2"/>
      </w:pPr>
      <w:hyperlink w:anchor="_Toc0012" w:history="1">
        <w:r>
          <w:rPr/>
          <w:t xml:space="preserve">8.1 Puerta de salida a la farmacia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3" w:history="1">
        <w:r>
          <w:rPr/>
          <w:t xml:space="preserve">9. Hasta cuándo probar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4" w:history="1">
        <w:r>
          <w:rPr/>
          <w:t xml:space="preserve">10. Datos de prueba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5" w:history="1">
        <w:r>
          <w:rPr/>
          <w:t xml:space="preserve">11. Evidencia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6" w:history="1">
        <w:r>
          <w:rPr/>
          <w:t xml:space="preserve">12. Referencias</w:t>
        </w:r>
        <w:r>
          <w:rPr/>
          <w:tab/>
        </w:r>
        <w:r>
          <w:rPr/>
          <w:t xml:space="preserve">9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Alcance de las pruebas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Niveles de prueba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Tipos de prueba previstos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4" w:history="1">
        <w:r>
          <w:rPr/>
          <w:t xml:space="preserve">Tabla 4. Ambientes de prueba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Pruebas de tests/sql, ejecutadas como kronos_worker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6" w:history="1">
        <w:r>
          <w:rPr/>
          <w:t xml:space="preserve">Tabla 6. Pruebas unitarias en tests/unit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7" w:history="1">
        <w:r>
          <w:rPr/>
          <w:t xml:space="preserve">Tabla 7. Conjuntos de casos de la medición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8" w:history="1">
        <w:r>
          <w:rPr/>
          <w:t xml:space="preserve">Tabla 8. Pruebas que faltan y su responsable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9" w:history="1">
        <w:r>
          <w:rPr/>
          <w:t xml:space="preserve">Tabla 9. Criterios por nivel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plan define cómo se prueba Kronos AI: qué se prueba, en qué niveles, en qué ambientes, con qué datos y cuándo se considera suficiente.</w:t>
      </w:r>
    </w:p>
    <w:p>
      <w:r>
        <w:t>Cada caso de prueba, con sus pasos y su resultado esperado, irá en el documento 16 (Casos de prueba y plan de aceptación en el laboratorio, pendiente). Los objetivos de calidad que estas pruebas demuestran están en el documento 06 (Plan de calidad).</w:t>
      </w:r>
    </w:p>
    <w:p>
      <w:r>
        <w:t>El libro plantea que probar es buscar defectos, no demostrar que no existen. Por eso un plan de pruebas debe fijar alcance, niveles, recursos, criterios de término y registro de resultados (Pantaleo y Rinaudo, cap. 16 y 17.1). También pide que cada requerimiento tenga una forma de ser verificado (Pantaleo y Rinaudo, 12.3).</w:t>
      </w:r>
    </w:p>
    <w:p>
      <w:pPr>
        <w:pStyle w:val="Heading1"/>
      </w:pPr>
      <w:bookmarkStart w:id="1002" w:name="_Toc0002"/>
      <w:r>
        <w:t>2. Alcance</w:t>
      </w:r>
      <w:bookmarkEnd w:id="1002"/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Alcance de las pruebas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460"/>
        <w:gridCol w:w="6946"/>
      </w:tblGrid>
      <w:tr>
        <w:trPr>
          <w:cantSplit/>
          <w:tblHeader/>
        </w:trPr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Dentro del alcance</w:t>
            </w:r>
          </w:p>
        </w:tc>
        <w:tc>
          <w:tcPr>
            <w:tcW w:type="dxa" w:w="694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Fuera del alcance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Componentes SOAR-* y su integración en SOAR-CORE-01</w:t>
            </w:r>
          </w:p>
        </w:tc>
        <w:tc>
          <w:tcPr>
            <w:tcW w:type="dxa" w:w="69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Wazuh como producto: se prueba su configuración, no su código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Esquema de SOAR-AUDIT, RLS, cadena e inmutabilidad</w:t>
            </w:r>
          </w:p>
        </w:tc>
        <w:tc>
          <w:tcPr>
            <w:tcW w:type="dxa" w:w="69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Ollama como producto: se prueba el contrato, no el motor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Prompts, contrato JSON y chequeos</w:t>
            </w:r>
          </w:p>
        </w:tc>
        <w:tc>
          <w:tcPr>
            <w:tcW w:type="dxa" w:w="69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Equipos de la farmacia: sólo se instala tras pasar la prueba completa en el laboratorio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Seguridad de la plataforma: inyección, volumen, exposición</w:t>
            </w:r>
          </w:p>
        </w:tc>
        <w:tc>
          <w:tcPr>
            <w:tcW w:type="dxa" w:w="69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Pruebas de carga más allá de la prueba de estrés comprometida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Respaldo, restauración y reinicio</w:t>
            </w:r>
          </w:p>
        </w:tc>
        <w:tc>
          <w:tcPr>
            <w:tcW w:type="dxa" w:w="6945"/>
            <w:vAlign w:val="top"/>
          </w:tcPr>
          <w:p>
            <w:pPr>
              <w:pStyle w:val="Textodetabla"/>
            </w:pP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3" w:name="_Toc0003"/>
      <w:r>
        <w:t>3. Niveles de prueba</w:t>
      </w:r>
      <w:bookmarkEnd w:id="1003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3163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mbi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Niveles y ambientes de prueba</w:t>
      </w:r>
      <w:bookmarkEnd w:id="3001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Niveles de prueba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591"/>
        <w:gridCol w:w="3762"/>
        <w:gridCol w:w="2460"/>
        <w:gridCol w:w="1591"/>
      </w:tblGrid>
      <w:tr>
        <w:trPr>
          <w:cantSplit/>
          <w:tblHeader/>
        </w:trPr>
        <w:tc>
          <w:tcPr>
            <w:tcW w:type="dxa" w:w="159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76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se prueba</w:t>
            </w:r>
          </w:p>
        </w:tc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159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Unitarias</w:t>
            </w:r>
          </w:p>
        </w:tc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Lógica pura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validacion/</w:t>
            </w:r>
            <w:r>
              <w:rPr>
                <w:sz w:val="19"/>
              </w:rPr>
              <w:t>: contrato, chequeos, catálogo, plantillas, inferencia con un modelo simulado, cliente de Ollama con un servidor simulado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unittest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tests/unit/</w:t>
            </w:r>
            <w:r>
              <w:rPr>
                <w:sz w:val="19"/>
              </w:rPr>
              <w:t xml:space="preserve"> (72 pruebas en 7 archivos)</w:t>
            </w:r>
          </w:p>
        </w:tc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existen;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fuera del CI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Integración</w:t>
            </w:r>
          </w:p>
        </w:tc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Esquema contra un PostgreSQL real; prompts contra Ollama real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tests/sql/ejecutar.sh</w:t>
            </w:r>
            <w:r>
              <w:rPr>
                <w:sz w:val="19"/>
              </w:rPr>
              <w:t xml:space="preserve"> (pruebas a–d);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medir_inferencia.py</w:t>
            </w:r>
          </w:p>
        </w:tc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Sistema</w:t>
            </w:r>
          </w:p>
        </w:tc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Flujo completo: agente → DETECT → VALIDATE → EXECUTE → agente, con bitácora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EP-WKS-01 y EP-SRV-01</w:t>
            </w:r>
          </w:p>
        </w:tc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Aceptación</w:t>
            </w:r>
          </w:p>
        </w:tc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 completa en el laboratorio, puerta para la farmacia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Laboratorio</w:t>
            </w:r>
          </w:p>
        </w:tc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4" w:name="_Toc0004"/>
      <w:r>
        <w:t>4. Tipos de prueba</w:t>
      </w:r>
      <w:bookmarkEnd w:id="1004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Tipos de prueba previstos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4052"/>
        <w:gridCol w:w="1374"/>
        <w:gridCol w:w="1664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05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demuestra</w:t>
            </w:r>
          </w:p>
        </w:tc>
        <w:tc>
          <w:tcPr>
            <w:tcW w:type="dxa" w:w="137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Req.</w:t>
            </w:r>
          </w:p>
        </w:tc>
        <w:tc>
          <w:tcPr>
            <w:tcW w:type="dxa" w:w="16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Funcionales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RF del documento 02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RF-01 a RF-26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Adversariales de inyección (ESC-04)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 casos sin ejecución fuera del catálogo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RNF-10</w:t>
            </w:r>
          </w:p>
        </w:tc>
        <w:tc>
          <w:tcPr>
            <w:tcW w:type="dxa" w:w="16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capas deterministas;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con el modelo real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Motor de inferencia caído (ESC-05)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Abstención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MANUAL_TRIAGE</w:t>
            </w:r>
            <w:r>
              <w:rPr>
                <w:sz w:val="19"/>
              </w:rPr>
              <w:t xml:space="preserve"> con Ollama apagado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RNF-02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unitarias;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con el motor real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Estrés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30 alertas en 10 minutos abren el cortacircuito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RF-25</w:t>
            </w:r>
          </w:p>
        </w:tc>
        <w:tc>
          <w:tcPr>
            <w:tcW w:type="dxa" w:w="16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contadores y topes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Regresión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Lo que funcionaba sigue funcionando tras un cambio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Todos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unitarias y esquema;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en el CI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Reinicio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Docker y los cinco contenedores vuelven solos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RNF-06</w:t>
            </w:r>
          </w:p>
        </w:tc>
        <w:tc>
          <w:tcPr>
            <w:tcW w:type="dxa" w:w="16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Restauración del respaldo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base restaurada conserva la cadena íntegra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RNF-11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Aislamiento por inquilino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0 filas ajenas y error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42501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RNF-03</w:t>
            </w:r>
          </w:p>
        </w:tc>
        <w:tc>
          <w:tcPr>
            <w:tcW w:type="dxa" w:w="16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Inmutabilidad y manipulación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UPDATE, DELETE y TRUNCATE rechazados; alteraciones detectadas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RNF-04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Vencimiento de plazos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Recordatorio diario del nivel 2 y expiración del nivel 3, con un plazo acortado para la prueba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RF-13 a RF-15</w:t>
            </w:r>
          </w:p>
        </w:tc>
        <w:tc>
          <w:tcPr>
            <w:tcW w:type="dxa" w:w="16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Latencia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Decisión en 60 s o menos con todos los servicios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RNF-01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Exposición de red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Sólo los puertos decididos responden desde internet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RNF-07</w:t>
            </w:r>
          </w:p>
        </w:tc>
        <w:tc>
          <w:tcPr>
            <w:tcW w:type="dxa" w:w="16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PR #7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Atomic Red Team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Técnicas reales de ataque contra el laboratorio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Varios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S5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5" w:name="_Toc0005"/>
      <w:r>
        <w:t>5. Ambientes</w:t>
      </w:r>
      <w:bookmarkEnd w:id="1005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Ambientes de prueba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170"/>
        <w:gridCol w:w="4341"/>
        <w:gridCol w:w="2894"/>
      </w:tblGrid>
      <w:tr>
        <w:trPr>
          <w:cantSplit/>
          <w:tblHeader/>
        </w:trPr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Ambiente</w:t>
            </w:r>
          </w:p>
        </w:tc>
        <w:tc>
          <w:tcPr>
            <w:tcW w:type="dxa" w:w="43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Para qué</w:t>
            </w:r>
          </w:p>
        </w:tc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PC con Docker Desktop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Pruebas unitarias, esquema y pruebas previas al servidor (D-21)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Las pruebas del esquema dejan filas inmutables; el volumen se recrea antes y después</w:t>
            </w:r>
          </w:p>
        </w:tc>
      </w:tr>
      <w:tr>
        <w:trPr>
          <w:cantSplit/>
        </w:trPr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SOAR-CORE-01</w:t>
            </w:r>
          </w:p>
        </w:tc>
        <w:tc>
          <w:tcPr>
            <w:tcW w:type="dxa" w:w="43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Integración con el servidor real; medición con todos los servicios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 batería del esquema se corrió una vez y la base se recreó vacía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(notebook de Nicolás)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Sistema y aceptación con EP-WKS-01 y EP-SRV-01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agente sale por internet al 1514, sin NetBird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6" w:name="_Toc0006"/>
      <w:r>
        <w:t>6. Pruebas existentes</w:t>
      </w:r>
      <w:bookmarkEnd w:id="1006"/>
    </w:p>
    <w:p>
      <w:pPr>
        <w:pStyle w:val="Heading2"/>
      </w:pPr>
      <w:bookmarkStart w:id="1007" w:name="_Toc0007"/>
      <w:r>
        <w:t>6.1 Pruebas del esquema</w:t>
      </w:r>
      <w:bookmarkEnd w:id="1007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Pruebas de tests/sql, ejecutadas como kronos_worker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4630"/>
        <w:gridCol w:w="2460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463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Dónde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a) Dos inquilinos en paralelo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1000/1000 transacciones cada uno, cadenas íntegras, 0 filas ajenas,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42501</w:t>
            </w:r>
            <w:r>
              <w:rPr>
                <w:sz w:val="19"/>
              </w:rPr>
              <w:t xml:space="preserve"> al tocar la cadena del otro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PC y servidor (08-10-2026)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b) Un inquilino, 8 conexiones × 100 filas</w:t>
            </w:r>
          </w:p>
        </w:tc>
        <w:tc>
          <w:tcPr>
            <w:tcW w:type="dxa" w:w="4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800/800,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seq</w:t>
            </w:r>
            <w:r>
              <w:rPr>
                <w:sz w:val="19"/>
              </w:rPr>
              <w:t xml:space="preserve"> contiguo, cadena íntegra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PC y servidor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c) UPDATE, DELETE y TRUNCATE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Rechazados para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kronos_worker</w:t>
            </w:r>
            <w:r>
              <w:rPr>
                <w:sz w:val="19"/>
              </w:rPr>
              <w:t xml:space="preserve"> y para el superusuario, incluso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session_replication_role = replica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PC y servidor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d) Manipulación en una copia</w:t>
            </w:r>
          </w:p>
        </w:tc>
        <w:tc>
          <w:tcPr>
            <w:tcW w:type="dxa" w:w="4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Detectados: contenido alterado, enlace roto y fila borrada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PC y servidor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e) Hash independiente de la zona horaria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Verificado una vez por el asistente de código; sin prueba permanente (D-19)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</w:p>
        </w:tc>
      </w:tr>
    </w:tbl>
    <w:p>
      <w:pPr>
        <w:spacing w:after="40" w:line="192" w:lineRule="auto"/>
      </w:pPr>
    </w:p>
    <w:p>
      <w:r>
        <w:t xml:space="preserve">Evidencia: </w:t>
      </w:r>
      <w:r>
        <w:rPr>
          <w:rFonts w:ascii="Consolas" w:hAnsi="Consolas"/>
          <w:sz w:val="19"/>
          <w:shd w:val="clear" w:color="auto" w:fill="F2F2F2"/>
        </w:rPr>
        <w:t>docs/evidencia/esquema-audit-pruebas-2026-10-08.txt</w:t>
      </w:r>
      <w:r>
        <w:t xml:space="preserve"> (PC) y </w:t>
      </w:r>
      <w:r>
        <w:rPr>
          <w:rFonts w:ascii="Consolas" w:hAnsi="Consolas"/>
          <w:sz w:val="19"/>
          <w:shd w:val="clear" w:color="auto" w:fill="F2F2F2"/>
        </w:rPr>
        <w:t>docs/evidencia/esquema-audit-servidor-2026-10-08.txt</w:t>
      </w:r>
      <w:r>
        <w:t xml:space="preserve"> (servidor).</w:t>
      </w:r>
    </w:p>
    <w:p>
      <w:pPr>
        <w:pStyle w:val="Heading2"/>
      </w:pPr>
      <w:bookmarkStart w:id="1008" w:name="_Toc0008"/>
      <w:r>
        <w:t>6.2 Pruebas unitarias</w:t>
      </w:r>
      <w:bookmarkEnd w:id="1008"/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Pruebas unitarias en tests/unit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604"/>
        <w:gridCol w:w="1013"/>
        <w:gridCol w:w="5788"/>
      </w:tblGrid>
      <w:tr>
        <w:trPr>
          <w:cantSplit/>
          <w:tblHeader/>
        </w:trPr>
        <w:tc>
          <w:tcPr>
            <w:tcW w:type="dxa" w:w="260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101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Pruebas</w:t>
            </w:r>
          </w:p>
        </w:tc>
        <w:tc>
          <w:tcPr>
            <w:tcW w:type="dxa" w:w="578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cubre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test_contrato.py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12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Contrato JSON de los pasos 1 y 2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test_chequeos.py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</w:t>
            </w:r>
          </w:p>
        </w:tc>
        <w:tc>
          <w:tcPr>
            <w:tcW w:type="dxa" w:w="57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Chequeos 2 a 6, orden y motivos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test_catalogo.py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7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Carga y reglas del catálogo 0.1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test_inferencia.py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11</w:t>
            </w:r>
          </w:p>
        </w:tc>
        <w:tc>
          <w:tcPr>
            <w:tcW w:type="dxa" w:w="57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Dos pasos, plazo único y falla segura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test_inyeccion.py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7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Capas deterministas frente a los 10 casos de inyección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test_ollama.py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6</w:t>
            </w:r>
          </w:p>
        </w:tc>
        <w:tc>
          <w:tcPr>
            <w:tcW w:type="dxa" w:w="57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Cliente de Ollama contra un servidor simulado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test_plantillas.py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9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Carga de prompts y marcadores</w:t>
            </w:r>
          </w:p>
        </w:tc>
      </w:tr>
    </w:tbl>
    <w:p>
      <w:pPr>
        <w:spacing w:after="40" w:line="192" w:lineRule="auto"/>
      </w:pPr>
    </w:p>
    <w:p>
      <w:r>
        <w:t xml:space="preserve">Resultado en el PC de Rodrigo (Windows, Python 3.12.10, 14-10-2026): 71 de 72 pasan. </w:t>
      </w:r>
      <w:r>
        <w:rPr>
          <w:rFonts w:ascii="Consolas" w:hAnsi="Consolas"/>
          <w:sz w:val="19"/>
          <w:shd w:val="clear" w:color="auto" w:fill="F2F2F2"/>
        </w:rPr>
        <w:t>test_servidor_apagado</w:t>
      </w:r>
      <w:r>
        <w:t xml:space="preserve"> da error: en Windows, la conexión a un puerto recién cerrado agota el tiempo de espera en vez de ser rechazada, y el cliente lo informa como </w:t>
      </w:r>
      <w:r>
        <w:rPr>
          <w:rFonts w:ascii="Consolas" w:hAnsi="Consolas"/>
          <w:sz w:val="19"/>
          <w:shd w:val="clear" w:color="auto" w:fill="F2F2F2"/>
        </w:rPr>
        <w:t>TiempoExcedido</w:t>
      </w:r>
      <w:r>
        <w:t xml:space="preserve">, no como </w:t>
      </w:r>
      <w:r>
        <w:rPr>
          <w:rFonts w:ascii="Consolas" w:hAnsi="Consolas"/>
          <w:sz w:val="19"/>
          <w:shd w:val="clear" w:color="auto" w:fill="F2F2F2"/>
        </w:rPr>
        <w:t>MotorNoDisponible</w:t>
      </w:r>
      <w:r>
        <w:t xml:space="preserve">. Las dos salidas son falla segura, pero la prueba espera la segunda. </w:t>
      </w:r>
      <w:r>
        <w:rPr>
          <w:b/>
          <w:color w:val="7A4A00"/>
          <w:highlight w:val="yellow"/>
        </w:rPr>
        <w:t>[POR CONFIRMAR: resultado de las pruebas unitarias en el equipo de Patricio y en Linux — preguntar a Patricio]</w:t>
      </w:r>
    </w:p>
    <w:p>
      <w:pPr>
        <w:pStyle w:val="Heading2"/>
      </w:pPr>
      <w:bookmarkStart w:id="1009" w:name="_Toc0009"/>
      <w:r>
        <w:t>6.3 Medición de la inferencia</w:t>
      </w:r>
      <w:bookmarkEnd w:id="1009"/>
    </w:p>
    <w:p>
      <w:pPr>
        <w:pStyle w:val="Caption"/>
        <w:keepNext/>
        <w:spacing w:before="120" w:after="80"/>
      </w:pPr>
      <w:bookmarkStart w:id="5007" w:name="_Tab00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7</w:t>
      </w:r>
      <w:r>
        <w:fldChar w:fldCharType="end"/>
      </w:r>
      <w:r>
        <w:t xml:space="preserve">. </w:t>
      </w:r>
      <w:r>
        <w:t>Conjuntos de casos de la medición</w:t>
      </w:r>
      <w:bookmarkEnd w:id="5007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460"/>
        <w:gridCol w:w="868"/>
        <w:gridCol w:w="6078"/>
      </w:tblGrid>
      <w:tr>
        <w:trPr>
          <w:cantSplit/>
          <w:tblHeader/>
        </w:trPr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Conjunto</w:t>
            </w:r>
          </w:p>
        </w:tc>
        <w:tc>
          <w:tcPr>
            <w:tcW w:type="dxa" w:w="8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Casos</w:t>
            </w:r>
          </w:p>
        </w:tc>
        <w:tc>
          <w:tcPr>
            <w:tcW w:type="dxa" w:w="607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casos_prueba.json</w:t>
            </w:r>
          </w:p>
        </w:tc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</w:t>
            </w:r>
          </w:p>
        </w:tc>
        <w:tc>
          <w:tcPr>
            <w:tcW w:type="dxa" w:w="607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medido el 06-10-2026 con 3B y 7B; 3 o 4 por familia, 3 ambiguos a propósito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casos_frontera.json</w:t>
            </w:r>
          </w:p>
        </w:tc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12</w:t>
            </w:r>
          </w:p>
        </w:tc>
        <w:tc>
          <w:tcPr>
            <w:tcW w:type="dxa" w:w="60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sin medir; tres por frontera F1/F3, F2/F3, F2/F5 y F4/F6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casos_inyeccion.json</w:t>
            </w:r>
          </w:p>
        </w:tc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10</w:t>
            </w:r>
          </w:p>
        </w:tc>
        <w:tc>
          <w:tcPr>
            <w:tcW w:type="dxa" w:w="607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sin medir contra el modelo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150 casos etiquetados</w:t>
            </w:r>
          </w:p>
        </w:tc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150</w:t>
            </w:r>
          </w:p>
        </w:tc>
        <w:tc>
          <w:tcPr>
            <w:tcW w:type="dxa" w:w="60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por construir; incluye la línea base sin IA (documento 07)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0" w:name="_Toc0010"/>
      <w:r>
        <w:t>7. Pruebas faltantes</w:t>
      </w:r>
      <w:bookmarkEnd w:id="1010"/>
    </w:p>
    <w:p>
      <w:pPr>
        <w:pStyle w:val="Caption"/>
        <w:keepNext/>
        <w:spacing w:before="120" w:after="80"/>
      </w:pPr>
      <w:bookmarkStart w:id="5008" w:name="_Tab00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8</w:t>
      </w:r>
      <w:r>
        <w:fldChar w:fldCharType="end"/>
      </w:r>
      <w:r>
        <w:t xml:space="preserve">. </w:t>
      </w:r>
      <w:r>
        <w:t>Pruebas que faltan y su responsable</w:t>
      </w:r>
      <w:bookmarkEnd w:id="5008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979"/>
        <w:gridCol w:w="2532"/>
        <w:gridCol w:w="1881"/>
        <w:gridCol w:w="1013"/>
      </w:tblGrid>
      <w:tr>
        <w:trPr>
          <w:cantSplit/>
          <w:tblHeader/>
        </w:trPr>
        <w:tc>
          <w:tcPr>
            <w:tcW w:type="dxa" w:w="397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253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Depende de</w:t>
            </w:r>
          </w:p>
        </w:tc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01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Sprint</w:t>
            </w:r>
          </w:p>
        </w:tc>
      </w:tr>
      <w:tr>
        <w:trPr>
          <w:cantSplit/>
        </w:trPr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Caso de punta a punta: fuerza bruta, bloqueo de la IP y reversión automática</w:t>
            </w:r>
          </w:p>
        </w:tc>
        <w:tc>
          <w:tcPr>
            <w:tcW w:type="dxa" w:w="253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y SOAR-EXECUTE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 y Rodrigo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S2</w:t>
            </w:r>
          </w:p>
        </w:tc>
      </w:tr>
      <w:tr>
        <w:trPr>
          <w:cantSplit/>
        </w:trPr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 escenarios del puesto de trabajo y 12 del servidor</w:t>
            </w:r>
          </w:p>
        </w:tc>
        <w:tc>
          <w:tcPr>
            <w:tcW w:type="dxa" w:w="253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Laboratorio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Nicolás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Aprobación del nivel 3, incluido el vencimiento a los 2 días</w:t>
            </w:r>
          </w:p>
        </w:tc>
        <w:tc>
          <w:tcPr>
            <w:tcW w:type="dxa" w:w="253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SOAR-NOTIFY y SOAR-CONSOLE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Recordatorio diario del nivel 2</w:t>
            </w:r>
          </w:p>
        </w:tc>
        <w:tc>
          <w:tcPr>
            <w:tcW w:type="dxa" w:w="253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SOAR-NOTIFY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Cortacircuito con 30 alertas en 10 minutos</w:t>
            </w:r>
          </w:p>
        </w:tc>
        <w:tc>
          <w:tcPr>
            <w:tcW w:type="dxa" w:w="253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Contadores definidos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Falla segura con el modelo apagado (ESC-05)</w:t>
            </w:r>
          </w:p>
        </w:tc>
        <w:tc>
          <w:tcPr>
            <w:tcW w:type="dxa" w:w="253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SOAR-VALIDATE como servicio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S2</w:t>
            </w:r>
          </w:p>
        </w:tc>
      </w:tr>
      <w:tr>
        <w:trPr>
          <w:cantSplit/>
        </w:trPr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Inyección contra el modelo real (ESC-04)</w:t>
            </w:r>
          </w:p>
        </w:tc>
        <w:tc>
          <w:tcPr>
            <w:tcW w:type="dxa" w:w="253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Modelo definitivo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S2</w:t>
            </w:r>
          </w:p>
        </w:tc>
      </w:tr>
      <w:tr>
        <w:trPr>
          <w:cantSplit/>
        </w:trPr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Reinicio y restauración del respaldo, con todo funcionando</w:t>
            </w:r>
          </w:p>
        </w:tc>
        <w:tc>
          <w:tcPr>
            <w:tcW w:type="dxa" w:w="253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Respaldo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 y Nicolás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Atomic Red Team</w:t>
            </w:r>
          </w:p>
        </w:tc>
        <w:tc>
          <w:tcPr>
            <w:tcW w:type="dxa" w:w="253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completo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S5</w:t>
            </w:r>
          </w:p>
        </w:tc>
      </w:tr>
    </w:tbl>
    <w:p>
      <w:pPr>
        <w:spacing w:after="40" w:line="192" w:lineRule="auto"/>
      </w:pPr>
    </w:p>
    <w:p>
      <w:r>
        <w:t xml:space="preserve">Los sprints asignados son </w:t>
      </w:r>
      <w:r>
        <w:rPr>
          <w:b/>
          <w:color w:val="8A2B0E"/>
        </w:rPr>
        <w:t>«Propuesta»</w:t>
      </w:r>
      <w:r>
        <w:t>.</w:t>
      </w:r>
    </w:p>
    <w:p>
      <w:pPr>
        <w:pStyle w:val="Heading1"/>
      </w:pPr>
      <w:bookmarkStart w:id="1011" w:name="_Toc0011"/>
      <w:r>
        <w:t>8. Criterios de entrada y salida</w:t>
      </w:r>
      <w:bookmarkEnd w:id="1011"/>
    </w:p>
    <w:p>
      <w:pPr>
        <w:pStyle w:val="Caption"/>
        <w:keepNext/>
        <w:spacing w:before="120" w:after="80"/>
      </w:pPr>
      <w:bookmarkStart w:id="5009" w:name="_Tab00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9</w:t>
      </w:r>
      <w:r>
        <w:fldChar w:fldCharType="end"/>
      </w:r>
      <w:r>
        <w:t xml:space="preserve">. </w:t>
      </w:r>
      <w:r>
        <w:t>Criterios por nivel</w:t>
      </w:r>
      <w:bookmarkEnd w:id="5009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591"/>
        <w:gridCol w:w="3907"/>
        <w:gridCol w:w="3907"/>
      </w:tblGrid>
      <w:tr>
        <w:trPr>
          <w:cantSplit/>
          <w:tblHeader/>
        </w:trPr>
        <w:tc>
          <w:tcPr>
            <w:tcW w:type="dxa" w:w="159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90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Criterio de entrada</w:t>
            </w:r>
          </w:p>
        </w:tc>
        <w:tc>
          <w:tcPr>
            <w:tcW w:type="dxa" w:w="390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Criterio de salida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Unitarias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cambio compila y pasa ruff y R1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100 % de las pruebas pasan en el CI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Integración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Esquema o prompts versionados; servidor o contenedor disponible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Pruebas a–d en verde; CSV de medición guardado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Sistema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enviando alertas; servicios desplegados desde un commit conocido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Flujo completo con bitácora íntegra para cada familia probada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Aceptación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Sistema en verde; guía de instalación revisada por otro integrante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 completa aprobada (ver la sección siguiente)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12" w:name="_Toc0012"/>
      <w:r>
        <w:t>8.1 Puerta de salida a la farmacia</w:t>
      </w:r>
      <w:bookmarkEnd w:id="1012"/>
    </w:p>
    <w:p>
      <w:r>
        <w:t>La prueba completa en el laboratorio es la condición para instalar en la farmacia: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t>Un caso de punta a punta: fuerza bruta, bloqueo de la IP y reversión automática.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>Los 10 escenarios del puesto de trabajo y los 12 del servidor.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t>Aprobación del nivel 3 (incluido el vencimiento a los 2 días), recordatorio del nivel 2, cortacircuito y falla segura con el modelo apagado.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4.</w:t>
        <w:tab/>
      </w:r>
      <w:r>
        <w:t>Prueba de reinicio y restauración del respaldo, con todo funcionando.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5.</w:t>
        <w:tab/>
      </w:r>
      <w:r>
        <w:t>Cada parte de la guía de instalación leída y seguida por otro integrante.</w:t>
      </w:r>
    </w:p>
    <w:p>
      <w:r>
        <w:t xml:space="preserve">Después: datos de la farmacia cargados, instalador probado en una máquina virtual limpia y retiro probado. Recién entonces se instala el agente. </w:t>
      </w:r>
      <w:r>
        <w:rPr>
          <w:b/>
          <w:color w:val="7A4A00"/>
          <w:highlight w:val="yellow"/>
        </w:rPr>
        <w:t>[POR CONFIRMAR: quién da el visto bueno final a la puerta de salida — preguntar al equipo]</w:t>
      </w:r>
      <w:r>
        <w:t xml:space="preserve"> </w:t>
      </w:r>
      <w:r>
        <w:rPr>
          <w:b/>
          <w:color w:val="004D40"/>
          <w:highlight w:val="cyan"/>
        </w:rPr>
        <w:t>[PENDIENTE: posterior a la instalación en la farmacia — carga de los datos de la farmacia en Kronos]</w:t>
      </w:r>
    </w:p>
    <w:p>
      <w:pPr>
        <w:pStyle w:val="Heading1"/>
      </w:pPr>
      <w:bookmarkStart w:id="1013" w:name="_Toc0013"/>
      <w:r>
        <w:t>9. Hasta cuándo probar</w:t>
      </w:r>
      <w:bookmarkEnd w:id="1013"/>
    </w:p>
    <w:p>
      <w:r>
        <w:t>Probar todo es imposible. El libro recomienda decidir de antemano cuándo detenerse, según el riesgo y el costo de un defecto (Pantaleo y Rinaudo, cap. 16). En Kronos, el costo de un defecto en la decisión o en la ejecución es alto: contener un equipo por error. Por eso: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Se prueba hasta agotar</w:t>
      </w:r>
      <w:r>
        <w:t xml:space="preserve"> lo que puede producir una acción indebida: contrato, chequeos, niveles, exclusión, cortacircuito, aprobación y falla segura.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Se prueba por muestreo</w:t>
      </w:r>
      <w:r>
        <w:t xml:space="preserve"> lo que sólo afecta la presentación: la consola, salvo la aprobación y la reversión.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rPr>
          <w:b/>
        </w:rPr>
        <w:t>Se detiene</w:t>
      </w:r>
      <w:r>
        <w:t xml:space="preserve"> cuando se cumplen los criterios de salida y no quedan defectos abiertos que puedan producir una acción indebida.</w:t>
      </w:r>
    </w:p>
    <w:p>
      <w:pPr>
        <w:pStyle w:val="Heading1"/>
      </w:pPr>
      <w:bookmarkStart w:id="1014" w:name="_Toc0014"/>
      <w:r>
        <w:t>10. Datos de prueba</w:t>
      </w:r>
      <w:bookmarkEnd w:id="1014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Sólo datos ficticios: IP del rango 192.0.2.0/24, dominios </w:t>
      </w:r>
      <w:r>
        <w:rPr>
          <w:rFonts w:ascii="Consolas" w:hAnsi="Consolas"/>
          <w:sz w:val="19"/>
          <w:shd w:val="clear" w:color="auto" w:fill="F2F2F2"/>
        </w:rPr>
        <w:t>.example</w:t>
      </w:r>
      <w:r>
        <w:t xml:space="preserve"> y nombres genéricos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Los casos adversariales se describen por su técnica, sin cargas dañinas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Las pruebas controladas en el laboratorio usan acciones inofensivas: por ejemplo, cinco inicios de sesión con un usuario inexistente para F1, o un PowerShell codificado inofensivo para F2.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>Ningún dato de la farmacia en pruebas ni en evidencia.</w:t>
      </w:r>
    </w:p>
    <w:p>
      <w:pPr>
        <w:pStyle w:val="Heading1"/>
      </w:pPr>
      <w:bookmarkStart w:id="1015" w:name="_Toc0015"/>
      <w:r>
        <w:t>11. Evidencia</w:t>
      </w:r>
      <w:bookmarkEnd w:id="1015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La salida de cada prueba de integración se guarda en </w:t>
      </w:r>
      <w:r>
        <w:rPr>
          <w:rFonts w:ascii="Consolas" w:hAnsi="Consolas"/>
          <w:sz w:val="19"/>
          <w:shd w:val="clear" w:color="auto" w:fill="F2F2F2"/>
        </w:rPr>
        <w:t>docs/evidencia/</w:t>
      </w:r>
      <w:r>
        <w:t>, con la fecha en el nombre y sin contraseñas.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Los resultados de la medición se guardan como CSV en </w:t>
      </w:r>
      <w:r>
        <w:rPr>
          <w:rFonts w:ascii="Consolas" w:hAnsi="Consolas"/>
          <w:sz w:val="19"/>
          <w:shd w:val="clear" w:color="auto" w:fill="F2F2F2"/>
        </w:rPr>
        <w:t>decision/mediciones/resultados/</w:t>
      </w:r>
      <w:r>
        <w:t>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 xml:space="preserve">Cada jornada de pruebas relevante deja un registro de trabajo en </w:t>
      </w:r>
      <w:r>
        <w:rPr>
          <w:rFonts w:ascii="Consolas" w:hAnsi="Consolas"/>
          <w:sz w:val="19"/>
          <w:shd w:val="clear" w:color="auto" w:fill="F2F2F2"/>
        </w:rPr>
        <w:t>docs/registro/</w:t>
      </w:r>
      <w:r>
        <w:t>.</w:t>
      </w:r>
    </w:p>
    <w:p>
      <w:pPr>
        <w:pStyle w:val="Heading1"/>
      </w:pPr>
      <w:bookmarkStart w:id="1016" w:name="_Toc0016"/>
      <w:r>
        <w:t>12. Referencias</w:t>
      </w:r>
      <w:bookmarkEnd w:id="1016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p>
      <w:pPr>
        <w:ind w:left="567" w:hanging="567"/>
      </w:pPr>
      <w:r>
        <w:rPr>
          <w:sz w:val="20"/>
        </w:rPr>
        <w:t xml:space="preserve">Riveros, R. (2026). </w:t>
      </w:r>
      <w:r>
        <w:rPr>
          <w:i/>
          <w:sz w:val="20"/>
        </w:rPr>
        <w:t>Registro de trabajo KRO-LOG-RR-2026-10-08</w:t>
      </w:r>
      <w:r>
        <w:rPr>
          <w:sz w:val="20"/>
        </w:rPr>
        <w:t xml:space="preserve"> [Documento interno].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15 · Plan de pruebas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· Plan de pruebas de software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