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r>
        <w:rPr>
          <w:b/>
          <w:color w:val="1F3A5F"/>
          <w:sz w:val="60"/>
        </w:rPr>
        <w:t>KRONOS AI</w:t>
      </w:r>
    </w:p>
    <w:p>
      <w:pPr>
        <w:pBdr>
          <w:bottom w:val="single" w:sz="12" w:space="8" w:color="1F3A5F"/>
        </w:pBdr>
      </w:pPr>
      <w:r>
        <w:rPr>
          <w:color w:val="6B6B6B"/>
          <w:sz w:val="24"/>
        </w:rPr>
        <w:t>SOAR con clasificación de incidentes asistida por IA bajo control determinista</w:t>
      </w:r>
    </w:p>
    <w:p>
      <w:pPr>
        <w:spacing w:before="1800"/>
      </w:pPr>
      <w:r>
        <w:rPr>
          <w:b/>
          <w:color w:val="404040"/>
          <w:sz w:val="28"/>
        </w:rPr>
        <w:t>Documento 01</w:t>
      </w:r>
    </w:p>
    <w:p>
      <w:pPr>
        <w:spacing w:after="120"/>
      </w:pPr>
      <w:r>
        <w:rPr>
          <w:b/>
          <w:color w:val="1F3A5F"/>
          <w:sz w:val="52"/>
        </w:rPr>
        <w:t>Visión de la solución</w:t>
      </w:r>
    </w:p>
    <w:p>
      <w:r>
        <w:rPr>
          <w:i/>
          <w:color w:val="404040"/>
          <w:sz w:val="23"/>
        </w:rPr>
        <w:t>Problema, propuesta, características, límites, partes interesadas, supuestos y restricciones de Kronos AI.</w:t>
      </w:r>
    </w:p>
    <w:p>
      <w:pPr>
        <w:spacing w:before="360"/>
      </w:pPr>
      <w:r>
        <w:rPr>
          <w:color w:val="404040"/>
          <w:sz w:val="22"/>
        </w:rPr>
        <w:t>Versión 0.1 (borrador) · 14-10-2026</w:t>
      </w:r>
    </w:p>
    <w:p>
      <w:pPr>
        <w:spacing w:before="2400" w:after="40"/>
        <w:pBdr>
          <w:top w:val="single" w:sz="4" w:space="8" w:color="BFBFBF"/>
        </w:pBdr>
      </w:pPr>
      <w:r>
        <w:rPr>
          <w:b/>
          <w:color w:val="1F3A5F"/>
          <w:sz w:val="21"/>
        </w:rPr>
        <w:t xml:space="preserve">Integrantes: </w:t>
      </w:r>
      <w:r>
        <w:rPr>
          <w:sz w:val="21"/>
        </w:rPr>
        <w:t>Nicolás Zamora · Rodrigo Riveros · Patricio González</w:t>
      </w:r>
    </w:p>
    <w:p>
      <w:pPr>
        <w:spacing w:after="40"/>
      </w:pPr>
      <w:r>
        <w:rPr>
          <w:b/>
          <w:color w:val="1F3A5F"/>
          <w:sz w:val="21"/>
        </w:rPr>
        <w:t xml:space="preserve">Profesor guía: </w:t>
      </w:r>
      <w:r>
        <w:rPr>
          <w:sz w:val="21"/>
        </w:rPr>
        <w:t>Ceferino Aníbal Sotelo Becerra</w:t>
      </w:r>
    </w:p>
    <w:p>
      <w:pPr>
        <w:spacing w:after="40"/>
      </w:pPr>
      <w:r>
        <w:rPr>
          <w:b/>
          <w:color w:val="1F3A5F"/>
          <w:sz w:val="21"/>
        </w:rPr>
        <w:t xml:space="preserve">Asignatura: </w:t>
      </w:r>
      <w:r>
        <w:rPr>
          <w:sz w:val="21"/>
        </w:rPr>
        <w:t>Capstone — Portafolio de Título</w:t>
      </w:r>
    </w:p>
    <w:p>
      <w:pPr>
        <w:spacing w:after="40"/>
      </w:pPr>
      <w:r>
        <w:rPr>
          <w:b/>
          <w:color w:val="1F3A5F"/>
          <w:sz w:val="21"/>
        </w:rPr>
        <w:t xml:space="preserve">Carrera: </w:t>
      </w:r>
      <w:r>
        <w:rPr>
          <w:sz w:val="21"/>
        </w:rPr>
        <w:t>Ingeniería en Informática</w:t>
      </w:r>
    </w:p>
    <w:p>
      <w:pPr>
        <w:spacing w:after="40"/>
      </w:pPr>
      <w:r>
        <w:rPr>
          <w:b/>
          <w:color w:val="1F3A5F"/>
          <w:sz w:val="21"/>
        </w:rPr>
        <w:t xml:space="preserve">Institución: </w:t>
      </w:r>
      <w:r>
        <w:rPr>
          <w:sz w:val="21"/>
        </w:rPr>
        <w:t>DUOC UC, sede Padre Alonso de Ovalle, Santiago</w:t>
      </w:r>
    </w:p>
    <w:p>
      <w:pPr>
        <w:spacing w:after="0"/>
      </w:pPr>
      <w:r>
        <w:br w:type="page"/>
      </w:r>
    </w:p>
    <w:p>
      <w:pPr>
        <w:keepNext/>
        <w:spacing w:after="160" w:before="0"/>
      </w:pPr>
      <w:r>
        <w:rPr>
          <w:b/>
          <w:color w:val="1F3A5F"/>
          <w:sz w:val="32"/>
        </w:rPr>
        <w:t>Control del documento</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268"/>
        <w:gridCol w:w="7138"/>
      </w:tblGrid>
      <w:tr>
        <w:trPr>
          <w:cantSplit/>
          <w:tblHeader/>
        </w:trPr>
        <w:tc>
          <w:tcPr>
            <w:tcW w:type="dxa" w:w="2268"/>
            <w:vAlign w:val="center"/>
            <w:shd w:val="clear" w:color="auto" w:fill="1F3A5F"/>
          </w:tcPr>
          <w:p>
            <w:pPr>
              <w:pStyle w:val="Textodetabla"/>
            </w:pPr>
            <w:r>
              <w:rPr>
                <w:b/>
                <w:color w:val="FFFFFF"/>
                <w:sz w:val="19"/>
              </w:rPr>
              <w:t>Campo</w:t>
            </w:r>
          </w:p>
        </w:tc>
        <w:tc>
          <w:tcPr>
            <w:tcW w:type="dxa" w:w="7138"/>
            <w:vAlign w:val="center"/>
            <w:shd w:val="clear" w:color="auto" w:fill="1F3A5F"/>
          </w:tcPr>
          <w:p>
            <w:pPr>
              <w:pStyle w:val="Textodetabla"/>
            </w:pPr>
            <w:r>
              <w:rPr>
                <w:b/>
                <w:color w:val="FFFFFF"/>
                <w:sz w:val="19"/>
              </w:rPr>
              <w:t>Valor</w:t>
            </w:r>
          </w:p>
        </w:tc>
      </w:tr>
      <w:tr>
        <w:trPr>
          <w:cantSplit/>
        </w:trPr>
        <w:tc>
          <w:tcPr>
            <w:tcW w:type="dxa" w:w="2268"/>
            <w:vAlign w:val="top"/>
          </w:tcPr>
          <w:p>
            <w:pPr>
              <w:pStyle w:val="Textodetabla"/>
            </w:pPr>
            <w:r>
              <w:rPr>
                <w:sz w:val="19"/>
              </w:rPr>
              <w:t>Documento</w:t>
            </w:r>
          </w:p>
        </w:tc>
        <w:tc>
          <w:tcPr>
            <w:tcW w:type="dxa" w:w="7138"/>
            <w:vAlign w:val="top"/>
          </w:tcPr>
          <w:p>
            <w:pPr>
              <w:pStyle w:val="Textodetabla"/>
            </w:pPr>
            <w:r>
              <w:rPr>
                <w:sz w:val="19"/>
              </w:rPr>
              <w:t>01 · Visión de la solución</w:t>
            </w:r>
          </w:p>
        </w:tc>
      </w:tr>
      <w:tr>
        <w:trPr>
          <w:cantSplit/>
        </w:trPr>
        <w:tc>
          <w:tcPr>
            <w:tcW w:type="dxa" w:w="2268"/>
            <w:vAlign w:val="top"/>
            <w:shd w:val="clear" w:color="auto" w:fill="F3F6FA"/>
          </w:tcPr>
          <w:p>
            <w:pPr>
              <w:pStyle w:val="Textodetabla"/>
            </w:pPr>
            <w:r>
              <w:rPr>
                <w:sz w:val="19"/>
              </w:rPr>
              <w:t>Proyecto</w:t>
            </w:r>
          </w:p>
        </w:tc>
        <w:tc>
          <w:tcPr>
            <w:tcW w:type="dxa" w:w="7138"/>
            <w:vAlign w:val="top"/>
            <w:shd w:val="clear" w:color="auto" w:fill="F3F6FA"/>
          </w:tcPr>
          <w:p>
            <w:pPr>
              <w:pStyle w:val="Textodetabla"/>
            </w:pPr>
            <w:r>
              <w:rPr>
                <w:sz w:val="19"/>
              </w:rPr>
              <w:t>Kronos AI — SOAR con clasificación asistida por IA bajo control determinista</w:t>
            </w:r>
          </w:p>
        </w:tc>
      </w:tr>
      <w:tr>
        <w:trPr>
          <w:cantSplit/>
        </w:trPr>
        <w:tc>
          <w:tcPr>
            <w:tcW w:type="dxa" w:w="2268"/>
            <w:vAlign w:val="top"/>
          </w:tcPr>
          <w:p>
            <w:pPr>
              <w:pStyle w:val="Textodetabla"/>
            </w:pPr>
            <w:r>
              <w:rPr>
                <w:sz w:val="19"/>
              </w:rPr>
              <w:t>Versión</w:t>
            </w:r>
          </w:p>
        </w:tc>
        <w:tc>
          <w:tcPr>
            <w:tcW w:type="dxa" w:w="7138"/>
            <w:vAlign w:val="top"/>
          </w:tcPr>
          <w:p>
            <w:pPr>
              <w:pStyle w:val="Textodetabla"/>
            </w:pPr>
            <w:r>
              <w:rPr>
                <w:sz w:val="19"/>
              </w:rPr>
              <w:t>0.1 (borrador)</w:t>
            </w:r>
          </w:p>
        </w:tc>
      </w:tr>
      <w:tr>
        <w:trPr>
          <w:cantSplit/>
        </w:trPr>
        <w:tc>
          <w:tcPr>
            <w:tcW w:type="dxa" w:w="2268"/>
            <w:vAlign w:val="top"/>
            <w:shd w:val="clear" w:color="auto" w:fill="F3F6FA"/>
          </w:tcPr>
          <w:p>
            <w:pPr>
              <w:pStyle w:val="Textodetabla"/>
            </w:pPr>
            <w:r>
              <w:rPr>
                <w:sz w:val="19"/>
              </w:rPr>
              <w:t>Fecha</w:t>
            </w:r>
          </w:p>
        </w:tc>
        <w:tc>
          <w:tcPr>
            <w:tcW w:type="dxa" w:w="7138"/>
            <w:vAlign w:val="top"/>
            <w:shd w:val="clear" w:color="auto" w:fill="F3F6FA"/>
          </w:tcPr>
          <w:p>
            <w:pPr>
              <w:pStyle w:val="Textodetabla"/>
            </w:pPr>
            <w:r>
              <w:rPr>
                <w:sz w:val="19"/>
              </w:rPr>
              <w:t>2026-10-14</w:t>
            </w:r>
          </w:p>
        </w:tc>
      </w:tr>
      <w:tr>
        <w:trPr>
          <w:cantSplit/>
        </w:trPr>
        <w:tc>
          <w:tcPr>
            <w:tcW w:type="dxa" w:w="2268"/>
            <w:vAlign w:val="top"/>
          </w:tcPr>
          <w:p>
            <w:pPr>
              <w:pStyle w:val="Textodetabla"/>
            </w:pPr>
            <w:r>
              <w:rPr>
                <w:sz w:val="19"/>
              </w:rPr>
              <w:t>Autor</w:t>
            </w:r>
          </w:p>
        </w:tc>
        <w:tc>
          <w:tcPr>
            <w:tcW w:type="dxa" w:w="7138"/>
            <w:vAlign w:val="top"/>
          </w:tcPr>
          <w:p>
            <w:pPr>
              <w:pStyle w:val="Textodetabla"/>
            </w:pPr>
            <w:r>
              <w:rPr>
                <w:sz w:val="19"/>
              </w:rPr>
              <w:t>Equipo Kronos AI (redacción asistida por IA)</w:t>
            </w:r>
          </w:p>
        </w:tc>
      </w:tr>
      <w:tr>
        <w:trPr>
          <w:cantSplit/>
        </w:trPr>
        <w:tc>
          <w:tcPr>
            <w:tcW w:type="dxa" w:w="2268"/>
            <w:vAlign w:val="top"/>
            <w:shd w:val="clear" w:color="auto" w:fill="F3F6FA"/>
          </w:tcPr>
          <w:p>
            <w:pPr>
              <w:pStyle w:val="Textodetabla"/>
            </w:pPr>
            <w:r>
              <w:rPr>
                <w:sz w:val="19"/>
              </w:rPr>
              <w:t>Revisor</w:t>
            </w:r>
          </w:p>
        </w:tc>
        <w:tc>
          <w:tcPr>
            <w:tcW w:type="dxa" w:w="7138"/>
            <w:vAlign w:val="top"/>
            <w:shd w:val="clear" w:color="auto" w:fill="F3F6FA"/>
          </w:tcPr>
          <w:p>
            <w:pPr>
              <w:pStyle w:val="Textodetabla"/>
            </w:pPr>
            <w:r>
              <w:rPr>
                <w:sz w:val="19"/>
              </w:rPr>
              <w:t>Por asignar en la revisión del PR (otro integrante, distinto del autor)</w:t>
            </w:r>
          </w:p>
        </w:tc>
      </w:tr>
      <w:tr>
        <w:trPr>
          <w:cantSplit/>
        </w:trPr>
        <w:tc>
          <w:tcPr>
            <w:tcW w:type="dxa" w:w="2268"/>
            <w:vAlign w:val="top"/>
          </w:tcPr>
          <w:p>
            <w:pPr>
              <w:pStyle w:val="Textodetabla"/>
            </w:pPr>
            <w:r>
              <w:rPr>
                <w:sz w:val="19"/>
              </w:rPr>
              <w:t>Estado</w:t>
            </w:r>
          </w:p>
        </w:tc>
        <w:tc>
          <w:tcPr>
            <w:tcW w:type="dxa" w:w="7138"/>
            <w:vAlign w:val="top"/>
          </w:tcPr>
          <w:p>
            <w:pPr>
              <w:pStyle w:val="Textodetabla"/>
            </w:pPr>
            <w:r>
              <w:rPr>
                <w:sz w:val="19"/>
              </w:rPr>
              <w:t>Borrador</w:t>
            </w:r>
          </w:p>
        </w:tc>
      </w:tr>
      <w:tr>
        <w:trPr>
          <w:cantSplit/>
        </w:trPr>
        <w:tc>
          <w:tcPr>
            <w:tcW w:type="dxa" w:w="2268"/>
            <w:vAlign w:val="top"/>
            <w:shd w:val="clear" w:color="auto" w:fill="F3F6FA"/>
          </w:tcPr>
          <w:p>
            <w:pPr>
              <w:pStyle w:val="Textodetabla"/>
            </w:pPr>
            <w:r>
              <w:rPr>
                <w:sz w:val="19"/>
              </w:rPr>
              <w:t>Base bibliográfica</w:t>
            </w:r>
          </w:p>
        </w:tc>
        <w:tc>
          <w:tcPr>
            <w:tcW w:type="dxa" w:w="7138"/>
            <w:vAlign w:val="top"/>
            <w:shd w:val="clear" w:color="auto" w:fill="F3F6FA"/>
          </w:tcPr>
          <w:p>
            <w:pPr>
              <w:pStyle w:val="Textodetabla"/>
            </w:pPr>
            <w:r>
              <w:rPr>
                <w:sz w:val="19"/>
              </w:rPr>
              <w:t>Pantaleo y Rinaudo, 20.7</w:t>
            </w:r>
          </w:p>
        </w:tc>
      </w:tr>
      <w:tr>
        <w:trPr>
          <w:cantSplit/>
        </w:trPr>
        <w:tc>
          <w:tcPr>
            <w:tcW w:type="dxa" w:w="2268"/>
            <w:vAlign w:val="top"/>
          </w:tcPr>
          <w:p>
            <w:pPr>
              <w:pStyle w:val="Textodetabla"/>
            </w:pPr>
            <w:r>
              <w:rPr>
                <w:sz w:val="19"/>
              </w:rPr>
              <w:t>Archivo</w:t>
            </w:r>
          </w:p>
        </w:tc>
        <w:tc>
          <w:tcPr>
            <w:tcW w:type="dxa" w:w="7138"/>
            <w:vAlign w:val="top"/>
          </w:tcPr>
          <w:p>
            <w:pPr>
              <w:pStyle w:val="Textodetabla"/>
            </w:pPr>
            <w:r>
              <w:rPr>
                <w:sz w:val="19"/>
              </w:rPr>
              <w:t>docs/entregables/01_vision.docx</w:t>
            </w:r>
          </w:p>
        </w:tc>
      </w:tr>
    </w:tbl>
    <w:p>
      <w:pPr>
        <w:spacing w:after="40" w:line="192" w:lineRule="auto"/>
      </w:pPr>
    </w:p>
    <w:p>
      <w:pPr>
        <w:keepNext/>
        <w:spacing w:after="160" w:before="120"/>
      </w:pPr>
      <w:r>
        <w:rPr>
          <w:b/>
          <w:color w:val="1F3A5F"/>
          <w:sz w:val="26"/>
        </w:rPr>
        <w:t>Historial de versiones</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020"/>
        <w:gridCol w:w="1360"/>
        <w:gridCol w:w="2608"/>
        <w:gridCol w:w="4416"/>
      </w:tblGrid>
      <w:tr>
        <w:trPr>
          <w:cantSplit/>
          <w:tblHeader/>
        </w:trPr>
        <w:tc>
          <w:tcPr>
            <w:tcW w:type="dxa" w:w="1020"/>
            <w:vAlign w:val="center"/>
            <w:shd w:val="clear" w:color="auto" w:fill="1F3A5F"/>
          </w:tcPr>
          <w:p>
            <w:pPr>
              <w:pStyle w:val="Textodetabla"/>
            </w:pPr>
            <w:r>
              <w:rPr>
                <w:b/>
                <w:color w:val="FFFFFF"/>
                <w:sz w:val="19"/>
              </w:rPr>
              <w:t>Versión</w:t>
            </w:r>
          </w:p>
        </w:tc>
        <w:tc>
          <w:tcPr>
            <w:tcW w:type="dxa" w:w="1361"/>
            <w:vAlign w:val="center"/>
            <w:shd w:val="clear" w:color="auto" w:fill="1F3A5F"/>
          </w:tcPr>
          <w:p>
            <w:pPr>
              <w:pStyle w:val="Textodetabla"/>
            </w:pPr>
            <w:r>
              <w:rPr>
                <w:b/>
                <w:color w:val="FFFFFF"/>
                <w:sz w:val="19"/>
              </w:rPr>
              <w:t>Fecha</w:t>
            </w:r>
          </w:p>
        </w:tc>
        <w:tc>
          <w:tcPr>
            <w:tcW w:type="dxa" w:w="2608"/>
            <w:vAlign w:val="center"/>
            <w:shd w:val="clear" w:color="auto" w:fill="1F3A5F"/>
          </w:tcPr>
          <w:p>
            <w:pPr>
              <w:pStyle w:val="Textodetabla"/>
            </w:pPr>
            <w:r>
              <w:rPr>
                <w:b/>
                <w:color w:val="FFFFFF"/>
                <w:sz w:val="19"/>
              </w:rPr>
              <w:t>Autor</w:t>
            </w:r>
          </w:p>
        </w:tc>
        <w:tc>
          <w:tcPr>
            <w:tcW w:type="dxa" w:w="4416"/>
            <w:vAlign w:val="center"/>
            <w:shd w:val="clear" w:color="auto" w:fill="1F3A5F"/>
          </w:tcPr>
          <w:p>
            <w:pPr>
              <w:pStyle w:val="Textodetabla"/>
            </w:pPr>
            <w:r>
              <w:rPr>
                <w:b/>
                <w:color w:val="FFFFFF"/>
                <w:sz w:val="19"/>
              </w:rPr>
              <w:t>Cambios</w:t>
            </w:r>
          </w:p>
        </w:tc>
      </w:tr>
      <w:tr>
        <w:trPr>
          <w:cantSplit/>
        </w:trPr>
        <w:tc>
          <w:tcPr>
            <w:tcW w:type="dxa" w:w="1020"/>
            <w:vAlign w:val="top"/>
          </w:tcPr>
          <w:p>
            <w:pPr>
              <w:pStyle w:val="Textodetabla"/>
            </w:pPr>
            <w:r>
              <w:rPr>
                <w:sz w:val="19"/>
              </w:rPr>
              <w:t>0.1</w:t>
            </w:r>
          </w:p>
        </w:tc>
        <w:tc>
          <w:tcPr>
            <w:tcW w:type="dxa" w:w="1361"/>
            <w:vAlign w:val="top"/>
          </w:tcPr>
          <w:p>
            <w:pPr>
              <w:pStyle w:val="Textodetabla"/>
            </w:pPr>
            <w:r>
              <w:rPr>
                <w:sz w:val="19"/>
              </w:rPr>
              <w:t>2026-10-14</w:t>
            </w:r>
          </w:p>
        </w:tc>
        <w:tc>
          <w:tcPr>
            <w:tcW w:type="dxa" w:w="2608"/>
            <w:vAlign w:val="top"/>
          </w:tcPr>
          <w:p>
            <w:pPr>
              <w:pStyle w:val="Textodetabla"/>
            </w:pPr>
            <w:r>
              <w:rPr>
                <w:sz w:val="19"/>
              </w:rPr>
              <w:t>Equipo Kronos AI</w:t>
            </w:r>
          </w:p>
        </w:tc>
        <w:tc>
          <w:tcPr>
            <w:tcW w:type="dxa" w:w="4416"/>
            <w:vAlign w:val="top"/>
          </w:tcPr>
          <w:p>
            <w:pPr>
              <w:pStyle w:val="Textodetabla"/>
            </w:pPr>
            <w:r>
              <w:rPr>
                <w:sz w:val="19"/>
              </w:rPr>
              <w:t>Primera versión para la entrega del 16-10-2026</w:t>
            </w:r>
          </w:p>
        </w:tc>
      </w:tr>
    </w:tbl>
    <w:p>
      <w:pPr>
        <w:spacing w:after="40" w:line="192" w:lineRule="auto"/>
      </w:pPr>
    </w:p>
    <w:p>
      <w:pPr>
        <w:keepNext/>
        <w:spacing w:after="160" w:before="120"/>
      </w:pPr>
      <w:r>
        <w:rPr>
          <w:b/>
          <w:color w:val="1F3A5F"/>
          <w:sz w:val="26"/>
        </w:rPr>
        <w:t>Cómo leer este documento</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041"/>
        <w:gridCol w:w="7365"/>
      </w:tblGrid>
      <w:tr>
        <w:trPr>
          <w:cantSplit/>
          <w:tblHeader/>
        </w:trPr>
        <w:tc>
          <w:tcPr>
            <w:tcW w:type="dxa" w:w="2041"/>
            <w:vAlign w:val="center"/>
            <w:shd w:val="clear" w:color="auto" w:fill="1F3A5F"/>
          </w:tcPr>
          <w:p>
            <w:pPr>
              <w:pStyle w:val="Textodetabla"/>
            </w:pPr>
            <w:r>
              <w:rPr>
                <w:b/>
                <w:color w:val="FFFFFF"/>
                <w:sz w:val="19"/>
              </w:rPr>
              <w:t>Marca</w:t>
            </w:r>
          </w:p>
        </w:tc>
        <w:tc>
          <w:tcPr>
            <w:tcW w:type="dxa" w:w="7364"/>
            <w:vAlign w:val="center"/>
            <w:shd w:val="clear" w:color="auto" w:fill="1F3A5F"/>
          </w:tcPr>
          <w:p>
            <w:pPr>
              <w:pStyle w:val="Textodetabla"/>
            </w:pPr>
            <w:r>
              <w:rPr>
                <w:b/>
                <w:color w:val="FFFFFF"/>
                <w:sz w:val="19"/>
              </w:rPr>
              <w:t>Significado</w:t>
            </w:r>
          </w:p>
        </w:tc>
      </w:tr>
      <w:tr>
        <w:trPr>
          <w:cantSplit/>
        </w:trPr>
        <w:tc>
          <w:tcPr>
            <w:tcW w:type="dxa" w:w="2041"/>
            <w:vAlign w:val="top"/>
          </w:tcPr>
          <w:p>
            <w:pPr>
              <w:pStyle w:val="Textodetabla"/>
            </w:pPr>
            <w:r>
              <w:rPr>
                <w:rFonts w:ascii="Segoe UI Emoji" w:hAnsi="Segoe UI Emoji"/>
                <w:sz w:val="19"/>
              </w:rPr>
              <w:t>✅</w:t>
            </w:r>
            <w:r>
              <w:rPr>
                <w:sz w:val="19"/>
              </w:rPr>
              <w:t xml:space="preserve"> Verificado</w:t>
            </w:r>
          </w:p>
        </w:tc>
        <w:tc>
          <w:tcPr>
            <w:tcW w:type="dxa" w:w="7364"/>
            <w:vAlign w:val="top"/>
          </w:tcPr>
          <w:p>
            <w:pPr>
              <w:pStyle w:val="Textodetabla"/>
            </w:pPr>
            <w:r>
              <w:rPr>
                <w:sz w:val="19"/>
              </w:rPr>
              <w:t>Hay evidencia en el repositorio, en la salida de una terminal o en un documento del equipo.</w:t>
            </w:r>
          </w:p>
        </w:tc>
      </w:tr>
      <w:tr>
        <w:trPr>
          <w:cantSplit/>
        </w:trPr>
        <w:tc>
          <w:tcPr>
            <w:tcW w:type="dxa" w:w="2041"/>
            <w:vAlign w:val="top"/>
            <w:shd w:val="clear" w:color="auto" w:fill="F3F6FA"/>
          </w:tcPr>
          <w:p>
            <w:pPr>
              <w:pStyle w:val="Textodetabla"/>
            </w:pPr>
            <w:r>
              <w:rPr>
                <w:rFonts w:ascii="Segoe UI Emoji" w:hAnsi="Segoe UI Emoji"/>
                <w:sz w:val="19"/>
              </w:rPr>
              <w:t>🟡</w:t>
            </w:r>
            <w:r>
              <w:rPr>
                <w:sz w:val="19"/>
              </w:rPr>
              <w:t xml:space="preserve"> Informado</w:t>
            </w:r>
          </w:p>
        </w:tc>
        <w:tc>
          <w:tcPr>
            <w:tcW w:type="dxa" w:w="7364"/>
            <w:vAlign w:val="top"/>
            <w:shd w:val="clear" w:color="auto" w:fill="F3F6FA"/>
          </w:tcPr>
          <w:p>
            <w:pPr>
              <w:pStyle w:val="Textodetabla"/>
            </w:pPr>
            <w:r>
              <w:rPr>
                <w:sz w:val="19"/>
              </w:rPr>
              <w:t>Lo dice un documento o una herramienta, pero no se ha comprobado o la fuente es antigua.</w:t>
            </w:r>
          </w:p>
        </w:tc>
      </w:tr>
      <w:tr>
        <w:trPr>
          <w:cantSplit/>
        </w:trPr>
        <w:tc>
          <w:tcPr>
            <w:tcW w:type="dxa" w:w="2041"/>
            <w:vAlign w:val="top"/>
          </w:tcPr>
          <w:p>
            <w:pPr>
              <w:pStyle w:val="Textodetabla"/>
            </w:pPr>
            <w:r>
              <w:rPr>
                <w:rFonts w:ascii="Segoe UI Emoji" w:hAnsi="Segoe UI Emoji"/>
                <w:sz w:val="19"/>
              </w:rPr>
              <w:t>⏳</w:t>
            </w:r>
            <w:r>
              <w:rPr>
                <w:sz w:val="19"/>
              </w:rPr>
              <w:t xml:space="preserve"> Pendiente</w:t>
            </w:r>
          </w:p>
        </w:tc>
        <w:tc>
          <w:tcPr>
            <w:tcW w:type="dxa" w:w="7364"/>
            <w:vAlign w:val="top"/>
          </w:tcPr>
          <w:p>
            <w:pPr>
              <w:pStyle w:val="Textodetabla"/>
            </w:pPr>
            <w:r>
              <w:rPr>
                <w:sz w:val="19"/>
              </w:rPr>
              <w:t>Está decidido hacerlo, pero no se ha hecho.</w:t>
            </w:r>
          </w:p>
        </w:tc>
      </w:tr>
      <w:tr>
        <w:trPr>
          <w:cantSplit/>
        </w:trPr>
        <w:tc>
          <w:tcPr>
            <w:tcW w:type="dxa" w:w="2041"/>
            <w:vAlign w:val="top"/>
            <w:shd w:val="clear" w:color="auto" w:fill="F3F6FA"/>
          </w:tcPr>
          <w:p>
            <w:pPr>
              <w:pStyle w:val="Textodetabla"/>
            </w:pPr>
            <w:r>
              <w:rPr>
                <w:rFonts w:ascii="Segoe UI Emoji" w:hAnsi="Segoe UI Emoji"/>
                <w:sz w:val="19"/>
              </w:rPr>
              <w:t>❓</w:t>
            </w:r>
            <w:r>
              <w:rPr>
                <w:sz w:val="19"/>
              </w:rPr>
              <w:t xml:space="preserve"> Por confirmar</w:t>
            </w:r>
          </w:p>
        </w:tc>
        <w:tc>
          <w:tcPr>
            <w:tcW w:type="dxa" w:w="7364"/>
            <w:vAlign w:val="top"/>
            <w:shd w:val="clear" w:color="auto" w:fill="F3F6FA"/>
          </w:tcPr>
          <w:p>
            <w:pPr>
              <w:pStyle w:val="Textodetabla"/>
            </w:pPr>
            <w:r>
              <w:rPr>
                <w:sz w:val="19"/>
              </w:rPr>
              <w:t xml:space="preserve">Falta el dato. No se inventa: se marca </w:t>
            </w:r>
            <w:r>
              <w:rPr>
                <w:b/>
                <w:color w:val="7A4A00"/>
                <w:sz w:val="19"/>
                <w:highlight w:val="yellow"/>
              </w:rPr>
              <w:t>[POR CONFIRMAR: …]</w:t>
            </w:r>
            <w:r>
              <w:rPr>
                <w:sz w:val="19"/>
              </w:rPr>
              <w:t xml:space="preserve"> y se agrega a docs/00-indice/preguntas-abiertas.md.</w:t>
            </w:r>
          </w:p>
        </w:tc>
      </w:tr>
      <w:tr>
        <w:trPr>
          <w:cantSplit/>
        </w:trPr>
        <w:tc>
          <w:tcPr>
            <w:tcW w:type="dxa" w:w="2041"/>
            <w:vAlign w:val="top"/>
          </w:tcPr>
          <w:p>
            <w:pPr>
              <w:pStyle w:val="Textodetabla"/>
            </w:pPr>
            <w:r>
              <w:rPr>
                <w:b/>
                <w:color w:val="004D40"/>
                <w:sz w:val="19"/>
                <w:highlight w:val="cyan"/>
              </w:rPr>
              <w:t>[PENDIENTE: …]</w:t>
            </w:r>
          </w:p>
        </w:tc>
        <w:tc>
          <w:tcPr>
            <w:tcW w:type="dxa" w:w="7364"/>
            <w:vAlign w:val="top"/>
          </w:tcPr>
          <w:p>
            <w:pPr>
              <w:pStyle w:val="Textodetabla"/>
            </w:pPr>
            <w:r>
              <w:rPr>
                <w:sz w:val="19"/>
              </w:rPr>
              <w:t>Depende de la instalación en la farmacia (D-28); se lista en docs/00-indice/pendientes-farmacia.md.</w:t>
            </w:r>
          </w:p>
        </w:tc>
      </w:tr>
      <w:tr>
        <w:trPr>
          <w:cantSplit/>
        </w:trPr>
        <w:tc>
          <w:tcPr>
            <w:tcW w:type="dxa" w:w="2041"/>
            <w:vAlign w:val="top"/>
            <w:shd w:val="clear" w:color="auto" w:fill="F3F6FA"/>
          </w:tcPr>
          <w:p>
            <w:pPr>
              <w:pStyle w:val="Textodetabla"/>
            </w:pPr>
            <w:r>
              <w:rPr>
                <w:b/>
                <w:color w:val="8A2B0E"/>
                <w:sz w:val="19"/>
              </w:rPr>
              <w:t>«Propuesta»</w:t>
            </w:r>
          </w:p>
        </w:tc>
        <w:tc>
          <w:tcPr>
            <w:tcW w:type="dxa" w:w="7364"/>
            <w:vAlign w:val="top"/>
            <w:shd w:val="clear" w:color="auto" w:fill="F3F6FA"/>
          </w:tcPr>
          <w:p>
            <w:pPr>
              <w:pStyle w:val="Textodetabla"/>
            </w:pPr>
            <w:r>
              <w:rPr>
                <w:sz w:val="19"/>
              </w:rPr>
              <w:t>Lo propone la redacción y el equipo aún no lo decide.</w:t>
            </w:r>
          </w:p>
        </w:tc>
      </w:tr>
    </w:tbl>
    <w:p>
      <w:pPr>
        <w:spacing w:after="40" w:line="192" w:lineRule="auto"/>
      </w:pPr>
    </w:p>
    <w:p>
      <w:r>
        <w:rPr>
          <w:sz w:val="19"/>
        </w:rPr>
        <w:t>Los documentos se identifican por su número y su nombre. Las remisiones a otro documento se escriben «documento NN (Nombre)». Este documento no contiene secretos, contraseñas, llaves, tokens, direcciones IP reales ni datos que identifiquen a la farmacia o a su personal.</w:t>
      </w:r>
    </w:p>
    <w:p>
      <w:pPr>
        <w:spacing w:after="0"/>
      </w:pPr>
      <w:r>
        <w:br w:type="page"/>
      </w:r>
    </w:p>
    <w:p>
      <w:pPr>
        <w:keepNext/>
        <w:spacing w:after="160" w:before="0"/>
      </w:pPr>
      <w:r>
        <w:rPr>
          <w:b/>
          <w:color w:val="1F3A5F"/>
          <w:sz w:val="32"/>
        </w:rPr>
        <w:t>Índice</w:t>
      </w:r>
    </w:p>
    <w:p>
      <w:pPr>
        <w:pStyle w:val="TOC1"/>
      </w:pPr>
      <w:r>
        <w:fldChar w:fldCharType="begin"/>
      </w:r>
      <w:r>
        <w:instrText xml:space="preserve"> TOC \o "1-3" \h \z \u </w:instrText>
      </w:r>
      <w:r>
        <w:fldChar w:fldCharType="separate"/>
      </w:r>
      <w:hyperlink w:anchor="_Toc0001" w:history="1">
        <w:r>
          <w:rPr/>
          <w:t xml:space="preserve">1. Propósito</w:t>
        </w:r>
        <w:r>
          <w:rPr/>
          <w:tab/>
        </w:r>
        <w:r>
          <w:rPr/>
          <w:t xml:space="preserve">4</w:t>
        </w:r>
      </w:hyperlink>
    </w:p>
    <w:p>
      <w:pPr>
        <w:pStyle w:val="TOC1"/>
      </w:pPr>
      <w:hyperlink w:anchor="_Toc0002" w:history="1">
        <w:r>
          <w:rPr/>
          <w:t xml:space="preserve">2. El problema</w:t>
        </w:r>
        <w:r>
          <w:rPr/>
          <w:tab/>
        </w:r>
        <w:r>
          <w:rPr/>
          <w:t xml:space="preserve">4</w:t>
        </w:r>
      </w:hyperlink>
    </w:p>
    <w:p>
      <w:pPr>
        <w:pStyle w:val="TOC1"/>
      </w:pPr>
      <w:hyperlink w:anchor="_Toc0003" w:history="1">
        <w:r>
          <w:rPr/>
          <w:t xml:space="preserve">3. La propuesta</w:t>
        </w:r>
        <w:r>
          <w:rPr/>
          <w:tab/>
        </w:r>
        <w:r>
          <w:rPr/>
          <w:t xml:space="preserve">4</w:t>
        </w:r>
      </w:hyperlink>
    </w:p>
    <w:p>
      <w:pPr>
        <w:pStyle w:val="TOC2"/>
      </w:pPr>
      <w:hyperlink w:anchor="_Toc0004" w:history="1">
        <w:r>
          <w:rPr/>
          <w:t xml:space="preserve">3.1 Tesis</w:t>
        </w:r>
        <w:r>
          <w:rPr/>
          <w:tab/>
        </w:r>
        <w:r>
          <w:rPr/>
          <w:t xml:space="preserve">4</w:t>
        </w:r>
      </w:hyperlink>
    </w:p>
    <w:p>
      <w:pPr>
        <w:pStyle w:val="TOC2"/>
      </w:pPr>
      <w:hyperlink w:anchor="_Toc0005" w:history="1">
        <w:r>
          <w:rPr/>
          <w:t xml:space="preserve">3.2 El modelo no aprende</w:t>
        </w:r>
        <w:r>
          <w:rPr/>
          <w:tab/>
        </w:r>
        <w:r>
          <w:rPr/>
          <w:t xml:space="preserve">4</w:t>
        </w:r>
      </w:hyperlink>
    </w:p>
    <w:p>
      <w:pPr>
        <w:pStyle w:val="TOC1"/>
      </w:pPr>
      <w:hyperlink w:anchor="_Toc0006" w:history="1">
        <w:r>
          <w:rPr/>
          <w:t xml:space="preserve">4. Características principales</w:t>
        </w:r>
        <w:r>
          <w:rPr/>
          <w:tab/>
        </w:r>
        <w:r>
          <w:rPr/>
          <w:t xml:space="preserve">5</w:t>
        </w:r>
      </w:hyperlink>
    </w:p>
    <w:p>
      <w:pPr>
        <w:pStyle w:val="TOC2"/>
      </w:pPr>
      <w:hyperlink w:anchor="_Toc0007" w:history="1">
        <w:r>
          <w:rPr/>
          <w:t xml:space="preserve">4.1 Qué hace y qué no hace</w:t>
        </w:r>
        <w:r>
          <w:rPr/>
          <w:tab/>
        </w:r>
        <w:r>
          <w:rPr/>
          <w:t xml:space="preserve">5</w:t>
        </w:r>
      </w:hyperlink>
    </w:p>
    <w:p>
      <w:pPr>
        <w:pStyle w:val="TOC2"/>
      </w:pPr>
      <w:hyperlink w:anchor="_Toc0008" w:history="1">
        <w:r>
          <w:rPr/>
          <w:t xml:space="preserve">4.2 Familias de incidentes</w:t>
        </w:r>
        <w:r>
          <w:rPr/>
          <w:tab/>
        </w:r>
        <w:r>
          <w:rPr/>
          <w:t xml:space="preserve">6</w:t>
        </w:r>
      </w:hyperlink>
    </w:p>
    <w:p>
      <w:pPr>
        <w:pStyle w:val="TOC1"/>
      </w:pPr>
      <w:hyperlink w:anchor="_Toc0009" w:history="1">
        <w:r>
          <w:rPr/>
          <w:t xml:space="preserve">5. Límites del alcance</w:t>
        </w:r>
        <w:r>
          <w:rPr/>
          <w:tab/>
        </w:r>
        <w:r>
          <w:rPr/>
          <w:t xml:space="preserve">6</w:t>
        </w:r>
      </w:hyperlink>
    </w:p>
    <w:p>
      <w:pPr>
        <w:pStyle w:val="TOC1"/>
      </w:pPr>
      <w:hyperlink w:anchor="_Toc0010" w:history="1">
        <w:r>
          <w:rPr/>
          <w:t xml:space="preserve">6. Contexto</w:t>
        </w:r>
        <w:r>
          <w:rPr/>
          <w:tab/>
        </w:r>
        <w:r>
          <w:rPr/>
          <w:t xml:space="preserve">6</w:t>
        </w:r>
      </w:hyperlink>
    </w:p>
    <w:p>
      <w:pPr>
        <w:pStyle w:val="TOC1"/>
      </w:pPr>
      <w:hyperlink w:anchor="_Toc0011" w:history="1">
        <w:r>
          <w:rPr/>
          <w:t xml:space="preserve">7. Partes interesadas</w:t>
        </w:r>
        <w:r>
          <w:rPr/>
          <w:tab/>
        </w:r>
        <w:r>
          <w:rPr/>
          <w:t xml:space="preserve">7</w:t>
        </w:r>
      </w:hyperlink>
    </w:p>
    <w:p>
      <w:pPr>
        <w:pStyle w:val="TOC1"/>
      </w:pPr>
      <w:hyperlink w:anchor="_Toc0012" w:history="1">
        <w:r>
          <w:rPr/>
          <w:t xml:space="preserve">8. Supuestos y restricciones</w:t>
        </w:r>
        <w:r>
          <w:rPr/>
          <w:tab/>
        </w:r>
        <w:r>
          <w:rPr/>
          <w:t xml:space="preserve">7</w:t>
        </w:r>
      </w:hyperlink>
    </w:p>
    <w:p>
      <w:pPr>
        <w:pStyle w:val="TOC1"/>
      </w:pPr>
      <w:hyperlink w:anchor="_Toc0013" w:history="1">
        <w:r>
          <w:rPr/>
          <w:t xml:space="preserve">9. Evolución desde la Fase 1</w:t>
        </w:r>
        <w:r>
          <w:rPr/>
          <w:tab/>
        </w:r>
        <w:r>
          <w:rPr/>
          <w:t xml:space="preserve">8</w:t>
        </w:r>
      </w:hyperlink>
    </w:p>
    <w:p>
      <w:pPr>
        <w:pStyle w:val="TOC1"/>
      </w:pPr>
      <w:hyperlink w:anchor="_Toc0014" w:history="1">
        <w:r>
          <w:rPr/>
          <w:t xml:space="preserve">10. Objetivos</w:t>
        </w:r>
        <w:r>
          <w:rPr/>
          <w:tab/>
        </w:r>
        <w:r>
          <w:rPr/>
          <w:t xml:space="preserve">8</w:t>
        </w:r>
      </w:hyperlink>
    </w:p>
    <w:p>
      <w:pPr>
        <w:pStyle w:val="TOC1"/>
      </w:pPr>
      <w:hyperlink w:anchor="_Toc0015" w:history="1">
        <w:r>
          <w:rPr/>
          <w:t xml:space="preserve">11. Referencias</w:t>
        </w:r>
        <w:r>
          <w:rPr/>
          <w:tab/>
        </w:r>
        <w:r>
          <w:rPr/>
          <w:t xml:space="preserve">8</w:t>
        </w:r>
      </w:hyperlink>
      <w:r>
        <w:fldChar w:fldCharType="end"/>
      </w:r>
    </w:p>
    <w:p>
      <w:pPr>
        <w:keepNext/>
        <w:spacing w:after="160" w:before="120"/>
      </w:pPr>
      <w:r>
        <w:rPr>
          <w:b/>
          <w:color w:val="1F3A5F"/>
          <w:sz w:val="26"/>
        </w:rPr>
        <w:t>Índice de tablas</w:t>
      </w:r>
    </w:p>
    <w:p>
      <w:pPr>
        <w:pStyle w:val="TableofFigures"/>
      </w:pPr>
      <w:r>
        <w:fldChar w:fldCharType="begin"/>
      </w:r>
      <w:r>
        <w:instrText xml:space="preserve"> TOC \h \z \c "Tabla" </w:instrText>
      </w:r>
      <w:r>
        <w:fldChar w:fldCharType="separate"/>
      </w:r>
      <w:hyperlink w:anchor="_Tab001" w:history="1">
        <w:r>
          <w:rPr/>
          <w:t xml:space="preserve">Tabla 1. Características principales</w:t>
        </w:r>
        <w:r>
          <w:rPr/>
          <w:tab/>
        </w:r>
        <w:r>
          <w:rPr/>
          <w:t xml:space="preserve">5</w:t>
        </w:r>
      </w:hyperlink>
    </w:p>
    <w:p>
      <w:pPr>
        <w:pStyle w:val="TableofFigures"/>
      </w:pPr>
      <w:hyperlink w:anchor="_Tab002" w:history="1">
        <w:r>
          <w:rPr/>
          <w:t xml:space="preserve">Tabla 2. Alcance funcional</w:t>
        </w:r>
        <w:r>
          <w:rPr/>
          <w:tab/>
        </w:r>
        <w:r>
          <w:rPr/>
          <w:t xml:space="preserve">5</w:t>
        </w:r>
      </w:hyperlink>
    </w:p>
    <w:p>
      <w:pPr>
        <w:pStyle w:val="TableofFigures"/>
      </w:pPr>
      <w:hyperlink w:anchor="_Tab003" w:history="1">
        <w:r>
          <w:rPr/>
          <w:t xml:space="preserve">Tabla 3. Familias de clasificación</w:t>
        </w:r>
        <w:r>
          <w:rPr/>
          <w:tab/>
        </w:r>
        <w:r>
          <w:rPr/>
          <w:t xml:space="preserve">6</w:t>
        </w:r>
      </w:hyperlink>
    </w:p>
    <w:p>
      <w:pPr>
        <w:pStyle w:val="TableofFigures"/>
      </w:pPr>
      <w:hyperlink w:anchor="_Tab004" w:history="1">
        <w:r>
          <w:rPr/>
          <w:t xml:space="preserve">Tabla 4. Contexto del proyecto</w:t>
        </w:r>
        <w:r>
          <w:rPr/>
          <w:tab/>
        </w:r>
        <w:r>
          <w:rPr/>
          <w:t xml:space="preserve">6</w:t>
        </w:r>
      </w:hyperlink>
    </w:p>
    <w:p>
      <w:pPr>
        <w:pStyle w:val="TableofFigures"/>
      </w:pPr>
      <w:hyperlink w:anchor="_Tab005" w:history="1">
        <w:r>
          <w:rPr/>
          <w:t xml:space="preserve">Tabla 5. Partes interesadas</w:t>
        </w:r>
        <w:r>
          <w:rPr/>
          <w:tab/>
        </w:r>
        <w:r>
          <w:rPr/>
          <w:t xml:space="preserve">7</w:t>
        </w:r>
      </w:hyperlink>
    </w:p>
    <w:p>
      <w:pPr>
        <w:pStyle w:val="TableofFigures"/>
      </w:pPr>
      <w:hyperlink w:anchor="_Tab006" w:history="1">
        <w:r>
          <w:rPr/>
          <w:t xml:space="preserve">Tabla 6. Supuestos</w:t>
        </w:r>
        <w:r>
          <w:rPr/>
          <w:tab/>
        </w:r>
        <w:r>
          <w:rPr/>
          <w:t xml:space="preserve">7</w:t>
        </w:r>
      </w:hyperlink>
    </w:p>
    <w:p>
      <w:pPr>
        <w:pStyle w:val="TableofFigures"/>
      </w:pPr>
      <w:hyperlink w:anchor="_Tab007" w:history="1">
        <w:r>
          <w:rPr/>
          <w:t xml:space="preserve">Tabla 7. Restricciones</w:t>
        </w:r>
        <w:r>
          <w:rPr/>
          <w:tab/>
        </w:r>
        <w:r>
          <w:rPr/>
          <w:t xml:space="preserve">7</w:t>
        </w:r>
      </w:hyperlink>
    </w:p>
    <w:p>
      <w:pPr>
        <w:pStyle w:val="TableofFigures"/>
      </w:pPr>
      <w:hyperlink w:anchor="_Tab008" w:history="1">
        <w:r>
          <w:rPr/>
          <w:t xml:space="preserve">Tabla 8. Objetivos específicos</w:t>
        </w:r>
        <w:r>
          <w:rPr/>
          <w:tab/>
        </w:r>
        <w:r>
          <w:rPr/>
          <w:t xml:space="preserve">8</w:t>
        </w:r>
      </w:hyperlink>
      <w:r>
        <w:fldChar w:fldCharType="end"/>
      </w:r>
    </w:p>
    <w:p>
      <w:pPr>
        <w:spacing w:after="0"/>
      </w:pPr>
      <w:r>
        <w:br w:type="page"/>
      </w:r>
    </w:p>
    <w:p>
      <w:pPr>
        <w:pStyle w:val="Heading1"/>
      </w:pPr>
      <w:bookmarkStart w:id="1001" w:name="_Toc0001"/>
      <w:r>
        <w:t>1. Propósito</w:t>
      </w:r>
      <w:bookmarkEnd w:id="1001"/>
    </w:p>
    <w:p>
      <w:r>
        <w:t>Este documento explica qué es Kronos AI, qué problema resuelve y qué queda fuera. Lo pueden leer el profesor guía, la comisión y cualquier persona que se sume al proyecto, sin conocimientos previos del código.</w:t>
      </w:r>
    </w:p>
    <w:p>
      <w:r>
        <w:t>El libro propone que la visión del proyecto sea un texto breve y compartido. Debe responder qué se construye, para quién y por qué, y servir de referencia para decidir qué entra y qué no (Pantaleo y Rinaudo, 20.7).</w:t>
      </w:r>
    </w:p>
    <w:p>
      <w:pPr>
        <w:pStyle w:val="Heading1"/>
      </w:pPr>
      <w:bookmarkStart w:id="1002" w:name="_Toc0002"/>
      <w:r>
        <w:t>2. El problema</w:t>
      </w:r>
      <w:bookmarkEnd w:id="1002"/>
    </w:p>
    <w:p>
      <w:r>
        <w:t>Los centros de operaciones de seguridad reciben más alertas de las que pueden analizar. Las plataformas comerciales de orquestación, automatización y respuesta (SOAR) resuelven ese problema, pero su licenciamiento es inalcanzable para una PyME.</w:t>
      </w:r>
    </w:p>
    <w:p>
      <w:r>
        <w:t xml:space="preserve">Una PyME enfrenta las mismas amenazas que una empresa grande, sin un equipo dedicado ni presupuesto. Por eso el competidor real de Kronos no es otro SIEM: es la </w:t>
      </w:r>
      <w:r>
        <w:rPr>
          <w:b/>
        </w:rPr>
        <w:t>ausencia total de monitoreo</w:t>
      </w:r>
      <w:r>
        <w:t>.</w:t>
      </w:r>
    </w:p>
    <w:p>
      <w:pPr>
        <w:pStyle w:val="Heading1"/>
      </w:pPr>
      <w:bookmarkStart w:id="1003" w:name="_Toc0003"/>
      <w:r>
        <w:t>3. La propuesta</w:t>
      </w:r>
      <w:bookmarkEnd w:id="1003"/>
    </w:p>
    <w:p>
      <w:pPr>
        <w:pStyle w:val="Nota"/>
      </w:pPr>
      <w:r>
        <w:rPr>
          <w:b/>
          <w:sz w:val="20"/>
        </w:rPr>
        <w:t>Kronos AI</w:t>
      </w:r>
      <w:r>
        <w:rPr>
          <w:sz w:val="20"/>
        </w:rPr>
        <w:t xml:space="preserve"> es un SOAR con clasificación de incidentes asistida por inteligencia artificial, bajo control determinista, entregado como servicio en la nube y sin dependencia de infraestructura del cliente.</w:t>
      </w:r>
    </w:p>
    <w:p>
      <w:pPr>
        <w:pStyle w:val="Heading2"/>
      </w:pPr>
      <w:bookmarkStart w:id="1004" w:name="_Toc0004"/>
      <w:r>
        <w:t>3.1 Tesis</w:t>
      </w:r>
      <w:bookmarkEnd w:id="1004"/>
    </w:p>
    <w:p>
      <w:r>
        <w:t>Kronos separa de forma estricta dos funciones:</w:t>
      </w:r>
    </w:p>
    <w:p>
      <w:pPr>
        <w:pStyle w:val="Viñeta"/>
        <w:tabs>
          <w:tab w:pos="510" w:val="left"/>
        </w:tabs>
      </w:pPr>
      <w:r>
        <w:rPr>
          <w:color w:val="1F3A5F"/>
        </w:rPr>
        <w:t>•</w:t>
        <w:tab/>
      </w:r>
      <w:r>
        <w:t xml:space="preserve">Una </w:t>
      </w:r>
      <w:r>
        <w:rPr>
          <w:b/>
        </w:rPr>
        <w:t>IA que sólo clasifica</w:t>
      </w:r>
      <w:r>
        <w:t>: lee la alerta y elige una familia y un identificador de un catálogo cerrado.</w:t>
      </w:r>
    </w:p>
    <w:p>
      <w:pPr>
        <w:pStyle w:val="Viñeta"/>
        <w:tabs>
          <w:tab w:pos="510" w:val="left"/>
        </w:tabs>
        <w:spacing w:after="160"/>
      </w:pPr>
      <w:r>
        <w:rPr>
          <w:color w:val="1F3A5F"/>
        </w:rPr>
        <w:t>•</w:t>
        <w:tab/>
      </w:r>
      <w:r>
        <w:t xml:space="preserve">Un </w:t>
      </w:r>
      <w:r>
        <w:rPr>
          <w:b/>
        </w:rPr>
        <w:t>código determinista que ejecuta</w:t>
      </w:r>
      <w:r>
        <w:t>: valida la propuesta con reglas verificables, registra la decisión y recién entonces actúa.</w:t>
      </w:r>
    </w:p>
    <w:p>
      <w:r>
        <w:t>Si el modelo construyera comandos a partir del texto de una alerta, un atacante que controla ese texto podría ejecutar código en el equipo del cliente. Esa técnica se conoce como inyección de instrucciones. Por eso el modelo nunca escribe acciones: sólo elige entre las que el equipo ya definió y auditó.</w:t>
      </w:r>
    </w:p>
    <w:p>
      <w:pPr>
        <w:pStyle w:val="Nota"/>
      </w:pPr>
      <w:r>
        <w:rPr>
          <w:b/>
          <w:sz w:val="20"/>
        </w:rPr>
        <w:t>Frase para la defensa.</w:t>
      </w:r>
      <w:r>
        <w:rPr>
          <w:sz w:val="20"/>
        </w:rPr>
        <w:t xml:space="preserve"> COLLECT mira, DETECT reconoce, CLASSIFY opina, VALIDATE decide, EXECUTE actúa, AUDIT recuerda y CONSOLE muestra. Las únicas piezas que tocan el equipo del cliente son COLLECT y EXECUTE, y ninguna habla con el modelo.</w:t>
      </w:r>
    </w:p>
    <w:p>
      <w:pPr>
        <w:pStyle w:val="Heading2"/>
      </w:pPr>
      <w:bookmarkStart w:id="1005" w:name="_Toc0005"/>
      <w:r>
        <w:t>3.2 El modelo no aprende</w:t>
      </w:r>
      <w:bookmarkEnd w:id="1005"/>
    </w:p>
    <w:p>
      <w:r>
        <w:t>SOAR-CLASSIFY corre con los pesos congelados: sin entrenamiento, sin ajuste fino y sin memoria entre alertas. Un sistema que se reentrena solo no permite reproducir decisiones pasadas y quita valor a la bitácora.</w:t>
      </w:r>
    </w:p>
    <w:p>
      <w:r>
        <w:t>Generalizar no es aprender. El modelo clasifica alertas redactadas de formas que nunca vio, pero no puede inventar una familia ni una medida. Kronos mejora con ajustes de los prompts, ejemplos o una versión nueva del catálogo, siempre con una persona de por medio.</w:t>
      </w:r>
    </w:p>
    <w:p>
      <w:pPr>
        <w:pStyle w:val="Heading1"/>
      </w:pPr>
      <w:bookmarkStart w:id="1006" w:name="_Toc0006"/>
      <w:r>
        <w:t>4. Características principales</w:t>
      </w:r>
      <w:bookmarkEnd w:id="1006"/>
    </w:p>
    <w:p>
      <w:pPr>
        <w:pStyle w:val="Caption"/>
        <w:keepNext/>
        <w:spacing w:before="120" w:after="80"/>
      </w:pPr>
      <w:bookmarkStart w:id="5001" w:name="_Tab001"/>
      <w:r>
        <w:t xml:space="preserve">Tabla </w:t>
      </w:r>
      <w:r>
        <w:fldChar w:fldCharType="begin"/>
      </w:r>
      <w:r>
        <w:instrText xml:space="preserve"> SEQ Tabla \* ARABIC </w:instrText>
      </w:r>
      <w:r>
        <w:fldChar w:fldCharType="separate"/>
      </w:r>
      <w:r>
        <w:t>1</w:t>
      </w:r>
      <w:r>
        <w:fldChar w:fldCharType="end"/>
      </w:r>
      <w:r>
        <w:t xml:space="preserve">. </w:t>
      </w:r>
      <w:r>
        <w:t>Características principales</w:t>
      </w:r>
      <w:bookmarkEnd w:id="5001"/>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460"/>
        <w:gridCol w:w="6946"/>
      </w:tblGrid>
      <w:tr>
        <w:trPr>
          <w:cantSplit/>
          <w:tblHeader/>
        </w:trPr>
        <w:tc>
          <w:tcPr>
            <w:tcW w:type="dxa" w:w="2460"/>
            <w:vAlign w:val="center"/>
            <w:shd w:val="clear" w:color="auto" w:fill="1F3A5F"/>
          </w:tcPr>
          <w:p>
            <w:pPr>
              <w:pStyle w:val="Textodetabla"/>
            </w:pPr>
            <w:r>
              <w:rPr>
                <w:b/>
                <w:color w:val="FFFFFF"/>
                <w:sz w:val="19"/>
              </w:rPr>
              <w:t>Característica</w:t>
            </w:r>
          </w:p>
        </w:tc>
        <w:tc>
          <w:tcPr>
            <w:tcW w:type="dxa" w:w="6945"/>
            <w:vAlign w:val="center"/>
            <w:shd w:val="clear" w:color="auto" w:fill="1F3A5F"/>
          </w:tcPr>
          <w:p>
            <w:pPr>
              <w:pStyle w:val="Textodetabla"/>
            </w:pPr>
            <w:r>
              <w:rPr>
                <w:b/>
                <w:color w:val="FFFFFF"/>
                <w:sz w:val="19"/>
              </w:rPr>
              <w:t>Qué significa para el cliente</w:t>
            </w:r>
          </w:p>
        </w:tc>
      </w:tr>
      <w:tr>
        <w:trPr>
          <w:cantSplit/>
        </w:trPr>
        <w:tc>
          <w:tcPr>
            <w:tcW w:type="dxa" w:w="2460"/>
            <w:vAlign w:val="top"/>
          </w:tcPr>
          <w:p>
            <w:pPr>
              <w:pStyle w:val="Textodetabla"/>
            </w:pPr>
            <w:r>
              <w:rPr>
                <w:sz w:val="19"/>
              </w:rPr>
              <w:t>Catálogo cerrado de medidas</w:t>
            </w:r>
          </w:p>
        </w:tc>
        <w:tc>
          <w:tcPr>
            <w:tcW w:type="dxa" w:w="6945"/>
            <w:vAlign w:val="top"/>
          </w:tcPr>
          <w:p>
            <w:pPr>
              <w:pStyle w:val="Textodetabla"/>
            </w:pPr>
            <w:r>
              <w:rPr>
                <w:sz w:val="19"/>
              </w:rPr>
              <w:t>Kronos sólo puede aplicar una de 25 medidas definidas y auditadas, agrupadas en seis familias de incidentes. El catálogo está hoy en versión de trabajo 0.1</w:t>
            </w:r>
          </w:p>
        </w:tc>
      </w:tr>
      <w:tr>
        <w:trPr>
          <w:cantSplit/>
        </w:trPr>
        <w:tc>
          <w:tcPr>
            <w:tcW w:type="dxa" w:w="2460"/>
            <w:vAlign w:val="top"/>
            <w:shd w:val="clear" w:color="auto" w:fill="F3F6FA"/>
          </w:tcPr>
          <w:p>
            <w:pPr>
              <w:pStyle w:val="Textodetabla"/>
            </w:pPr>
            <w:r>
              <w:rPr>
                <w:sz w:val="19"/>
              </w:rPr>
              <w:t>Cuatro niveles de autonomía</w:t>
            </w:r>
          </w:p>
        </w:tc>
        <w:tc>
          <w:tcPr>
            <w:tcW w:type="dxa" w:w="6945"/>
            <w:vAlign w:val="top"/>
            <w:shd w:val="clear" w:color="auto" w:fill="F3F6FA"/>
          </w:tcPr>
          <w:p>
            <w:pPr>
              <w:pStyle w:val="Textodetabla"/>
            </w:pPr>
            <w:r>
              <w:rPr>
                <w:sz w:val="19"/>
              </w:rPr>
              <w:t>Del nivel 0 (reunir contexto, sin impacto) al nivel 3 (aislar un equipo o detener un servicio, siempre con aprobación humana). El nivel es fijo por medida; el modelo no lo decide</w:t>
            </w:r>
          </w:p>
        </w:tc>
      </w:tr>
      <w:tr>
        <w:trPr>
          <w:cantSplit/>
        </w:trPr>
        <w:tc>
          <w:tcPr>
            <w:tcW w:type="dxa" w:w="2460"/>
            <w:vAlign w:val="top"/>
          </w:tcPr>
          <w:p>
            <w:pPr>
              <w:pStyle w:val="Textodetabla"/>
            </w:pPr>
            <w:r>
              <w:rPr>
                <w:sz w:val="19"/>
              </w:rPr>
              <w:t>Seis chequeos deterministas</w:t>
            </w:r>
          </w:p>
        </w:tc>
        <w:tc>
          <w:tcPr>
            <w:tcW w:type="dxa" w:w="6945"/>
            <w:vAlign w:val="top"/>
          </w:tcPr>
          <w:p>
            <w:pPr>
              <w:pStyle w:val="Textodetabla"/>
            </w:pPr>
            <w:r>
              <w:rPr>
                <w:sz w:val="19"/>
              </w:rPr>
              <w:t>Antes de actuar se verifican el formato, la confianza, el catálogo, la lista de exclusión, los límites de tasa y la severidad. Si uno falla, no se actúa</w:t>
            </w:r>
          </w:p>
        </w:tc>
      </w:tr>
      <w:tr>
        <w:trPr>
          <w:cantSplit/>
        </w:trPr>
        <w:tc>
          <w:tcPr>
            <w:tcW w:type="dxa" w:w="2460"/>
            <w:vAlign w:val="top"/>
            <w:shd w:val="clear" w:color="auto" w:fill="F3F6FA"/>
          </w:tcPr>
          <w:p>
            <w:pPr>
              <w:pStyle w:val="Textodetabla"/>
            </w:pPr>
            <w:r>
              <w:rPr>
                <w:sz w:val="19"/>
              </w:rPr>
              <w:t>Falla segura</w:t>
            </w:r>
          </w:p>
        </w:tc>
        <w:tc>
          <w:tcPr>
            <w:tcW w:type="dxa" w:w="6945"/>
            <w:vAlign w:val="top"/>
            <w:shd w:val="clear" w:color="auto" w:fill="F3F6FA"/>
          </w:tcPr>
          <w:p>
            <w:pPr>
              <w:pStyle w:val="Textodetabla"/>
            </w:pPr>
            <w:r>
              <w:rPr>
                <w:sz w:val="19"/>
              </w:rPr>
              <w:t>Si el modelo no responde, tarda o duda, Kronos se abstiene y pasa el caso a una persona</w:t>
            </w:r>
          </w:p>
        </w:tc>
      </w:tr>
      <w:tr>
        <w:trPr>
          <w:cantSplit/>
        </w:trPr>
        <w:tc>
          <w:tcPr>
            <w:tcW w:type="dxa" w:w="2460"/>
            <w:vAlign w:val="top"/>
          </w:tcPr>
          <w:p>
            <w:pPr>
              <w:pStyle w:val="Textodetabla"/>
            </w:pPr>
            <w:r>
              <w:rPr>
                <w:sz w:val="19"/>
              </w:rPr>
              <w:t>Bitácora verificable</w:t>
            </w:r>
          </w:p>
        </w:tc>
        <w:tc>
          <w:tcPr>
            <w:tcW w:type="dxa" w:w="6945"/>
            <w:vAlign w:val="top"/>
          </w:tcPr>
          <w:p>
            <w:pPr>
              <w:pStyle w:val="Textodetabla"/>
            </w:pPr>
            <w:r>
              <w:rPr>
                <w:sz w:val="19"/>
              </w:rPr>
              <w:t>Cada decisión queda en un registro de sólo inserción con una cadena de hash. Cualquier alteración se detecta</w:t>
            </w:r>
          </w:p>
        </w:tc>
      </w:tr>
      <w:tr>
        <w:trPr>
          <w:cantSplit/>
        </w:trPr>
        <w:tc>
          <w:tcPr>
            <w:tcW w:type="dxa" w:w="2460"/>
            <w:vAlign w:val="top"/>
            <w:shd w:val="clear" w:color="auto" w:fill="F3F6FA"/>
          </w:tcPr>
          <w:p>
            <w:pPr>
              <w:pStyle w:val="Textodetabla"/>
            </w:pPr>
            <w:r>
              <w:rPr>
                <w:sz w:val="19"/>
              </w:rPr>
              <w:t>Multiinquilino</w:t>
            </w:r>
          </w:p>
        </w:tc>
        <w:tc>
          <w:tcPr>
            <w:tcW w:type="dxa" w:w="6945"/>
            <w:vAlign w:val="top"/>
            <w:shd w:val="clear" w:color="auto" w:fill="F3F6FA"/>
          </w:tcPr>
          <w:p>
            <w:pPr>
              <w:pStyle w:val="Textodetabla"/>
            </w:pPr>
            <w:r>
              <w:rPr>
                <w:sz w:val="19"/>
              </w:rPr>
              <w:t xml:space="preserve">Los datos de cada cliente están aislados en la base de datos con </w:t>
            </w:r>
            <w:r>
              <w:rPr>
                <w:rFonts w:ascii="Consolas" w:hAnsi="Consolas"/>
                <w:sz w:val="16"/>
                <w:shd w:val="clear" w:color="auto" w:fill="F2F2F2"/>
              </w:rPr>
              <w:t>tenant_id</w:t>
            </w:r>
            <w:r>
              <w:rPr>
                <w:sz w:val="19"/>
              </w:rPr>
              <w:t xml:space="preserve"> y seguridad a nivel de fila</w:t>
            </w:r>
          </w:p>
        </w:tc>
      </w:tr>
      <w:tr>
        <w:trPr>
          <w:cantSplit/>
        </w:trPr>
        <w:tc>
          <w:tcPr>
            <w:tcW w:type="dxa" w:w="2460"/>
            <w:vAlign w:val="top"/>
          </w:tcPr>
          <w:p>
            <w:pPr>
              <w:pStyle w:val="Textodetabla"/>
            </w:pPr>
            <w:r>
              <w:rPr>
                <w:sz w:val="19"/>
              </w:rPr>
              <w:t>Sólo un agente en el cliente</w:t>
            </w:r>
          </w:p>
        </w:tc>
        <w:tc>
          <w:tcPr>
            <w:tcW w:type="dxa" w:w="6945"/>
            <w:vAlign w:val="top"/>
          </w:tcPr>
          <w:p>
            <w:pPr>
              <w:pStyle w:val="Textodetabla"/>
            </w:pPr>
            <w:r>
              <w:rPr>
                <w:sz w:val="19"/>
              </w:rPr>
              <w:t>Sin servidores, directorio, proxy ni puertos entrantes en la red del cliente</w:t>
            </w:r>
          </w:p>
        </w:tc>
      </w:tr>
    </w:tbl>
    <w:p>
      <w:pPr>
        <w:spacing w:after="40" w:line="192" w:lineRule="auto"/>
      </w:pPr>
    </w:p>
    <w:p>
      <w:pPr>
        <w:pStyle w:val="Heading2"/>
      </w:pPr>
      <w:bookmarkStart w:id="1007" w:name="_Toc0007"/>
      <w:r>
        <w:t>4.1 Qué hace y qué no hace</w:t>
      </w:r>
      <w:bookmarkEnd w:id="1007"/>
    </w:p>
    <w:p>
      <w:pPr>
        <w:pStyle w:val="Caption"/>
        <w:keepNext/>
        <w:spacing w:before="120" w:after="80"/>
      </w:pPr>
      <w:bookmarkStart w:id="5002" w:name="_Tab002"/>
      <w:r>
        <w:t xml:space="preserve">Tabla </w:t>
      </w:r>
      <w:r>
        <w:fldChar w:fldCharType="begin"/>
      </w:r>
      <w:r>
        <w:instrText xml:space="preserve"> SEQ Tabla \* ARABIC </w:instrText>
      </w:r>
      <w:r>
        <w:fldChar w:fldCharType="separate"/>
      </w:r>
      <w:r>
        <w:t>2</w:t>
      </w:r>
      <w:r>
        <w:fldChar w:fldCharType="end"/>
      </w:r>
      <w:r>
        <w:t xml:space="preserve">. </w:t>
      </w:r>
      <w:r>
        <w:t>Alcance funcional</w:t>
      </w:r>
      <w:bookmarkEnd w:id="5002"/>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4703"/>
        <w:gridCol w:w="4703"/>
      </w:tblGrid>
      <w:tr>
        <w:trPr>
          <w:cantSplit/>
          <w:tblHeader/>
        </w:trPr>
        <w:tc>
          <w:tcPr>
            <w:tcW w:type="dxa" w:w="4703"/>
            <w:vAlign w:val="center"/>
            <w:shd w:val="clear" w:color="auto" w:fill="1F3A5F"/>
          </w:tcPr>
          <w:p>
            <w:pPr>
              <w:pStyle w:val="Textodetabla"/>
            </w:pPr>
            <w:r>
              <w:rPr>
                <w:b/>
                <w:color w:val="FFFFFF"/>
                <w:sz w:val="19"/>
              </w:rPr>
              <w:t>Kronos hace</w:t>
            </w:r>
          </w:p>
        </w:tc>
        <w:tc>
          <w:tcPr>
            <w:tcW w:type="dxa" w:w="4703"/>
            <w:vAlign w:val="center"/>
            <w:shd w:val="clear" w:color="auto" w:fill="1F3A5F"/>
          </w:tcPr>
          <w:p>
            <w:pPr>
              <w:pStyle w:val="Textodetabla"/>
            </w:pPr>
            <w:r>
              <w:rPr>
                <w:b/>
                <w:color w:val="FFFFFF"/>
                <w:sz w:val="19"/>
              </w:rPr>
              <w:t>Kronos no hace</w:t>
            </w:r>
          </w:p>
        </w:tc>
      </w:tr>
      <w:tr>
        <w:trPr>
          <w:cantSplit/>
        </w:trPr>
        <w:tc>
          <w:tcPr>
            <w:tcW w:type="dxa" w:w="4703"/>
            <w:vAlign w:val="top"/>
          </w:tcPr>
          <w:p>
            <w:pPr>
              <w:pStyle w:val="Textodetabla"/>
            </w:pPr>
            <w:r>
              <w:rPr>
                <w:sz w:val="19"/>
              </w:rPr>
              <w:t>Observa el comportamiento del sistema operativo: inicios de sesión, procesos, conexiones, cambios persistentes y disponibilidad</w:t>
            </w:r>
          </w:p>
        </w:tc>
        <w:tc>
          <w:tcPr>
            <w:tcW w:type="dxa" w:w="4703"/>
            <w:vAlign w:val="top"/>
          </w:tcPr>
          <w:p>
            <w:pPr>
              <w:pStyle w:val="Textodetabla"/>
            </w:pPr>
            <w:r>
              <w:rPr>
                <w:sz w:val="19"/>
              </w:rPr>
              <w:t>No lee recetas, fichas, datos médicos ni el contenido de documentos, correos o bases de datos</w:t>
            </w:r>
          </w:p>
        </w:tc>
      </w:tr>
      <w:tr>
        <w:trPr>
          <w:cantSplit/>
        </w:trPr>
        <w:tc>
          <w:tcPr>
            <w:tcW w:type="dxa" w:w="4703"/>
            <w:vAlign w:val="top"/>
            <w:shd w:val="clear" w:color="auto" w:fill="F3F6FA"/>
          </w:tcPr>
          <w:p>
            <w:pPr>
              <w:pStyle w:val="Textodetabla"/>
            </w:pPr>
            <w:r>
              <w:rPr>
                <w:sz w:val="19"/>
              </w:rPr>
              <w:t>Clasifica cada alerta en una de seis familias y propone una medida del catálogo</w:t>
            </w:r>
          </w:p>
        </w:tc>
        <w:tc>
          <w:tcPr>
            <w:tcW w:type="dxa" w:w="4703"/>
            <w:vAlign w:val="top"/>
            <w:shd w:val="clear" w:color="auto" w:fill="F3F6FA"/>
          </w:tcPr>
          <w:p>
            <w:pPr>
              <w:pStyle w:val="Textodetabla"/>
            </w:pPr>
            <w:r>
              <w:rPr>
                <w:sz w:val="19"/>
              </w:rPr>
              <w:t>No inventa medidas ni ejecuta comandos escritos por el modelo</w:t>
            </w:r>
          </w:p>
        </w:tc>
      </w:tr>
      <w:tr>
        <w:trPr>
          <w:cantSplit/>
        </w:trPr>
        <w:tc>
          <w:tcPr>
            <w:tcW w:type="dxa" w:w="4703"/>
            <w:vAlign w:val="top"/>
          </w:tcPr>
          <w:p>
            <w:pPr>
              <w:pStyle w:val="Textodetabla"/>
            </w:pPr>
            <w:r>
              <w:rPr>
                <w:sz w:val="19"/>
              </w:rPr>
              <w:t>Contiene en el propio equipo: bloquea una dirección, termina un proceso, cierra una sesión, deshabilita una cuenta local, pone un archivo en cuarentena, aísla el equipo o detiene un servicio</w:t>
            </w:r>
          </w:p>
        </w:tc>
        <w:tc>
          <w:tcPr>
            <w:tcW w:type="dxa" w:w="4703"/>
            <w:vAlign w:val="top"/>
          </w:tcPr>
          <w:p>
            <w:pPr>
              <w:pStyle w:val="Textodetabla"/>
            </w:pPr>
            <w:r>
              <w:rPr>
                <w:sz w:val="19"/>
              </w:rPr>
              <w:t>No actúa en equipos sin agente ni sobre la red del cliente</w:t>
            </w:r>
          </w:p>
        </w:tc>
      </w:tr>
      <w:tr>
        <w:trPr>
          <w:cantSplit/>
        </w:trPr>
        <w:tc>
          <w:tcPr>
            <w:tcW w:type="dxa" w:w="4703"/>
            <w:vAlign w:val="top"/>
            <w:shd w:val="clear" w:color="auto" w:fill="F3F6FA"/>
          </w:tcPr>
          <w:p>
            <w:pPr>
              <w:pStyle w:val="Textodetabla"/>
            </w:pPr>
            <w:r>
              <w:rPr>
                <w:sz w:val="19"/>
              </w:rPr>
              <w:t>Pide aprobación a una persona del equipo Kronos para las medidas de nivel 3</w:t>
            </w:r>
          </w:p>
        </w:tc>
        <w:tc>
          <w:tcPr>
            <w:tcW w:type="dxa" w:w="4703"/>
            <w:vAlign w:val="top"/>
            <w:shd w:val="clear" w:color="auto" w:fill="F3F6FA"/>
          </w:tcPr>
          <w:p>
            <w:pPr>
              <w:pStyle w:val="Textodetabla"/>
            </w:pPr>
            <w:r>
              <w:rPr>
                <w:sz w:val="19"/>
              </w:rPr>
              <w:t>No ejecuta el nivel 3 sin aprobación</w:t>
            </w:r>
          </w:p>
        </w:tc>
      </w:tr>
      <w:tr>
        <w:trPr>
          <w:cantSplit/>
        </w:trPr>
        <w:tc>
          <w:tcPr>
            <w:tcW w:type="dxa" w:w="4703"/>
            <w:vAlign w:val="top"/>
          </w:tcPr>
          <w:p>
            <w:pPr>
              <w:pStyle w:val="Textodetabla"/>
            </w:pPr>
            <w:r>
              <w:rPr>
                <w:sz w:val="19"/>
              </w:rPr>
              <w:t>Registra cada decisión antes de actuar</w:t>
            </w:r>
          </w:p>
        </w:tc>
        <w:tc>
          <w:tcPr>
            <w:tcW w:type="dxa" w:w="4703"/>
            <w:vAlign w:val="top"/>
          </w:tcPr>
          <w:p>
            <w:pPr>
              <w:pStyle w:val="Textodetabla"/>
            </w:pPr>
            <w:r>
              <w:rPr>
                <w:sz w:val="19"/>
              </w:rPr>
              <w:t>No borra ni modifica su bitácora</w:t>
            </w:r>
          </w:p>
        </w:tc>
      </w:tr>
      <w:tr>
        <w:trPr>
          <w:cantSplit/>
        </w:trPr>
        <w:tc>
          <w:tcPr>
            <w:tcW w:type="dxa" w:w="4703"/>
            <w:vAlign w:val="top"/>
            <w:shd w:val="clear" w:color="auto" w:fill="F3F6FA"/>
          </w:tcPr>
          <w:p>
            <w:pPr>
              <w:pStyle w:val="Textodetabla"/>
            </w:pPr>
            <w:r>
              <w:rPr>
                <w:sz w:val="19"/>
              </w:rPr>
              <w:t>Avisa al equipo por Telegram en los niveles 2 y 3</w:t>
            </w:r>
          </w:p>
        </w:tc>
        <w:tc>
          <w:tcPr>
            <w:tcW w:type="dxa" w:w="4703"/>
            <w:vAlign w:val="top"/>
            <w:shd w:val="clear" w:color="auto" w:fill="F3F6FA"/>
          </w:tcPr>
          <w:p>
            <w:pPr>
              <w:pStyle w:val="Textodetabla"/>
            </w:pPr>
            <w:r>
              <w:rPr>
                <w:sz w:val="19"/>
              </w:rPr>
              <w:t>No envía el aviso a la persona afectada: lo envía a mano un integrante, por correo (D-35)</w:t>
            </w:r>
          </w:p>
        </w:tc>
      </w:tr>
    </w:tbl>
    <w:p>
      <w:pPr>
        <w:spacing w:after="40" w:line="192" w:lineRule="auto"/>
      </w:pPr>
    </w:p>
    <w:p>
      <w:pPr>
        <w:pStyle w:val="Heading2"/>
      </w:pPr>
      <w:bookmarkStart w:id="1008" w:name="_Toc0008"/>
      <w:r>
        <w:t>4.2 Familias de incidentes</w:t>
      </w:r>
      <w:bookmarkEnd w:id="1008"/>
    </w:p>
    <w:p>
      <w:pPr>
        <w:pStyle w:val="Caption"/>
        <w:keepNext/>
        <w:spacing w:before="120" w:after="80"/>
      </w:pPr>
      <w:bookmarkStart w:id="5003" w:name="_Tab003"/>
      <w:r>
        <w:t xml:space="preserve">Tabla </w:t>
      </w:r>
      <w:r>
        <w:fldChar w:fldCharType="begin"/>
      </w:r>
      <w:r>
        <w:instrText xml:space="preserve"> SEQ Tabla \* ARABIC </w:instrText>
      </w:r>
      <w:r>
        <w:fldChar w:fldCharType="separate"/>
      </w:r>
      <w:r>
        <w:t>3</w:t>
      </w:r>
      <w:r>
        <w:fldChar w:fldCharType="end"/>
      </w:r>
      <w:r>
        <w:t xml:space="preserve">. </w:t>
      </w:r>
      <w:r>
        <w:t>Familias de clasificación</w:t>
      </w:r>
      <w:bookmarkEnd w:id="5003"/>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026"/>
        <w:gridCol w:w="7380"/>
      </w:tblGrid>
      <w:tr>
        <w:trPr>
          <w:cantSplit/>
          <w:tblHeader/>
        </w:trPr>
        <w:tc>
          <w:tcPr>
            <w:tcW w:type="dxa" w:w="2026"/>
            <w:vAlign w:val="center"/>
            <w:shd w:val="clear" w:color="auto" w:fill="1F3A5F"/>
          </w:tcPr>
          <w:p>
            <w:pPr>
              <w:pStyle w:val="Textodetabla"/>
            </w:pPr>
            <w:r>
              <w:rPr>
                <w:b/>
                <w:color w:val="FFFFFF"/>
                <w:sz w:val="19"/>
              </w:rPr>
              <w:t>Familia</w:t>
            </w:r>
          </w:p>
        </w:tc>
        <w:tc>
          <w:tcPr>
            <w:tcW w:type="dxa" w:w="7380"/>
            <w:vAlign w:val="center"/>
            <w:shd w:val="clear" w:color="auto" w:fill="1F3A5F"/>
          </w:tcPr>
          <w:p>
            <w:pPr>
              <w:pStyle w:val="Textodetabla"/>
            </w:pPr>
            <w:r>
              <w:rPr>
                <w:b/>
                <w:color w:val="FFFFFF"/>
                <w:sz w:val="19"/>
              </w:rPr>
              <w:t>Qué la define</w:t>
            </w:r>
          </w:p>
        </w:tc>
      </w:tr>
      <w:tr>
        <w:trPr>
          <w:cantSplit/>
        </w:trPr>
        <w:tc>
          <w:tcPr>
            <w:tcW w:type="dxa" w:w="2026"/>
            <w:vAlign w:val="top"/>
          </w:tcPr>
          <w:p>
            <w:pPr>
              <w:pStyle w:val="Textodetabla"/>
            </w:pPr>
            <w:r>
              <w:rPr>
                <w:sz w:val="19"/>
              </w:rPr>
              <w:t>F1 Abuso de credenciales</w:t>
            </w:r>
          </w:p>
        </w:tc>
        <w:tc>
          <w:tcPr>
            <w:tcW w:type="dxa" w:w="7380"/>
            <w:vAlign w:val="top"/>
          </w:tcPr>
          <w:p>
            <w:pPr>
              <w:pStyle w:val="Textodetabla"/>
            </w:pPr>
            <w:r>
              <w:rPr>
                <w:sz w:val="19"/>
              </w:rPr>
              <w:t>Lo anómalo es la autenticación o el uso de una credencial</w:t>
            </w:r>
          </w:p>
        </w:tc>
      </w:tr>
      <w:tr>
        <w:trPr>
          <w:cantSplit/>
        </w:trPr>
        <w:tc>
          <w:tcPr>
            <w:tcW w:type="dxa" w:w="2026"/>
            <w:vAlign w:val="top"/>
            <w:shd w:val="clear" w:color="auto" w:fill="F3F6FA"/>
          </w:tcPr>
          <w:p>
            <w:pPr>
              <w:pStyle w:val="Textodetabla"/>
            </w:pPr>
            <w:r>
              <w:rPr>
                <w:sz w:val="19"/>
              </w:rPr>
              <w:t>F2 Proceso sospechoso en ejecución</w:t>
            </w:r>
          </w:p>
        </w:tc>
        <w:tc>
          <w:tcPr>
            <w:tcW w:type="dxa" w:w="7380"/>
            <w:vAlign w:val="top"/>
            <w:shd w:val="clear" w:color="auto" w:fill="F3F6FA"/>
          </w:tcPr>
          <w:p>
            <w:pPr>
              <w:pStyle w:val="Textodetabla"/>
            </w:pPr>
            <w:r>
              <w:rPr>
                <w:sz w:val="19"/>
              </w:rPr>
              <w:t>Un programa que se ejecuta y actúa sobre el mismo equipo</w:t>
            </w:r>
          </w:p>
        </w:tc>
      </w:tr>
      <w:tr>
        <w:trPr>
          <w:cantSplit/>
        </w:trPr>
        <w:tc>
          <w:tcPr>
            <w:tcW w:type="dxa" w:w="2026"/>
            <w:vAlign w:val="top"/>
          </w:tcPr>
          <w:p>
            <w:pPr>
              <w:pStyle w:val="Textodetabla"/>
            </w:pPr>
            <w:r>
              <w:rPr>
                <w:sz w:val="19"/>
              </w:rPr>
              <w:t>F3 Movimiento lateral o acceso remoto</w:t>
            </w:r>
          </w:p>
        </w:tc>
        <w:tc>
          <w:tcPr>
            <w:tcW w:type="dxa" w:w="7380"/>
            <w:vAlign w:val="top"/>
          </w:tcPr>
          <w:p>
            <w:pPr>
              <w:pStyle w:val="Textodetabla"/>
            </w:pPr>
            <w:r>
              <w:rPr>
                <w:sz w:val="19"/>
              </w:rPr>
              <w:t>Un equipo accede a otro o lo controla a distancia</w:t>
            </w:r>
          </w:p>
        </w:tc>
      </w:tr>
      <w:tr>
        <w:trPr>
          <w:cantSplit/>
        </w:trPr>
        <w:tc>
          <w:tcPr>
            <w:tcW w:type="dxa" w:w="2026"/>
            <w:vAlign w:val="top"/>
            <w:shd w:val="clear" w:color="auto" w:fill="F3F6FA"/>
          </w:tcPr>
          <w:p>
            <w:pPr>
              <w:pStyle w:val="Textodetabla"/>
            </w:pPr>
            <w:r>
              <w:rPr>
                <w:sz w:val="19"/>
              </w:rPr>
              <w:t>F4 Exfiltración o salida anómala</w:t>
            </w:r>
          </w:p>
        </w:tc>
        <w:tc>
          <w:tcPr>
            <w:tcW w:type="dxa" w:w="7380"/>
            <w:vAlign w:val="top"/>
            <w:shd w:val="clear" w:color="auto" w:fill="F3F6FA"/>
          </w:tcPr>
          <w:p>
            <w:pPr>
              <w:pStyle w:val="Textodetabla"/>
            </w:pPr>
            <w:r>
              <w:rPr>
                <w:sz w:val="19"/>
              </w:rPr>
              <w:t>Datos o tráfico que salen de forma inusual</w:t>
            </w:r>
          </w:p>
        </w:tc>
      </w:tr>
      <w:tr>
        <w:trPr>
          <w:cantSplit/>
        </w:trPr>
        <w:tc>
          <w:tcPr>
            <w:tcW w:type="dxa" w:w="2026"/>
            <w:vAlign w:val="top"/>
          </w:tcPr>
          <w:p>
            <w:pPr>
              <w:pStyle w:val="Textodetabla"/>
            </w:pPr>
            <w:r>
              <w:rPr>
                <w:sz w:val="19"/>
              </w:rPr>
              <w:t>F5 Alteración de integridad o persistencia</w:t>
            </w:r>
          </w:p>
        </w:tc>
        <w:tc>
          <w:tcPr>
            <w:tcW w:type="dxa" w:w="7380"/>
            <w:vAlign w:val="top"/>
          </w:tcPr>
          <w:p>
            <w:pPr>
              <w:pStyle w:val="Textodetabla"/>
            </w:pPr>
            <w:r>
              <w:rPr>
                <w:sz w:val="19"/>
              </w:rPr>
              <w:t>Un cambio que queda en el sistema</w:t>
            </w:r>
          </w:p>
        </w:tc>
      </w:tr>
      <w:tr>
        <w:trPr>
          <w:cantSplit/>
        </w:trPr>
        <w:tc>
          <w:tcPr>
            <w:tcW w:type="dxa" w:w="2026"/>
            <w:vAlign w:val="top"/>
            <w:shd w:val="clear" w:color="auto" w:fill="F3F6FA"/>
          </w:tcPr>
          <w:p>
            <w:pPr>
              <w:pStyle w:val="Textodetabla"/>
            </w:pPr>
            <w:r>
              <w:rPr>
                <w:sz w:val="19"/>
              </w:rPr>
              <w:t>F6 Disponibilidad del servicio</w:t>
            </w:r>
          </w:p>
        </w:tc>
        <w:tc>
          <w:tcPr>
            <w:tcW w:type="dxa" w:w="7380"/>
            <w:vAlign w:val="top"/>
            <w:shd w:val="clear" w:color="auto" w:fill="F3F6FA"/>
          </w:tcPr>
          <w:p>
            <w:pPr>
              <w:pStyle w:val="Textodetabla"/>
            </w:pPr>
            <w:r>
              <w:rPr>
                <w:sz w:val="19"/>
              </w:rPr>
              <w:t>Un servicio que cae o se degrada sin alterar datos</w:t>
            </w:r>
          </w:p>
        </w:tc>
      </w:tr>
    </w:tbl>
    <w:p>
      <w:pPr>
        <w:spacing w:after="40" w:line="192" w:lineRule="auto"/>
      </w:pPr>
    </w:p>
    <w:p>
      <w:r>
        <w:t>El contrato con el modelo, las reglas de desempate y los criterios de confianza están en el documento 11 (Especificación de prompts). Las 25 medidas están en el documento 12 (Catálogo de playbooks, versión de trabajo, pendiente).</w:t>
      </w:r>
    </w:p>
    <w:p>
      <w:pPr>
        <w:pStyle w:val="Heading1"/>
      </w:pPr>
      <w:bookmarkStart w:id="1009" w:name="_Toc0009"/>
      <w:r>
        <w:t>5. Límites del alcance</w:t>
      </w:r>
      <w:bookmarkEnd w:id="1009"/>
    </w:p>
    <w:p>
      <w:pPr>
        <w:pStyle w:val="Listanumerada"/>
        <w:tabs>
          <w:tab w:pos="510" w:val="left"/>
        </w:tabs>
      </w:pPr>
      <w:r>
        <w:rPr>
          <w:b/>
          <w:color w:val="1F3A5F"/>
        </w:rPr>
        <w:t>1.</w:t>
        <w:tab/>
      </w:r>
      <w:r>
        <w:rPr>
          <w:b/>
        </w:rPr>
        <w:t>Dos arquetipos de equipo:</w:t>
      </w:r>
      <w:r>
        <w:t xml:space="preserve"> puesto de trabajo Windows y servidor Linux expuesto. La escalabilidad se argumenta con el diseño multiinquilino, no instalando muchos agentes.</w:t>
      </w:r>
    </w:p>
    <w:p>
      <w:pPr>
        <w:pStyle w:val="Listanumerada"/>
        <w:tabs>
          <w:tab w:pos="510" w:val="left"/>
        </w:tabs>
      </w:pPr>
      <w:r>
        <w:rPr>
          <w:b/>
          <w:color w:val="1F3A5F"/>
        </w:rPr>
        <w:t>2.</w:t>
        <w:tab/>
      </w:r>
      <w:r>
        <w:rPr>
          <w:b/>
        </w:rPr>
        <w:t>Nada de datos de pacientes:</w:t>
      </w:r>
      <w:r>
        <w:t xml:space="preserve"> Kronos observa el sistema operativo, no los contenidos.</w:t>
      </w:r>
    </w:p>
    <w:p>
      <w:pPr>
        <w:pStyle w:val="Listanumerada"/>
        <w:tabs>
          <w:tab w:pos="510" w:val="left"/>
        </w:tabs>
      </w:pPr>
      <w:r>
        <w:rPr>
          <w:b/>
          <w:color w:val="1F3A5F"/>
        </w:rPr>
        <w:t>3.</w:t>
        <w:tab/>
      </w:r>
      <w:r>
        <w:rPr>
          <w:b/>
        </w:rPr>
        <w:t>Cero dependencia de infraestructura del cliente:</w:t>
      </w:r>
      <w:r>
        <w:t xml:space="preserve"> sin directorio, proxy, licencias, cuentas privilegiadas en su red ni puertos entrantes.</w:t>
      </w:r>
    </w:p>
    <w:p>
      <w:pPr>
        <w:pStyle w:val="Listanumerada"/>
        <w:tabs>
          <w:tab w:pos="510" w:val="left"/>
        </w:tabs>
      </w:pPr>
      <w:r>
        <w:rPr>
          <w:b/>
          <w:color w:val="1F3A5F"/>
        </w:rPr>
        <w:t>4.</w:t>
        <w:tab/>
      </w:r>
      <w:r>
        <w:rPr>
          <w:b/>
        </w:rPr>
        <w:t>Los equipos del proyecto bastan:</w:t>
      </w:r>
      <w:r>
        <w:t xml:space="preserve"> si la farmacia aporta equipos, se suman como equipos adicionales del mismo inquilino.</w:t>
      </w:r>
    </w:p>
    <w:p>
      <w:pPr>
        <w:pStyle w:val="Listanumerada"/>
        <w:tabs>
          <w:tab w:pos="510" w:val="left"/>
        </w:tabs>
      </w:pPr>
      <w:r>
        <w:rPr>
          <w:b/>
          <w:color w:val="1F3A5F"/>
        </w:rPr>
        <w:t>5.</w:t>
        <w:tab/>
      </w:r>
      <w:r>
        <w:rPr>
          <w:b/>
        </w:rPr>
        <w:t>La métrica se reporta como es:</w:t>
      </w:r>
      <w:r>
        <w:t xml:space="preserve"> la precisión de punta a punta es el producto de los dos pasos. Según el replanteamiento SaaS, con lo medido en el laboratorio de la Fase 1 sería del orden de 64 % </w:t>
      </w:r>
      <w:r>
        <w:rPr>
          <w:rFonts w:ascii="Segoe UI Emoji" w:hAnsi="Segoe UI Emoji"/>
        </w:rPr>
        <w:t>🟡</w:t>
      </w:r>
      <w:r>
        <w:t>; no se puede reproducir con los datos del repositorio. El método está en el documento 07 (Plan de métricas y medición).</w:t>
      </w:r>
    </w:p>
    <w:p>
      <w:pPr>
        <w:pStyle w:val="Listanumerada"/>
        <w:tabs>
          <w:tab w:pos="510" w:val="left"/>
        </w:tabs>
        <w:spacing w:after="160"/>
      </w:pPr>
      <w:r>
        <w:rPr>
          <w:b/>
          <w:color w:val="1F3A5F"/>
        </w:rPr>
        <w:t>6.</w:t>
        <w:tab/>
      </w:r>
      <w:r>
        <w:rPr>
          <w:b/>
        </w:rPr>
        <w:t>Contención sólo donde hay agente.</w:t>
      </w:r>
    </w:p>
    <w:p>
      <w:pPr>
        <w:pStyle w:val="Heading1"/>
      </w:pPr>
      <w:bookmarkStart w:id="1010" w:name="_Toc0010"/>
      <w:r>
        <w:t>6. Contexto</w:t>
      </w:r>
      <w:bookmarkEnd w:id="1010"/>
    </w:p>
    <w:p>
      <w:pPr>
        <w:pStyle w:val="Caption"/>
        <w:keepNext/>
        <w:spacing w:before="120" w:after="80"/>
      </w:pPr>
      <w:bookmarkStart w:id="5004" w:name="_Tab004"/>
      <w:r>
        <w:t xml:space="preserve">Tabla </w:t>
      </w:r>
      <w:r>
        <w:fldChar w:fldCharType="begin"/>
      </w:r>
      <w:r>
        <w:instrText xml:space="preserve"> SEQ Tabla \* ARABIC </w:instrText>
      </w:r>
      <w:r>
        <w:fldChar w:fldCharType="separate"/>
      </w:r>
      <w:r>
        <w:t>4</w:t>
      </w:r>
      <w:r>
        <w:fldChar w:fldCharType="end"/>
      </w:r>
      <w:r>
        <w:t xml:space="preserve">. </w:t>
      </w:r>
      <w:r>
        <w:t>Contexto del proyecto</w:t>
      </w:r>
      <w:bookmarkEnd w:id="5004"/>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460"/>
        <w:gridCol w:w="6946"/>
      </w:tblGrid>
      <w:tr>
        <w:trPr>
          <w:cantSplit/>
          <w:tblHeader/>
        </w:trPr>
        <w:tc>
          <w:tcPr>
            <w:tcW w:type="dxa" w:w="2460"/>
            <w:vAlign w:val="center"/>
            <w:shd w:val="clear" w:color="auto" w:fill="1F3A5F"/>
          </w:tcPr>
          <w:p>
            <w:pPr>
              <w:pStyle w:val="Textodetabla"/>
            </w:pPr>
            <w:r>
              <w:rPr>
                <w:b/>
                <w:color w:val="FFFFFF"/>
                <w:sz w:val="19"/>
              </w:rPr>
              <w:t>Aspecto</w:t>
            </w:r>
          </w:p>
        </w:tc>
        <w:tc>
          <w:tcPr>
            <w:tcW w:type="dxa" w:w="6945"/>
            <w:vAlign w:val="center"/>
            <w:shd w:val="clear" w:color="auto" w:fill="1F3A5F"/>
          </w:tcPr>
          <w:p>
            <w:pPr>
              <w:pStyle w:val="Textodetabla"/>
            </w:pPr>
            <w:r>
              <w:rPr>
                <w:b/>
                <w:color w:val="FFFFFF"/>
                <w:sz w:val="19"/>
              </w:rPr>
              <w:t>Detalle</w:t>
            </w:r>
          </w:p>
        </w:tc>
      </w:tr>
      <w:tr>
        <w:trPr>
          <w:cantSplit/>
        </w:trPr>
        <w:tc>
          <w:tcPr>
            <w:tcW w:type="dxa" w:w="2460"/>
            <w:vAlign w:val="top"/>
          </w:tcPr>
          <w:p>
            <w:pPr>
              <w:pStyle w:val="Textodetabla"/>
            </w:pPr>
            <w:r>
              <w:rPr>
                <w:sz w:val="19"/>
              </w:rPr>
              <w:t>Tipo de proyecto</w:t>
            </w:r>
          </w:p>
        </w:tc>
        <w:tc>
          <w:tcPr>
            <w:tcW w:type="dxa" w:w="6945"/>
            <w:vAlign w:val="top"/>
          </w:tcPr>
          <w:p>
            <w:pPr>
              <w:pStyle w:val="Textodetabla"/>
            </w:pPr>
            <w:r>
              <w:rPr>
                <w:sz w:val="19"/>
              </w:rPr>
              <w:t xml:space="preserve">Proyecto de título (Capstone, Portafolio de Título) de Ingeniería en Informática, DUOC UC, sede Padre Alonso de Ovalle, Santiago </w:t>
            </w:r>
            <w:r>
              <w:rPr>
                <w:rFonts w:ascii="Segoe UI Emoji" w:hAnsi="Segoe UI Emoji"/>
                <w:sz w:val="19"/>
              </w:rPr>
              <w:t>✅</w:t>
            </w:r>
          </w:p>
        </w:tc>
      </w:tr>
      <w:tr>
        <w:trPr>
          <w:cantSplit/>
        </w:trPr>
        <w:tc>
          <w:tcPr>
            <w:tcW w:type="dxa" w:w="2460"/>
            <w:vAlign w:val="top"/>
            <w:shd w:val="clear" w:color="auto" w:fill="F3F6FA"/>
          </w:tcPr>
          <w:p>
            <w:pPr>
              <w:pStyle w:val="Textodetabla"/>
            </w:pPr>
            <w:r>
              <w:rPr>
                <w:sz w:val="19"/>
              </w:rPr>
              <w:t>Asignatura</w:t>
            </w:r>
          </w:p>
        </w:tc>
        <w:tc>
          <w:tcPr>
            <w:tcW w:type="dxa" w:w="6945"/>
            <w:vAlign w:val="top"/>
            <w:shd w:val="clear" w:color="auto" w:fill="F3F6FA"/>
          </w:tcPr>
          <w:p>
            <w:pPr>
              <w:pStyle w:val="Textodetabla"/>
            </w:pPr>
            <w:r>
              <w:rPr>
                <w:sz w:val="19"/>
              </w:rPr>
              <w:t xml:space="preserve">Capstone. Sigla PTY4614 según la autoevaluación de la Fase 1 </w:t>
            </w:r>
            <w:r>
              <w:rPr>
                <w:rFonts w:ascii="Segoe UI Emoji" w:hAnsi="Segoe UI Emoji"/>
                <w:sz w:val="19"/>
              </w:rPr>
              <w:t>🟡</w:t>
            </w:r>
          </w:p>
        </w:tc>
      </w:tr>
      <w:tr>
        <w:trPr>
          <w:cantSplit/>
        </w:trPr>
        <w:tc>
          <w:tcPr>
            <w:tcW w:type="dxa" w:w="2460"/>
            <w:vAlign w:val="top"/>
          </w:tcPr>
          <w:p>
            <w:pPr>
              <w:pStyle w:val="Textodetabla"/>
            </w:pPr>
            <w:r>
              <w:rPr>
                <w:sz w:val="19"/>
              </w:rPr>
              <w:t>Profesor guía</w:t>
            </w:r>
          </w:p>
        </w:tc>
        <w:tc>
          <w:tcPr>
            <w:tcW w:type="dxa" w:w="6945"/>
            <w:vAlign w:val="top"/>
          </w:tcPr>
          <w:p>
            <w:pPr>
              <w:pStyle w:val="Textodetabla"/>
            </w:pPr>
            <w:r>
              <w:rPr>
                <w:sz w:val="19"/>
              </w:rPr>
              <w:t xml:space="preserve">Ceferino Aníbal Sotelo Becerra </w:t>
            </w:r>
            <w:r>
              <w:rPr>
                <w:rFonts w:ascii="Segoe UI Emoji" w:hAnsi="Segoe UI Emoji"/>
                <w:sz w:val="19"/>
              </w:rPr>
              <w:t>✅</w:t>
            </w:r>
          </w:p>
        </w:tc>
      </w:tr>
      <w:tr>
        <w:trPr>
          <w:cantSplit/>
        </w:trPr>
        <w:tc>
          <w:tcPr>
            <w:tcW w:type="dxa" w:w="2460"/>
            <w:vAlign w:val="top"/>
            <w:shd w:val="clear" w:color="auto" w:fill="F3F6FA"/>
          </w:tcPr>
          <w:p>
            <w:pPr>
              <w:pStyle w:val="Textodetabla"/>
            </w:pPr>
            <w:r>
              <w:rPr>
                <w:sz w:val="19"/>
              </w:rPr>
              <w:t>Cliente piloto</w:t>
            </w:r>
          </w:p>
        </w:tc>
        <w:tc>
          <w:tcPr>
            <w:tcW w:type="dxa" w:w="6945"/>
            <w:vAlign w:val="top"/>
            <w:shd w:val="clear" w:color="auto" w:fill="F3F6FA"/>
          </w:tcPr>
          <w:p>
            <w:pPr>
              <w:pStyle w:val="Textodetabla"/>
            </w:pPr>
            <w:r>
              <w:rPr>
                <w:sz w:val="19"/>
              </w:rPr>
              <w:t xml:space="preserve">Una farmacia. Su nombre y sus datos no se escriben en los documentos del proyecto </w:t>
            </w:r>
            <w:r>
              <w:rPr>
                <w:rFonts w:ascii="Segoe UI Emoji" w:hAnsi="Segoe UI Emoji"/>
                <w:sz w:val="19"/>
              </w:rPr>
              <w:t>✅</w:t>
            </w:r>
          </w:p>
        </w:tc>
      </w:tr>
      <w:tr>
        <w:trPr>
          <w:cantSplit/>
        </w:trPr>
        <w:tc>
          <w:tcPr>
            <w:tcW w:type="dxa" w:w="2460"/>
            <w:vAlign w:val="top"/>
          </w:tcPr>
          <w:p>
            <w:pPr>
              <w:pStyle w:val="Textodetabla"/>
            </w:pPr>
            <w:r>
              <w:rPr>
                <w:sz w:val="19"/>
              </w:rPr>
              <w:t>Documentos firmados con la farmacia</w:t>
            </w:r>
          </w:p>
        </w:tc>
        <w:tc>
          <w:tcPr>
            <w:tcW w:type="dxa" w:w="6945"/>
            <w:vAlign w:val="top"/>
          </w:tcPr>
          <w:p>
            <w:pPr>
              <w:pStyle w:val="Textodetabla"/>
            </w:pPr>
            <w:r>
              <w:rPr>
                <w:sz w:val="19"/>
              </w:rPr>
              <w:t xml:space="preserve">Autorización de Instalación y Monitoreo; Aviso de Monitoreo a Trabajadores; Aceptación de Acciones de Contención </w:t>
            </w:r>
            <w:r>
              <w:rPr>
                <w:rFonts w:ascii="Segoe UI Emoji" w:hAnsi="Segoe UI Emoji"/>
                <w:sz w:val="19"/>
              </w:rPr>
              <w:t>✅</w:t>
            </w:r>
          </w:p>
        </w:tc>
      </w:tr>
      <w:tr>
        <w:trPr>
          <w:cantSplit/>
        </w:trPr>
        <w:tc>
          <w:tcPr>
            <w:tcW w:type="dxa" w:w="2460"/>
            <w:vAlign w:val="top"/>
            <w:shd w:val="clear" w:color="auto" w:fill="F3F6FA"/>
          </w:tcPr>
          <w:p>
            <w:pPr>
              <w:pStyle w:val="Textodetabla"/>
            </w:pPr>
            <w:r>
              <w:rPr>
                <w:sz w:val="19"/>
              </w:rPr>
              <w:t>Servidor</w:t>
            </w:r>
          </w:p>
        </w:tc>
        <w:tc>
          <w:tcPr>
            <w:tcW w:type="dxa" w:w="6945"/>
            <w:vAlign w:val="top"/>
            <w:shd w:val="clear" w:color="auto" w:fill="F3F6FA"/>
          </w:tcPr>
          <w:p>
            <w:pPr>
              <w:pStyle w:val="Textodetabla"/>
            </w:pPr>
            <w:r>
              <w:rPr>
                <w:sz w:val="19"/>
              </w:rPr>
              <w:t xml:space="preserve">SOAR-CORE-01, Cloud VDS XL de Contabo provisto por el profesor, ubicado en Francia (Unión Europea). Contrato hasta el 10-12-2026 </w:t>
            </w:r>
            <w:r>
              <w:rPr>
                <w:rFonts w:ascii="Segoe UI Emoji" w:hAnsi="Segoe UI Emoji"/>
                <w:sz w:val="19"/>
              </w:rPr>
              <w:t>🟡</w:t>
            </w:r>
          </w:p>
        </w:tc>
      </w:tr>
      <w:tr>
        <w:trPr>
          <w:cantSplit/>
        </w:trPr>
        <w:tc>
          <w:tcPr>
            <w:tcW w:type="dxa" w:w="2460"/>
            <w:vAlign w:val="top"/>
          </w:tcPr>
          <w:p>
            <w:pPr>
              <w:pStyle w:val="Textodetabla"/>
            </w:pPr>
            <w:r>
              <w:rPr>
                <w:sz w:val="19"/>
              </w:rPr>
              <w:t>Marco normativo</w:t>
            </w:r>
          </w:p>
        </w:tc>
        <w:tc>
          <w:tcPr>
            <w:tcW w:type="dxa" w:w="6945"/>
            <w:vAlign w:val="top"/>
          </w:tcPr>
          <w:p>
            <w:pPr>
              <w:pStyle w:val="Textodetabla"/>
            </w:pPr>
            <w:r>
              <w:rPr>
                <w:sz w:val="19"/>
              </w:rPr>
              <w:t xml:space="preserve">Ley 19.628 modificada por la Ley 21.719 (las modificaciones rigen desde el 1 de diciembre de 2026 </w:t>
            </w:r>
            <w:r>
              <w:rPr>
                <w:rFonts w:ascii="Segoe UI Emoji" w:hAnsi="Segoe UI Emoji"/>
                <w:sz w:val="19"/>
              </w:rPr>
              <w:t>🟡</w:t>
            </w:r>
            <w:r>
              <w:rPr>
                <w:sz w:val="19"/>
              </w:rPr>
              <w:t>) y Ley 21.663, Marco de Ciberseguridad</w:t>
            </w:r>
          </w:p>
        </w:tc>
      </w:tr>
    </w:tbl>
    <w:p>
      <w:pPr>
        <w:spacing w:after="40" w:line="192" w:lineRule="auto"/>
      </w:pPr>
    </w:p>
    <w:p>
      <w:r>
        <w:t>El análisis normativo, como borrador técnico, está en el documento 17 (Seguridad de la plataforma).</w:t>
      </w:r>
    </w:p>
    <w:p>
      <w:pPr>
        <w:pStyle w:val="Heading1"/>
      </w:pPr>
      <w:bookmarkStart w:id="1011" w:name="_Toc0011"/>
      <w:r>
        <w:t>7. Partes interesadas</w:t>
      </w:r>
      <w:bookmarkEnd w:id="1011"/>
    </w:p>
    <w:p>
      <w:pPr>
        <w:pStyle w:val="Caption"/>
        <w:keepNext/>
        <w:spacing w:before="120" w:after="80"/>
      </w:pPr>
      <w:bookmarkStart w:id="5005" w:name="_Tab005"/>
      <w:r>
        <w:t xml:space="preserve">Tabla </w:t>
      </w:r>
      <w:r>
        <w:fldChar w:fldCharType="begin"/>
      </w:r>
      <w:r>
        <w:instrText xml:space="preserve"> SEQ Tabla \* ARABIC </w:instrText>
      </w:r>
      <w:r>
        <w:fldChar w:fldCharType="separate"/>
      </w:r>
      <w:r>
        <w:t>5</w:t>
      </w:r>
      <w:r>
        <w:fldChar w:fldCharType="end"/>
      </w:r>
      <w:r>
        <w:t xml:space="preserve">. </w:t>
      </w:r>
      <w:r>
        <w:t>Partes interesadas</w:t>
      </w:r>
      <w:bookmarkEnd w:id="5005"/>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315"/>
        <w:gridCol w:w="4052"/>
        <w:gridCol w:w="3039"/>
      </w:tblGrid>
      <w:tr>
        <w:trPr>
          <w:cantSplit/>
          <w:tblHeader/>
        </w:trPr>
        <w:tc>
          <w:tcPr>
            <w:tcW w:type="dxa" w:w="2315"/>
            <w:vAlign w:val="center"/>
            <w:shd w:val="clear" w:color="auto" w:fill="1F3A5F"/>
          </w:tcPr>
          <w:p>
            <w:pPr>
              <w:pStyle w:val="Textodetabla"/>
            </w:pPr>
            <w:r>
              <w:rPr>
                <w:b/>
                <w:color w:val="FFFFFF"/>
                <w:sz w:val="19"/>
              </w:rPr>
              <w:t>Parte interesada</w:t>
            </w:r>
          </w:p>
        </w:tc>
        <w:tc>
          <w:tcPr>
            <w:tcW w:type="dxa" w:w="4052"/>
            <w:vAlign w:val="center"/>
            <w:shd w:val="clear" w:color="auto" w:fill="1F3A5F"/>
          </w:tcPr>
          <w:p>
            <w:pPr>
              <w:pStyle w:val="Textodetabla"/>
            </w:pPr>
            <w:r>
              <w:rPr>
                <w:b/>
                <w:color w:val="FFFFFF"/>
                <w:sz w:val="19"/>
              </w:rPr>
              <w:t>Interés</w:t>
            </w:r>
          </w:p>
        </w:tc>
        <w:tc>
          <w:tcPr>
            <w:tcW w:type="dxa" w:w="3039"/>
            <w:vAlign w:val="center"/>
            <w:shd w:val="clear" w:color="auto" w:fill="1F3A5F"/>
          </w:tcPr>
          <w:p>
            <w:pPr>
              <w:pStyle w:val="Textodetabla"/>
            </w:pPr>
            <w:r>
              <w:rPr>
                <w:b/>
                <w:color w:val="FFFFFF"/>
                <w:sz w:val="19"/>
              </w:rPr>
              <w:t>Participación</w:t>
            </w:r>
          </w:p>
        </w:tc>
      </w:tr>
      <w:tr>
        <w:trPr>
          <w:cantSplit/>
        </w:trPr>
        <w:tc>
          <w:tcPr>
            <w:tcW w:type="dxa" w:w="2315"/>
            <w:vAlign w:val="top"/>
          </w:tcPr>
          <w:p>
            <w:pPr>
              <w:pStyle w:val="Textodetabla"/>
            </w:pPr>
            <w:r>
              <w:rPr>
                <w:sz w:val="19"/>
              </w:rPr>
              <w:t>Equipo Kronos: Nicolás Zamora, Rodrigo Riveros y Patricio González</w:t>
            </w:r>
          </w:p>
        </w:tc>
        <w:tc>
          <w:tcPr>
            <w:tcW w:type="dxa" w:w="4052"/>
            <w:vAlign w:val="top"/>
          </w:tcPr>
          <w:p>
            <w:pPr>
              <w:pStyle w:val="Textodetabla"/>
            </w:pPr>
            <w:r>
              <w:rPr>
                <w:sz w:val="19"/>
              </w:rPr>
              <w:t>Construir, operar y defender el producto</w:t>
            </w:r>
          </w:p>
        </w:tc>
        <w:tc>
          <w:tcPr>
            <w:tcW w:type="dxa" w:w="3039"/>
            <w:vAlign w:val="top"/>
          </w:tcPr>
          <w:p>
            <w:pPr>
              <w:pStyle w:val="Textodetabla"/>
            </w:pPr>
            <w:r>
              <w:rPr>
                <w:sz w:val="19"/>
              </w:rPr>
              <w:t>Cada uno defiende una capa (ver documento 03, Justificación metodológica). Sólo el equipo aprueba el nivel 3 y recibe los avisos (D-31)</w:t>
            </w:r>
          </w:p>
        </w:tc>
      </w:tr>
      <w:tr>
        <w:trPr>
          <w:cantSplit/>
        </w:trPr>
        <w:tc>
          <w:tcPr>
            <w:tcW w:type="dxa" w:w="2315"/>
            <w:vAlign w:val="top"/>
            <w:shd w:val="clear" w:color="auto" w:fill="F3F6FA"/>
          </w:tcPr>
          <w:p>
            <w:pPr>
              <w:pStyle w:val="Textodetabla"/>
            </w:pPr>
            <w:r>
              <w:rPr>
                <w:sz w:val="19"/>
              </w:rPr>
              <w:t>Profesor guía</w:t>
            </w:r>
          </w:p>
        </w:tc>
        <w:tc>
          <w:tcPr>
            <w:tcW w:type="dxa" w:w="4052"/>
            <w:vAlign w:val="top"/>
            <w:shd w:val="clear" w:color="auto" w:fill="F3F6FA"/>
          </w:tcPr>
          <w:p>
            <w:pPr>
              <w:pStyle w:val="Textodetabla"/>
            </w:pPr>
            <w:r>
              <w:rPr>
                <w:sz w:val="19"/>
              </w:rPr>
              <w:t>Calidad académica, alcance acordado, servidor</w:t>
            </w:r>
          </w:p>
        </w:tc>
        <w:tc>
          <w:tcPr>
            <w:tcW w:type="dxa" w:w="3039"/>
            <w:vAlign w:val="top"/>
            <w:shd w:val="clear" w:color="auto" w:fill="F3F6FA"/>
          </w:tcPr>
          <w:p>
            <w:pPr>
              <w:pStyle w:val="Textodetabla"/>
            </w:pPr>
            <w:r>
              <w:rPr>
                <w:sz w:val="19"/>
              </w:rPr>
              <w:t>Provee SOAR-CORE-01; revisa entregas; titular de la cuenta del proveedor</w:t>
            </w:r>
          </w:p>
        </w:tc>
      </w:tr>
      <w:tr>
        <w:trPr>
          <w:cantSplit/>
        </w:trPr>
        <w:tc>
          <w:tcPr>
            <w:tcW w:type="dxa" w:w="2315"/>
            <w:vAlign w:val="top"/>
          </w:tcPr>
          <w:p>
            <w:pPr>
              <w:pStyle w:val="Textodetabla"/>
            </w:pPr>
            <w:r>
              <w:rPr>
                <w:sz w:val="19"/>
              </w:rPr>
              <w:t>Comisión evaluadora</w:t>
            </w:r>
          </w:p>
        </w:tc>
        <w:tc>
          <w:tcPr>
            <w:tcW w:type="dxa" w:w="4052"/>
            <w:vAlign w:val="top"/>
          </w:tcPr>
          <w:p>
            <w:pPr>
              <w:pStyle w:val="Textodetabla"/>
            </w:pPr>
            <w:r>
              <w:rPr>
                <w:sz w:val="19"/>
              </w:rPr>
              <w:t>Evaluar el proyecto de título</w:t>
            </w:r>
          </w:p>
        </w:tc>
        <w:tc>
          <w:tcPr>
            <w:tcW w:type="dxa" w:w="3039"/>
            <w:vAlign w:val="top"/>
          </w:tcPr>
          <w:p>
            <w:pPr>
              <w:pStyle w:val="Textodetabla"/>
            </w:pPr>
            <w:r>
              <w:rPr>
                <w:sz w:val="19"/>
              </w:rPr>
              <w:t>Recibe los documentos y la defensa</w:t>
            </w:r>
          </w:p>
        </w:tc>
      </w:tr>
      <w:tr>
        <w:trPr>
          <w:cantSplit/>
        </w:trPr>
        <w:tc>
          <w:tcPr>
            <w:tcW w:type="dxa" w:w="2315"/>
            <w:vAlign w:val="top"/>
            <w:shd w:val="clear" w:color="auto" w:fill="F3F6FA"/>
          </w:tcPr>
          <w:p>
            <w:pPr>
              <w:pStyle w:val="Textodetabla"/>
            </w:pPr>
            <w:r>
              <w:rPr>
                <w:sz w:val="19"/>
              </w:rPr>
              <w:t>Farmacia piloto (encargado)</w:t>
            </w:r>
          </w:p>
        </w:tc>
        <w:tc>
          <w:tcPr>
            <w:tcW w:type="dxa" w:w="4052"/>
            <w:vAlign w:val="top"/>
            <w:shd w:val="clear" w:color="auto" w:fill="F3F6FA"/>
          </w:tcPr>
          <w:p>
            <w:pPr>
              <w:pStyle w:val="Textodetabla"/>
            </w:pPr>
            <w:r>
              <w:rPr>
                <w:sz w:val="19"/>
              </w:rPr>
              <w:t>Protección sin costo de infraestructura</w:t>
            </w:r>
          </w:p>
        </w:tc>
        <w:tc>
          <w:tcPr>
            <w:tcW w:type="dxa" w:w="3039"/>
            <w:vAlign w:val="top"/>
            <w:shd w:val="clear" w:color="auto" w:fill="F3F6FA"/>
          </w:tcPr>
          <w:p>
            <w:pPr>
              <w:pStyle w:val="Textodetabla"/>
            </w:pPr>
            <w:r>
              <w:rPr>
                <w:sz w:val="19"/>
              </w:rPr>
              <w:t>Firmó los tres documentos; ve sus tickets en la consola; no aprueba medidas</w:t>
            </w:r>
          </w:p>
        </w:tc>
      </w:tr>
      <w:tr>
        <w:trPr>
          <w:cantSplit/>
        </w:trPr>
        <w:tc>
          <w:tcPr>
            <w:tcW w:type="dxa" w:w="2315"/>
            <w:vAlign w:val="top"/>
          </w:tcPr>
          <w:p>
            <w:pPr>
              <w:pStyle w:val="Textodetabla"/>
            </w:pPr>
            <w:r>
              <w:rPr>
                <w:sz w:val="19"/>
              </w:rPr>
              <w:t>Trabajadores de la farmacia</w:t>
            </w:r>
          </w:p>
        </w:tc>
        <w:tc>
          <w:tcPr>
            <w:tcW w:type="dxa" w:w="4052"/>
            <w:vAlign w:val="top"/>
          </w:tcPr>
          <w:p>
            <w:pPr>
              <w:pStyle w:val="Textodetabla"/>
            </w:pPr>
            <w:r>
              <w:rPr>
                <w:sz w:val="19"/>
              </w:rPr>
              <w:t>Que el monitoreo sea proporcional y no lea sus contenidos</w:t>
            </w:r>
          </w:p>
        </w:tc>
        <w:tc>
          <w:tcPr>
            <w:tcW w:type="dxa" w:w="3039"/>
            <w:vAlign w:val="top"/>
          </w:tcPr>
          <w:p>
            <w:pPr>
              <w:pStyle w:val="Textodetabla"/>
            </w:pPr>
            <w:r>
              <w:rPr>
                <w:sz w:val="19"/>
              </w:rPr>
              <w:t>Avisados del monitoreo; reciben por correo el aviso de una medida de nivel 2 que los afecte</w:t>
            </w:r>
          </w:p>
        </w:tc>
      </w:tr>
      <w:tr>
        <w:trPr>
          <w:cantSplit/>
        </w:trPr>
        <w:tc>
          <w:tcPr>
            <w:tcW w:type="dxa" w:w="2315"/>
            <w:vAlign w:val="top"/>
            <w:shd w:val="clear" w:color="auto" w:fill="F3F6FA"/>
          </w:tcPr>
          <w:p>
            <w:pPr>
              <w:pStyle w:val="Textodetabla"/>
            </w:pPr>
            <w:r>
              <w:rPr>
                <w:sz w:val="19"/>
              </w:rPr>
              <w:t>Proveedor del servidor</w:t>
            </w:r>
          </w:p>
        </w:tc>
        <w:tc>
          <w:tcPr>
            <w:tcW w:type="dxa" w:w="4052"/>
            <w:vAlign w:val="top"/>
            <w:shd w:val="clear" w:color="auto" w:fill="F3F6FA"/>
          </w:tcPr>
          <w:p>
            <w:pPr>
              <w:pStyle w:val="Textodetabla"/>
            </w:pPr>
            <w:r>
              <w:rPr>
                <w:sz w:val="19"/>
              </w:rPr>
              <w:t>Prestación del servicio de infraestructura</w:t>
            </w:r>
          </w:p>
        </w:tc>
        <w:tc>
          <w:tcPr>
            <w:tcW w:type="dxa" w:w="3039"/>
            <w:vAlign w:val="top"/>
            <w:shd w:val="clear" w:color="auto" w:fill="F3F6FA"/>
          </w:tcPr>
          <w:p>
            <w:pPr>
              <w:pStyle w:val="Textodetabla"/>
            </w:pPr>
            <w:r>
              <w:rPr>
                <w:sz w:val="19"/>
              </w:rPr>
              <w:t>Acuerdo de tratamiento de datos pendiente (BR-05)</w:t>
            </w:r>
          </w:p>
        </w:tc>
      </w:tr>
    </w:tbl>
    <w:p>
      <w:pPr>
        <w:spacing w:after="40" w:line="192" w:lineRule="auto"/>
      </w:pPr>
    </w:p>
    <w:p>
      <w:pPr>
        <w:pStyle w:val="Heading1"/>
      </w:pPr>
      <w:bookmarkStart w:id="1012" w:name="_Toc0012"/>
      <w:r>
        <w:t>8. Supuestos y restricciones</w:t>
      </w:r>
      <w:bookmarkEnd w:id="1012"/>
    </w:p>
    <w:p>
      <w:pPr>
        <w:pStyle w:val="Caption"/>
        <w:keepNext/>
        <w:spacing w:before="120" w:after="80"/>
      </w:pPr>
      <w:bookmarkStart w:id="5006" w:name="_Tab006"/>
      <w:r>
        <w:t xml:space="preserve">Tabla </w:t>
      </w:r>
      <w:r>
        <w:fldChar w:fldCharType="begin"/>
      </w:r>
      <w:r>
        <w:instrText xml:space="preserve"> SEQ Tabla \* ARABIC </w:instrText>
      </w:r>
      <w:r>
        <w:fldChar w:fldCharType="separate"/>
      </w:r>
      <w:r>
        <w:t>6</w:t>
      </w:r>
      <w:r>
        <w:fldChar w:fldCharType="end"/>
      </w:r>
      <w:r>
        <w:t xml:space="preserve">. </w:t>
      </w:r>
      <w:r>
        <w:t>Supuestos</w:t>
      </w:r>
      <w:bookmarkEnd w:id="5006"/>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868"/>
        <w:gridCol w:w="6222"/>
        <w:gridCol w:w="2315"/>
      </w:tblGrid>
      <w:tr>
        <w:trPr>
          <w:cantSplit/>
          <w:tblHeader/>
        </w:trPr>
        <w:tc>
          <w:tcPr>
            <w:tcW w:type="dxa" w:w="868"/>
            <w:vAlign w:val="center"/>
            <w:shd w:val="clear" w:color="auto" w:fill="1F3A5F"/>
          </w:tcPr>
          <w:p>
            <w:pPr>
              <w:pStyle w:val="Textodetabla"/>
            </w:pPr>
            <w:r>
              <w:rPr>
                <w:b/>
                <w:color w:val="FFFFFF"/>
                <w:sz w:val="19"/>
              </w:rPr>
              <w:t>#</w:t>
            </w:r>
          </w:p>
        </w:tc>
        <w:tc>
          <w:tcPr>
            <w:tcW w:type="dxa" w:w="6222"/>
            <w:vAlign w:val="center"/>
            <w:shd w:val="clear" w:color="auto" w:fill="1F3A5F"/>
          </w:tcPr>
          <w:p>
            <w:pPr>
              <w:pStyle w:val="Textodetabla"/>
            </w:pPr>
            <w:r>
              <w:rPr>
                <w:b/>
                <w:color w:val="FFFFFF"/>
                <w:sz w:val="19"/>
              </w:rPr>
              <w:t>Supuesto</w:t>
            </w:r>
          </w:p>
        </w:tc>
        <w:tc>
          <w:tcPr>
            <w:tcW w:type="dxa" w:w="2315"/>
            <w:vAlign w:val="center"/>
            <w:shd w:val="clear" w:color="auto" w:fill="1F3A5F"/>
          </w:tcPr>
          <w:p>
            <w:pPr>
              <w:pStyle w:val="Textodetabla"/>
            </w:pPr>
            <w:r>
              <w:rPr>
                <w:b/>
                <w:color w:val="FFFFFF"/>
                <w:sz w:val="19"/>
              </w:rPr>
              <w:t>Estado</w:t>
            </w:r>
          </w:p>
        </w:tc>
      </w:tr>
      <w:tr>
        <w:trPr>
          <w:cantSplit/>
        </w:trPr>
        <w:tc>
          <w:tcPr>
            <w:tcW w:type="dxa" w:w="868"/>
            <w:vAlign w:val="top"/>
          </w:tcPr>
          <w:p>
            <w:pPr>
              <w:pStyle w:val="Textodetabla"/>
            </w:pPr>
            <w:r>
              <w:rPr>
                <w:sz w:val="19"/>
              </w:rPr>
              <w:t>S1</w:t>
            </w:r>
          </w:p>
        </w:tc>
        <w:tc>
          <w:tcPr>
            <w:tcW w:type="dxa" w:w="6222"/>
            <w:vAlign w:val="top"/>
          </w:tcPr>
          <w:p>
            <w:pPr>
              <w:pStyle w:val="Textodetabla"/>
            </w:pPr>
            <w:r>
              <w:rPr>
                <w:sz w:val="19"/>
              </w:rPr>
              <w:t>SOAR-CORE-01 está disponible hasta el 10-12-2026</w:t>
            </w:r>
          </w:p>
        </w:tc>
        <w:tc>
          <w:tcPr>
            <w:tcW w:type="dxa" w:w="2315"/>
            <w:vAlign w:val="top"/>
          </w:tcPr>
          <w:p>
            <w:pPr>
              <w:pStyle w:val="Textodetabla"/>
            </w:pPr>
            <w:r>
              <w:rPr>
                <w:rFonts w:ascii="Segoe UI Emoji" w:hAnsi="Segoe UI Emoji"/>
                <w:sz w:val="19"/>
              </w:rPr>
              <w:t>🟡</w:t>
            </w:r>
          </w:p>
        </w:tc>
      </w:tr>
      <w:tr>
        <w:trPr>
          <w:cantSplit/>
        </w:trPr>
        <w:tc>
          <w:tcPr>
            <w:tcW w:type="dxa" w:w="868"/>
            <w:vAlign w:val="top"/>
            <w:shd w:val="clear" w:color="auto" w:fill="F3F6FA"/>
          </w:tcPr>
          <w:p>
            <w:pPr>
              <w:pStyle w:val="Textodetabla"/>
            </w:pPr>
            <w:r>
              <w:rPr>
                <w:sz w:val="19"/>
              </w:rPr>
              <w:t>S2</w:t>
            </w:r>
          </w:p>
        </w:tc>
        <w:tc>
          <w:tcPr>
            <w:tcW w:type="dxa" w:w="6222"/>
            <w:vAlign w:val="top"/>
            <w:shd w:val="clear" w:color="auto" w:fill="F3F6FA"/>
          </w:tcPr>
          <w:p>
            <w:pPr>
              <w:pStyle w:val="Textodetabla"/>
            </w:pPr>
            <w:r>
              <w:rPr>
                <w:sz w:val="19"/>
              </w:rPr>
              <w:t>Un modelo local en CPU responde en 60 segundos o menos con todos los servicios corriendo</w:t>
            </w:r>
          </w:p>
        </w:tc>
        <w:tc>
          <w:tcPr>
            <w:tcW w:type="dxa" w:w="2315"/>
            <w:vAlign w:val="top"/>
            <w:shd w:val="clear" w:color="auto" w:fill="F3F6FA"/>
          </w:tcPr>
          <w:p>
            <w:pPr>
              <w:pStyle w:val="Textodetabla"/>
            </w:pPr>
            <w:r>
              <w:rPr>
                <w:rFonts w:ascii="Segoe UI Emoji" w:hAnsi="Segoe UI Emoji"/>
                <w:sz w:val="19"/>
              </w:rPr>
              <w:t>🟡</w:t>
            </w:r>
            <w:r>
              <w:rPr>
                <w:sz w:val="19"/>
              </w:rPr>
              <w:t xml:space="preserve"> medido sin Wazuh ni PostgreSQL corriendo</w:t>
            </w:r>
          </w:p>
        </w:tc>
      </w:tr>
      <w:tr>
        <w:trPr>
          <w:cantSplit/>
        </w:trPr>
        <w:tc>
          <w:tcPr>
            <w:tcW w:type="dxa" w:w="868"/>
            <w:vAlign w:val="top"/>
          </w:tcPr>
          <w:p>
            <w:pPr>
              <w:pStyle w:val="Textodetabla"/>
            </w:pPr>
            <w:r>
              <w:rPr>
                <w:sz w:val="19"/>
              </w:rPr>
              <w:t>S3</w:t>
            </w:r>
          </w:p>
        </w:tc>
        <w:tc>
          <w:tcPr>
            <w:tcW w:type="dxa" w:w="6222"/>
            <w:vAlign w:val="top"/>
          </w:tcPr>
          <w:p>
            <w:pPr>
              <w:pStyle w:val="Textodetabla"/>
            </w:pPr>
            <w:r>
              <w:rPr>
                <w:sz w:val="19"/>
              </w:rPr>
              <w:t>Los equipos del cliente pueden salir por internet al puerto 1514</w:t>
            </w:r>
          </w:p>
        </w:tc>
        <w:tc>
          <w:tcPr>
            <w:tcW w:type="dxa" w:w="2315"/>
            <w:vAlign w:val="top"/>
          </w:tcPr>
          <w:p>
            <w:pPr>
              <w:pStyle w:val="Textodetabla"/>
            </w:pPr>
            <w:r>
              <w:rPr>
                <w:rFonts w:ascii="Segoe UI Emoji" w:hAnsi="Segoe UI Emoji"/>
                <w:sz w:val="19"/>
              </w:rPr>
              <w:t>🟡</w:t>
            </w:r>
            <w:r>
              <w:rPr>
                <w:sz w:val="19"/>
              </w:rPr>
              <w:t xml:space="preserve"> supuesto; se comprueba en cada cliente</w:t>
            </w:r>
          </w:p>
        </w:tc>
      </w:tr>
      <w:tr>
        <w:trPr>
          <w:cantSplit/>
        </w:trPr>
        <w:tc>
          <w:tcPr>
            <w:tcW w:type="dxa" w:w="868"/>
            <w:vAlign w:val="top"/>
            <w:shd w:val="clear" w:color="auto" w:fill="F3F6FA"/>
          </w:tcPr>
          <w:p>
            <w:pPr>
              <w:pStyle w:val="Textodetabla"/>
            </w:pPr>
            <w:r>
              <w:rPr>
                <w:sz w:val="19"/>
              </w:rPr>
              <w:t>S4</w:t>
            </w:r>
          </w:p>
        </w:tc>
        <w:tc>
          <w:tcPr>
            <w:tcW w:type="dxa" w:w="6222"/>
            <w:vAlign w:val="top"/>
            <w:shd w:val="clear" w:color="auto" w:fill="F3F6FA"/>
          </w:tcPr>
          <w:p>
            <w:pPr>
              <w:pStyle w:val="Textodetabla"/>
            </w:pPr>
            <w:r>
              <w:rPr>
                <w:sz w:val="19"/>
              </w:rPr>
              <w:t>La farmacia entrega sus datos (equipos, lista de exclusión y contactos) después de instalar</w:t>
            </w:r>
          </w:p>
        </w:tc>
        <w:tc>
          <w:tcPr>
            <w:tcW w:type="dxa" w:w="2315"/>
            <w:vAlign w:val="top"/>
            <w:shd w:val="clear" w:color="auto" w:fill="F3F6FA"/>
          </w:tcPr>
          <w:p>
            <w:pPr>
              <w:pStyle w:val="Textodetabla"/>
            </w:pPr>
            <w:r>
              <w:rPr>
                <w:rFonts w:ascii="Segoe UI Emoji" w:hAnsi="Segoe UI Emoji"/>
                <w:sz w:val="19"/>
              </w:rPr>
              <w:t>⏳</w:t>
            </w:r>
            <w:r>
              <w:rPr>
                <w:sz w:val="19"/>
              </w:rPr>
              <w:t xml:space="preserve"> (D-28)</w:t>
            </w:r>
          </w:p>
        </w:tc>
      </w:tr>
      <w:tr>
        <w:trPr>
          <w:cantSplit/>
        </w:trPr>
        <w:tc>
          <w:tcPr>
            <w:tcW w:type="dxa" w:w="868"/>
            <w:vAlign w:val="top"/>
          </w:tcPr>
          <w:p>
            <w:pPr>
              <w:pStyle w:val="Textodetabla"/>
            </w:pPr>
            <w:r>
              <w:rPr>
                <w:sz w:val="19"/>
              </w:rPr>
              <w:t>S5</w:t>
            </w:r>
          </w:p>
        </w:tc>
        <w:tc>
          <w:tcPr>
            <w:tcW w:type="dxa" w:w="6222"/>
            <w:vAlign w:val="top"/>
          </w:tcPr>
          <w:p>
            <w:pPr>
              <w:pStyle w:val="Textodetabla"/>
            </w:pPr>
            <w:r>
              <w:rPr>
                <w:sz w:val="19"/>
              </w:rPr>
              <w:t>El equipo responde las aprobaciones de nivel 3 dentro de 2 días</w:t>
            </w:r>
          </w:p>
        </w:tc>
        <w:tc>
          <w:tcPr>
            <w:tcW w:type="dxa" w:w="2315"/>
            <w:vAlign w:val="top"/>
          </w:tcPr>
          <w:p>
            <w:pPr>
              <w:pStyle w:val="Textodetabla"/>
            </w:pPr>
            <w:r>
              <w:rPr>
                <w:rFonts w:ascii="Segoe UI Emoji" w:hAnsi="Segoe UI Emoji"/>
                <w:sz w:val="19"/>
              </w:rPr>
              <w:t>⏳</w:t>
            </w:r>
            <w:r>
              <w:rPr>
                <w:sz w:val="19"/>
              </w:rPr>
              <w:t xml:space="preserve"> (D-32)</w:t>
            </w:r>
          </w:p>
        </w:tc>
      </w:tr>
    </w:tbl>
    <w:p>
      <w:pPr>
        <w:spacing w:after="40" w:line="192" w:lineRule="auto"/>
      </w:pPr>
    </w:p>
    <w:p>
      <w:pPr>
        <w:pStyle w:val="Caption"/>
        <w:keepNext/>
        <w:spacing w:before="120" w:after="80"/>
      </w:pPr>
      <w:bookmarkStart w:id="5007" w:name="_Tab007"/>
      <w:r>
        <w:t xml:space="preserve">Tabla </w:t>
      </w:r>
      <w:r>
        <w:fldChar w:fldCharType="begin"/>
      </w:r>
      <w:r>
        <w:instrText xml:space="preserve"> SEQ Tabla \* ARABIC </w:instrText>
      </w:r>
      <w:r>
        <w:fldChar w:fldCharType="separate"/>
      </w:r>
      <w:r>
        <w:t>7</w:t>
      </w:r>
      <w:r>
        <w:fldChar w:fldCharType="end"/>
      </w:r>
      <w:r>
        <w:t xml:space="preserve">. </w:t>
      </w:r>
      <w:r>
        <w:t>Restricciones</w:t>
      </w:r>
      <w:bookmarkEnd w:id="5007"/>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868"/>
        <w:gridCol w:w="8538"/>
      </w:tblGrid>
      <w:tr>
        <w:trPr>
          <w:cantSplit/>
          <w:tblHeader/>
        </w:trPr>
        <w:tc>
          <w:tcPr>
            <w:tcW w:type="dxa" w:w="868"/>
            <w:vAlign w:val="center"/>
            <w:shd w:val="clear" w:color="auto" w:fill="1F3A5F"/>
          </w:tcPr>
          <w:p>
            <w:pPr>
              <w:pStyle w:val="Textodetabla"/>
            </w:pPr>
            <w:r>
              <w:rPr>
                <w:b/>
                <w:color w:val="FFFFFF"/>
                <w:sz w:val="19"/>
              </w:rPr>
              <w:t>#</w:t>
            </w:r>
          </w:p>
        </w:tc>
        <w:tc>
          <w:tcPr>
            <w:tcW w:type="dxa" w:w="8537"/>
            <w:vAlign w:val="center"/>
            <w:shd w:val="clear" w:color="auto" w:fill="1F3A5F"/>
          </w:tcPr>
          <w:p>
            <w:pPr>
              <w:pStyle w:val="Textodetabla"/>
            </w:pPr>
            <w:r>
              <w:rPr>
                <w:b/>
                <w:color w:val="FFFFFF"/>
                <w:sz w:val="19"/>
              </w:rPr>
              <w:t>Restricción</w:t>
            </w:r>
          </w:p>
        </w:tc>
      </w:tr>
      <w:tr>
        <w:trPr>
          <w:cantSplit/>
        </w:trPr>
        <w:tc>
          <w:tcPr>
            <w:tcW w:type="dxa" w:w="868"/>
            <w:vAlign w:val="top"/>
          </w:tcPr>
          <w:p>
            <w:pPr>
              <w:pStyle w:val="Textodetabla"/>
            </w:pPr>
            <w:r>
              <w:rPr>
                <w:sz w:val="19"/>
              </w:rPr>
              <w:t>C1</w:t>
            </w:r>
          </w:p>
        </w:tc>
        <w:tc>
          <w:tcPr>
            <w:tcW w:type="dxa" w:w="8537"/>
            <w:vAlign w:val="top"/>
          </w:tcPr>
          <w:p>
            <w:pPr>
              <w:pStyle w:val="Textodetabla"/>
            </w:pPr>
            <w:r>
              <w:rPr>
                <w:sz w:val="19"/>
              </w:rPr>
              <w:t>Fecha de entrega de los documentos: 16-10-2026; cierre académico del 01 al 09-12-2026</w:t>
            </w:r>
          </w:p>
        </w:tc>
      </w:tr>
      <w:tr>
        <w:trPr>
          <w:cantSplit/>
        </w:trPr>
        <w:tc>
          <w:tcPr>
            <w:tcW w:type="dxa" w:w="868"/>
            <w:vAlign w:val="top"/>
            <w:shd w:val="clear" w:color="auto" w:fill="F3F6FA"/>
          </w:tcPr>
          <w:p>
            <w:pPr>
              <w:pStyle w:val="Textodetabla"/>
            </w:pPr>
            <w:r>
              <w:rPr>
                <w:sz w:val="19"/>
              </w:rPr>
              <w:t>C2</w:t>
            </w:r>
          </w:p>
        </w:tc>
        <w:tc>
          <w:tcPr>
            <w:tcW w:type="dxa" w:w="8537"/>
            <w:vAlign w:val="top"/>
            <w:shd w:val="clear" w:color="auto" w:fill="F3F6FA"/>
          </w:tcPr>
          <w:p>
            <w:pPr>
              <w:pStyle w:val="Textodetabla"/>
            </w:pPr>
            <w:r>
              <w:rPr>
                <w:sz w:val="19"/>
              </w:rPr>
              <w:t>Servidor sin GPU: la inferencia corre en CPU</w:t>
            </w:r>
          </w:p>
        </w:tc>
      </w:tr>
      <w:tr>
        <w:trPr>
          <w:cantSplit/>
        </w:trPr>
        <w:tc>
          <w:tcPr>
            <w:tcW w:type="dxa" w:w="868"/>
            <w:vAlign w:val="top"/>
          </w:tcPr>
          <w:p>
            <w:pPr>
              <w:pStyle w:val="Textodetabla"/>
            </w:pPr>
            <w:r>
              <w:rPr>
                <w:sz w:val="19"/>
              </w:rPr>
              <w:t>C3</w:t>
            </w:r>
          </w:p>
        </w:tc>
        <w:tc>
          <w:tcPr>
            <w:tcW w:type="dxa" w:w="8537"/>
            <w:vAlign w:val="top"/>
          </w:tcPr>
          <w:p>
            <w:pPr>
              <w:pStyle w:val="Textodetabla"/>
            </w:pPr>
            <w:r>
              <w:rPr>
                <w:sz w:val="19"/>
              </w:rPr>
              <w:t>Sin presupuesto para licencias ni APIs de pago (D-02)</w:t>
            </w:r>
          </w:p>
        </w:tc>
      </w:tr>
      <w:tr>
        <w:trPr>
          <w:cantSplit/>
        </w:trPr>
        <w:tc>
          <w:tcPr>
            <w:tcW w:type="dxa" w:w="868"/>
            <w:vAlign w:val="top"/>
            <w:shd w:val="clear" w:color="auto" w:fill="F3F6FA"/>
          </w:tcPr>
          <w:p>
            <w:pPr>
              <w:pStyle w:val="Textodetabla"/>
            </w:pPr>
            <w:r>
              <w:rPr>
                <w:sz w:val="19"/>
              </w:rPr>
              <w:t>C4</w:t>
            </w:r>
          </w:p>
        </w:tc>
        <w:tc>
          <w:tcPr>
            <w:tcW w:type="dxa" w:w="8537"/>
            <w:vAlign w:val="top"/>
            <w:shd w:val="clear" w:color="auto" w:fill="F3F6FA"/>
          </w:tcPr>
          <w:p>
            <w:pPr>
              <w:pStyle w:val="Textodetabla"/>
            </w:pPr>
            <w:r>
              <w:rPr>
                <w:sz w:val="19"/>
              </w:rPr>
              <w:t>Restricciones de diseño R1 a R4 (documento 02, Especificación de requerimientos)</w:t>
            </w:r>
          </w:p>
        </w:tc>
      </w:tr>
      <w:tr>
        <w:trPr>
          <w:cantSplit/>
        </w:trPr>
        <w:tc>
          <w:tcPr>
            <w:tcW w:type="dxa" w:w="868"/>
            <w:vAlign w:val="top"/>
          </w:tcPr>
          <w:p>
            <w:pPr>
              <w:pStyle w:val="Textodetabla"/>
            </w:pPr>
            <w:r>
              <w:rPr>
                <w:sz w:val="19"/>
              </w:rPr>
              <w:t>C5</w:t>
            </w:r>
          </w:p>
        </w:tc>
        <w:tc>
          <w:tcPr>
            <w:tcW w:type="dxa" w:w="8537"/>
            <w:vAlign w:val="top"/>
          </w:tcPr>
          <w:p>
            <w:pPr>
              <w:pStyle w:val="Textodetabla"/>
            </w:pPr>
            <w:r>
              <w:rPr>
                <w:sz w:val="19"/>
              </w:rPr>
              <w:t>Contención real, sin modo observación (D-05)</w:t>
            </w:r>
          </w:p>
        </w:tc>
      </w:tr>
    </w:tbl>
    <w:p>
      <w:pPr>
        <w:spacing w:after="40" w:line="192" w:lineRule="auto"/>
      </w:pPr>
    </w:p>
    <w:p>
      <w:pPr>
        <w:pStyle w:val="Heading1"/>
      </w:pPr>
      <w:bookmarkStart w:id="1013" w:name="_Toc0013"/>
      <w:r>
        <w:t>9. Evolución desde la Fase 1</w:t>
      </w:r>
      <w:bookmarkEnd w:id="1013"/>
    </w:p>
    <w:p>
      <w:r>
        <w:t>En la Fase 1, Kronos era un laboratorio local en una casa: VirtualBox sobre Ubuntu, un dominio Samba, un proxy con inspección TLS y cuatro máquinas virtuales. El 25-09-2026 el equipo lo replanteó como servicio en la nube. El cliente sólo instala un agente; la contención ocurre en el propio equipo; la interfaz es una consola multiinquilino; y la orquestación pasó de n8n a código Python verificable.</w:t>
      </w:r>
    </w:p>
    <w:p>
      <w:r>
        <w:t>El detalle de los cambios y la equivalencia de nombres están en el documento 09 (Documento de arquitectura).</w:t>
      </w:r>
    </w:p>
    <w:p>
      <w:pPr>
        <w:pStyle w:val="Heading1"/>
      </w:pPr>
      <w:bookmarkStart w:id="1014" w:name="_Toc0014"/>
      <w:r>
        <w:t>10. Objetivos</w:t>
      </w:r>
      <w:bookmarkEnd w:id="1014"/>
    </w:p>
    <w:p>
      <w:r>
        <w:rPr>
          <w:b/>
        </w:rPr>
        <w:t>Objetivo general:</w:t>
      </w:r>
      <w:r>
        <w:t xml:space="preserve"> implementar un sistema SOAR automatizado con IA y ejecución determinista, que garantice trazabilidad y control humano.</w:t>
      </w:r>
    </w:p>
    <w:p>
      <w:pPr>
        <w:pStyle w:val="Caption"/>
        <w:keepNext/>
        <w:spacing w:before="120" w:after="80"/>
      </w:pPr>
      <w:bookmarkStart w:id="5008" w:name="_Tab008"/>
      <w:r>
        <w:t xml:space="preserve">Tabla </w:t>
      </w:r>
      <w:r>
        <w:fldChar w:fldCharType="begin"/>
      </w:r>
      <w:r>
        <w:instrText xml:space="preserve"> SEQ Tabla \* ARABIC </w:instrText>
      </w:r>
      <w:r>
        <w:fldChar w:fldCharType="separate"/>
      </w:r>
      <w:r>
        <w:t>8</w:t>
      </w:r>
      <w:r>
        <w:fldChar w:fldCharType="end"/>
      </w:r>
      <w:r>
        <w:t xml:space="preserve">. </w:t>
      </w:r>
      <w:r>
        <w:t>Objetivos específicos</w:t>
      </w:r>
      <w:bookmarkEnd w:id="5008"/>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868"/>
        <w:gridCol w:w="5209"/>
        <w:gridCol w:w="3328"/>
      </w:tblGrid>
      <w:tr>
        <w:trPr>
          <w:cantSplit/>
          <w:tblHeader/>
        </w:trPr>
        <w:tc>
          <w:tcPr>
            <w:tcW w:type="dxa" w:w="868"/>
            <w:vAlign w:val="center"/>
            <w:shd w:val="clear" w:color="auto" w:fill="1F3A5F"/>
          </w:tcPr>
          <w:p>
            <w:pPr>
              <w:pStyle w:val="Textodetabla"/>
            </w:pPr>
            <w:r>
              <w:rPr>
                <w:b/>
                <w:color w:val="FFFFFF"/>
                <w:sz w:val="19"/>
              </w:rPr>
              <w:t>#</w:t>
            </w:r>
          </w:p>
        </w:tc>
        <w:tc>
          <w:tcPr>
            <w:tcW w:type="dxa" w:w="5209"/>
            <w:vAlign w:val="center"/>
            <w:shd w:val="clear" w:color="auto" w:fill="1F3A5F"/>
          </w:tcPr>
          <w:p>
            <w:pPr>
              <w:pStyle w:val="Textodetabla"/>
            </w:pPr>
            <w:r>
              <w:rPr>
                <w:b/>
                <w:color w:val="FFFFFF"/>
                <w:sz w:val="19"/>
              </w:rPr>
              <w:t>Objetivo específico</w:t>
            </w:r>
          </w:p>
        </w:tc>
        <w:tc>
          <w:tcPr>
            <w:tcW w:type="dxa" w:w="3328"/>
            <w:vAlign w:val="center"/>
            <w:shd w:val="clear" w:color="auto" w:fill="1F3A5F"/>
          </w:tcPr>
          <w:p>
            <w:pPr>
              <w:pStyle w:val="Textodetabla"/>
            </w:pPr>
            <w:r>
              <w:rPr>
                <w:b/>
                <w:color w:val="FFFFFF"/>
                <w:sz w:val="19"/>
              </w:rPr>
              <w:t>Evidencia comprometida</w:t>
            </w:r>
          </w:p>
        </w:tc>
      </w:tr>
      <w:tr>
        <w:trPr>
          <w:cantSplit/>
        </w:trPr>
        <w:tc>
          <w:tcPr>
            <w:tcW w:type="dxa" w:w="868"/>
            <w:vAlign w:val="top"/>
          </w:tcPr>
          <w:p>
            <w:pPr>
              <w:pStyle w:val="Textodetabla"/>
            </w:pPr>
            <w:r>
              <w:rPr>
                <w:sz w:val="19"/>
              </w:rPr>
              <w:t>OE1</w:t>
            </w:r>
          </w:p>
        </w:tc>
        <w:tc>
          <w:tcPr>
            <w:tcW w:type="dxa" w:w="5209"/>
            <w:vAlign w:val="top"/>
          </w:tcPr>
          <w:p>
            <w:pPr>
              <w:pStyle w:val="Textodetabla"/>
            </w:pPr>
            <w:r>
              <w:rPr>
                <w:sz w:val="19"/>
              </w:rPr>
              <w:t>Infraestructura de detección con Wazuh</w:t>
            </w:r>
          </w:p>
        </w:tc>
        <w:tc>
          <w:tcPr>
            <w:tcW w:type="dxa" w:w="3328"/>
            <w:vAlign w:val="top"/>
          </w:tcPr>
          <w:p>
            <w:pPr>
              <w:pStyle w:val="Textodetabla"/>
            </w:pPr>
            <w:r>
              <w:rPr>
                <w:sz w:val="19"/>
              </w:rPr>
              <w:t>Alertas de F1 y F2 desde el laboratorio</w:t>
            </w:r>
          </w:p>
        </w:tc>
      </w:tr>
      <w:tr>
        <w:trPr>
          <w:cantSplit/>
        </w:trPr>
        <w:tc>
          <w:tcPr>
            <w:tcW w:type="dxa" w:w="868"/>
            <w:vAlign w:val="top"/>
            <w:shd w:val="clear" w:color="auto" w:fill="F3F6FA"/>
          </w:tcPr>
          <w:p>
            <w:pPr>
              <w:pStyle w:val="Textodetabla"/>
            </w:pPr>
            <w:r>
              <w:rPr>
                <w:sz w:val="19"/>
              </w:rPr>
              <w:t>OE2</w:t>
            </w:r>
          </w:p>
        </w:tc>
        <w:tc>
          <w:tcPr>
            <w:tcW w:type="dxa" w:w="5209"/>
            <w:vAlign w:val="top"/>
            <w:shd w:val="clear" w:color="auto" w:fill="F3F6FA"/>
          </w:tcPr>
          <w:p>
            <w:pPr>
              <w:pStyle w:val="Textodetabla"/>
            </w:pPr>
            <w:r>
              <w:rPr>
                <w:sz w:val="19"/>
              </w:rPr>
              <w:t>Catálogo de 25 playbooks en 4 niveles de autonomía</w:t>
            </w:r>
          </w:p>
        </w:tc>
        <w:tc>
          <w:tcPr>
            <w:tcW w:type="dxa" w:w="3328"/>
            <w:vAlign w:val="top"/>
            <w:shd w:val="clear" w:color="auto" w:fill="F3F6FA"/>
          </w:tcPr>
          <w:p>
            <w:pPr>
              <w:pStyle w:val="Textodetabla"/>
            </w:pPr>
            <w:r>
              <w:rPr>
                <w:sz w:val="19"/>
              </w:rPr>
              <w:t>Catálogo versionado como datos</w:t>
            </w:r>
          </w:p>
        </w:tc>
      </w:tr>
      <w:tr>
        <w:trPr>
          <w:cantSplit/>
        </w:trPr>
        <w:tc>
          <w:tcPr>
            <w:tcW w:type="dxa" w:w="868"/>
            <w:vAlign w:val="top"/>
          </w:tcPr>
          <w:p>
            <w:pPr>
              <w:pStyle w:val="Textodetabla"/>
            </w:pPr>
            <w:r>
              <w:rPr>
                <w:sz w:val="19"/>
              </w:rPr>
              <w:t>OE3</w:t>
            </w:r>
          </w:p>
        </w:tc>
        <w:tc>
          <w:tcPr>
            <w:tcW w:type="dxa" w:w="5209"/>
            <w:vAlign w:val="top"/>
          </w:tcPr>
          <w:p>
            <w:pPr>
              <w:pStyle w:val="Textodetabla"/>
            </w:pPr>
            <w:r>
              <w:rPr>
                <w:sz w:val="19"/>
              </w:rPr>
              <w:t>Modelo local con clasificación en dos pasos</w:t>
            </w:r>
          </w:p>
        </w:tc>
        <w:tc>
          <w:tcPr>
            <w:tcW w:type="dxa" w:w="3328"/>
            <w:vAlign w:val="top"/>
          </w:tcPr>
          <w:p>
            <w:pPr>
              <w:pStyle w:val="Textodetabla"/>
            </w:pPr>
            <w:r>
              <w:rPr>
                <w:sz w:val="19"/>
              </w:rPr>
              <w:t>10 casos adversariales de inyección bloqueados</w:t>
            </w:r>
          </w:p>
        </w:tc>
      </w:tr>
      <w:tr>
        <w:trPr>
          <w:cantSplit/>
        </w:trPr>
        <w:tc>
          <w:tcPr>
            <w:tcW w:type="dxa" w:w="868"/>
            <w:vAlign w:val="top"/>
            <w:shd w:val="clear" w:color="auto" w:fill="F3F6FA"/>
          </w:tcPr>
          <w:p>
            <w:pPr>
              <w:pStyle w:val="Textodetabla"/>
            </w:pPr>
            <w:r>
              <w:rPr>
                <w:sz w:val="19"/>
              </w:rPr>
              <w:t>OE4</w:t>
            </w:r>
          </w:p>
        </w:tc>
        <w:tc>
          <w:tcPr>
            <w:tcW w:type="dxa" w:w="5209"/>
            <w:vAlign w:val="top"/>
            <w:shd w:val="clear" w:color="auto" w:fill="F3F6FA"/>
          </w:tcPr>
          <w:p>
            <w:pPr>
              <w:pStyle w:val="Textodetabla"/>
            </w:pPr>
            <w:r>
              <w:rPr>
                <w:sz w:val="19"/>
              </w:rPr>
              <w:t>Orquestación con limitador de tasa y cortacircuito</w:t>
            </w:r>
          </w:p>
        </w:tc>
        <w:tc>
          <w:tcPr>
            <w:tcW w:type="dxa" w:w="3328"/>
            <w:vAlign w:val="top"/>
            <w:shd w:val="clear" w:color="auto" w:fill="F3F6FA"/>
          </w:tcPr>
          <w:p>
            <w:pPr>
              <w:pStyle w:val="Textodetabla"/>
            </w:pPr>
            <w:r>
              <w:rPr>
                <w:sz w:val="19"/>
              </w:rPr>
              <w:t>Prueba de estrés: 30 alertas en 10 minutos activan el cortacircuito</w:t>
            </w:r>
          </w:p>
        </w:tc>
      </w:tr>
      <w:tr>
        <w:trPr>
          <w:cantSplit/>
        </w:trPr>
        <w:tc>
          <w:tcPr>
            <w:tcW w:type="dxa" w:w="868"/>
            <w:vAlign w:val="top"/>
          </w:tcPr>
          <w:p>
            <w:pPr>
              <w:pStyle w:val="Textodetabla"/>
            </w:pPr>
            <w:r>
              <w:rPr>
                <w:sz w:val="19"/>
              </w:rPr>
              <w:t>OE5</w:t>
            </w:r>
          </w:p>
        </w:tc>
        <w:tc>
          <w:tcPr>
            <w:tcW w:type="dxa" w:w="5209"/>
            <w:vAlign w:val="top"/>
          </w:tcPr>
          <w:p>
            <w:pPr>
              <w:pStyle w:val="Textodetabla"/>
            </w:pPr>
            <w:r>
              <w:rPr>
                <w:sz w:val="19"/>
              </w:rPr>
              <w:t>Persistencia inmutable</w:t>
            </w:r>
          </w:p>
        </w:tc>
        <w:tc>
          <w:tcPr>
            <w:tcW w:type="dxa" w:w="3328"/>
            <w:vAlign w:val="top"/>
          </w:tcPr>
          <w:p>
            <w:pPr>
              <w:pStyle w:val="Textodetabla"/>
            </w:pPr>
            <w:r>
              <w:rPr>
                <w:sz w:val="19"/>
              </w:rPr>
              <w:t>Cadena de hash verificable</w:t>
            </w:r>
          </w:p>
        </w:tc>
      </w:tr>
    </w:tbl>
    <w:p>
      <w:pPr>
        <w:spacing w:after="40" w:line="192" w:lineRule="auto"/>
      </w:pPr>
    </w:p>
    <w:p>
      <w:r>
        <w:t>La trazabilidad de cada objetivo hasta sus requerimientos, pruebas y evidencia está en el documento 00 (Índice documental y matriz de trazabilidad).</w:t>
      </w:r>
    </w:p>
    <w:p>
      <w:pPr>
        <w:pStyle w:val="Heading1"/>
      </w:pPr>
      <w:bookmarkStart w:id="1015" w:name="_Toc0015"/>
      <w:r>
        <w:t>11. Referencias</w:t>
      </w:r>
      <w:bookmarkEnd w:id="1015"/>
    </w:p>
    <w:p>
      <w:pPr>
        <w:ind w:left="567" w:hanging="567"/>
      </w:pPr>
      <w:r>
        <w:rPr>
          <w:sz w:val="20"/>
        </w:rPr>
        <w:t>Pantaleo, G., y Rinaudo, L. (</w:t>
      </w:r>
      <w:r>
        <w:rPr>
          <w:b/>
          <w:color w:val="7A4A00"/>
          <w:sz w:val="20"/>
          <w:highlight w:val="yellow"/>
        </w:rPr>
        <w:t>[POR CONFIRMAR: año y edición, tomados de la portada del libro — preguntar a Patricio]</w:t>
      </w:r>
      <w:r>
        <w:rPr>
          <w:sz w:val="20"/>
        </w:rPr>
        <w:t xml:space="preserve">). </w:t>
      </w:r>
      <w:r>
        <w:rPr>
          <w:i/>
          <w:sz w:val="20"/>
        </w:rPr>
        <w:t>Ingeniería de software</w:t>
      </w:r>
      <w:r>
        <w:rPr>
          <w:sz w:val="20"/>
        </w:rPr>
        <w:t>. Alfaomega.</w:t>
      </w:r>
    </w:p>
    <w:p>
      <w:pPr>
        <w:ind w:left="567" w:hanging="567"/>
      </w:pPr>
      <w:r>
        <w:rPr>
          <w:sz w:val="20"/>
        </w:rPr>
        <w:t xml:space="preserve">Ley N.° 19.628, sobre protección de la vida privada. (1999). </w:t>
      </w:r>
      <w:r>
        <w:rPr>
          <w:i/>
          <w:sz w:val="20"/>
        </w:rPr>
        <w:t>Diario Oficial de la República de Chile</w:t>
      </w:r>
      <w:r>
        <w:rPr>
          <w:sz w:val="20"/>
        </w:rPr>
        <w:t>.</w:t>
      </w:r>
    </w:p>
    <w:p>
      <w:pPr>
        <w:ind w:left="567" w:hanging="567"/>
      </w:pPr>
      <w:r>
        <w:rPr>
          <w:sz w:val="20"/>
        </w:rPr>
        <w:t xml:space="preserve">Ley N.° 21.719, que regula la protección y el tratamiento de los datos personales y crea la Agencia de Protección de Datos Personales. (2024). </w:t>
      </w:r>
      <w:r>
        <w:rPr>
          <w:i/>
          <w:sz w:val="20"/>
        </w:rPr>
        <w:t>Diario Oficial de la República de Chile</w:t>
      </w:r>
      <w:r>
        <w:rPr>
          <w:sz w:val="20"/>
        </w:rPr>
        <w:t>.</w:t>
      </w:r>
    </w:p>
    <w:p>
      <w:pPr>
        <w:ind w:left="567" w:hanging="567"/>
      </w:pPr>
      <w:r>
        <w:rPr>
          <w:sz w:val="20"/>
        </w:rPr>
        <w:t xml:space="preserve">Ley N.° 21.663, Ley Marco de Ciberseguridad. (2024). </w:t>
      </w:r>
      <w:r>
        <w:rPr>
          <w:i/>
          <w:sz w:val="20"/>
        </w:rPr>
        <w:t>Diario Oficial de la República de Chile</w:t>
      </w:r>
      <w:r>
        <w:rPr>
          <w:sz w:val="20"/>
        </w:rPr>
        <w:t>.</w:t>
      </w:r>
    </w:p>
    <w:p>
      <w:pPr>
        <w:ind w:left="567" w:hanging="567"/>
      </w:pPr>
      <w:r>
        <w:rPr>
          <w:sz w:val="20"/>
        </w:rPr>
        <w:t xml:space="preserve">Equipo Kronos AI. (2026). </w:t>
      </w:r>
      <w:r>
        <w:rPr>
          <w:i/>
          <w:sz w:val="20"/>
        </w:rPr>
        <w:t>Kronos AI — Contexto maestro para la redacción de documentos</w:t>
      </w:r>
      <w:r>
        <w:rPr>
          <w:sz w:val="20"/>
        </w:rPr>
        <w:t xml:space="preserve"> (versión 2.1, 14-10-2026) [Documento interno].</w:t>
      </w:r>
    </w:p>
    <w:p>
      <w:pPr>
        <w:ind w:left="567" w:hanging="567"/>
      </w:pPr>
      <w:r>
        <w:rPr>
          <w:sz w:val="20"/>
        </w:rPr>
        <w:t xml:space="preserve">Equipo Kronos AI. (2026). </w:t>
      </w:r>
      <w:r>
        <w:rPr>
          <w:i/>
          <w:sz w:val="20"/>
        </w:rPr>
        <w:t>soarai2026/kronos-ai</w:t>
      </w:r>
      <w:r>
        <w:rPr>
          <w:sz w:val="20"/>
        </w:rPr>
        <w:t xml:space="preserve"> [Repositorio privado, rama develop]. GitHub.</w:t>
      </w:r>
    </w:p>
    <w:sectPr w:rsidR="00FC693F" w:rsidRPr="0006063C" w:rsidSect="00034616">
      <w:headerReference w:type="default" r:id="rId9"/>
      <w:footerReference w:type="default" r:id="rId10"/>
      <w:pgSz w:w="12240" w:h="15840"/>
      <w:pgMar w:top="1417" w:right="1417" w:bottom="141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pBdr>
        <w:top w:val="single" w:sz="4" w:space="4" w:color="BFBFBF"/>
      </w:pBdr>
    </w:pPr>
    <w:r>
      <w:rPr>
        <w:color w:val="6B6B6B"/>
        <w:sz w:val="18"/>
      </w:rPr>
      <w:t>Uso interno · Versión 0.1</w:t>
    </w:r>
    <w:r>
      <w:rPr>
        <w:color w:val="6B6B6B"/>
        <w:sz w:val="18"/>
      </w:rPr>
      <w:tab/>
      <w:t xml:space="preserve">Página </w:t>
    </w:r>
    <w:r>
      <w:rPr>
        <w:color w:val="6B6B6B"/>
        <w:sz w:val="18"/>
      </w:rPr>
      <w:fldChar w:fldCharType="begin"/>
    </w:r>
    <w:r>
      <w:rPr>
        <w:color w:val="6B6B6B"/>
        <w:sz w:val="18"/>
      </w:rPr>
      <w:instrText xml:space="preserve"> PAGE </w:instrText>
    </w:r>
    <w:r>
      <w:rPr>
        <w:color w:val="6B6B6B"/>
        <w:sz w:val="18"/>
      </w:rPr>
      <w:fldChar w:fldCharType="separate"/>
    </w:r>
    <w:r>
      <w:rPr>
        <w:color w:val="6B6B6B"/>
        <w:sz w:val="18"/>
      </w:rPr>
      <w:t>1</w:t>
    </w:r>
    <w:r>
      <w:rPr>
        <w:color w:val="6B6B6B"/>
        <w:sz w:val="18"/>
      </w:rPr>
      <w:fldChar w:fldCharType="end"/>
    </w:r>
    <w:r>
      <w:rPr>
        <w:color w:val="6B6B6B"/>
        <w:sz w:val="18"/>
      </w:rPr>
      <w:t xml:space="preserve"> de </w:t>
    </w:r>
    <w:r>
      <w:rPr>
        <w:color w:val="6B6B6B"/>
        <w:sz w:val="18"/>
      </w:rPr>
      <w:fldChar w:fldCharType="begin"/>
    </w:r>
    <w:r>
      <w:rPr>
        <w:color w:val="6B6B6B"/>
        <w:sz w:val="18"/>
      </w:rPr>
      <w:instrText xml:space="preserve"> NUMPAGES </w:instrText>
    </w:r>
    <w:r>
      <w:rPr>
        <w:color w:val="6B6B6B"/>
        <w:sz w:val="18"/>
      </w:rPr>
      <w:fldChar w:fldCharType="separate"/>
    </w:r>
    <w:r>
      <w:rPr>
        <w:color w:val="6B6B6B"/>
        <w:sz w:val="18"/>
      </w:rPr>
      <w:t>1</w:t>
    </w:r>
    <w:r>
      <w:rPr>
        <w:color w:val="6B6B6B"/>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05" w:val="right"/>
      </w:tabs>
      <w:pBdr>
        <w:bottom w:val="single" w:sz="4" w:space="4" w:color="BFBFBF"/>
      </w:pBdr>
    </w:pPr>
    <w:r>
      <w:rPr>
        <w:b/>
        <w:color w:val="1F3A5F"/>
        <w:sz w:val="18"/>
      </w:rPr>
      <w:t>Kronos AI</w:t>
    </w:r>
    <w:r>
      <w:rPr>
        <w:color w:val="6B6B6B"/>
        <w:sz w:val="18"/>
      </w:rPr>
      <w:tab/>
      <w:t>Documento 01 · Visión de la solución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Calibri" w:hAnsi="Calibri" w:eastAsia="Calibri"/>
      <w:sz w:val="22"/>
      <w:lang w:val="es-CL" w:eastAsia="es-CL"/>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40" w:lineRule="auto"/>
      <w:outlineLvl w:val="0"/>
      <w:pBdr>
        <w:bottom w:val="single" w:sz="6" w:space="4" w:color="1F3A5F"/>
      </w:pBdr>
    </w:pPr>
    <w:rPr>
      <w:rFonts w:ascii="Calibri" w:hAnsi="Calibri" w:eastAsia="Calibri" w:cs="Calibri"/>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Calibri" w:hAnsi="Calibri" w:eastAsia="Calibri" w:cs="Calibri"/>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Calibri" w:hAnsi="Calibri" w:eastAsia="Calibri" w:cs="Calibri"/>
      <w:b/>
      <w:bCs/>
      <w:i w:val="0"/>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b w:val="0"/>
      <w:bCs/>
      <w:i/>
      <w:color w:val="40404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basedOn w:val="Normal"/>
    <w:pPr>
      <w:keepLines/>
      <w:spacing w:line="240" w:lineRule="auto" w:after="160"/>
      <w:ind w:left="113" w:right="113"/>
      <w:shd w:val="clear" w:color="auto" w:fill="F2F2F2"/>
      <w:pBdr>
        <w:top w:val="single" w:sz="4" w:space="4" w:color="D9D9D9"/>
        <w:left w:val="single" w:sz="4" w:space="4" w:color="D9D9D9"/>
        <w:bottom w:val="single" w:sz="4" w:space="4" w:color="D9D9D9"/>
        <w:right w:val="single" w:sz="4" w:space="4" w:color="D9D9D9"/>
      </w:pBdr>
    </w:pPr>
    <w:rPr>
      <w:rFonts w:ascii="Consolas" w:hAnsi="Consolas" w:eastAsia="Consolas"/>
      <w:sz w:val="17"/>
    </w:rPr>
  </w:style>
  <w:style w:type="paragraph" w:customStyle="1" w:styleId="Nota">
    <w:name w:val="Nota"/>
    <w:basedOn w:val="Normal"/>
    <w:pPr>
      <w:spacing w:before="80" w:after="160"/>
      <w:ind w:left="170" w:right="113"/>
      <w:shd w:val="clear" w:color="auto" w:fill="EEF3F8"/>
      <w:pBdr>
        <w:left w:val="single" w:sz="24" w:space="6" w:color="1F3A5F"/>
      </w:pBdr>
    </w:pPr>
    <w:rPr>
      <w:sz w:val="20"/>
    </w:rPr>
  </w:style>
  <w:style w:type="paragraph" w:customStyle="1" w:styleId="Textodetabla">
    <w:name w:val="Texto de tabla"/>
    <w:basedOn w:val="Normal"/>
    <w:pPr>
      <w:spacing w:after="0" w:before="0" w:line="240" w:lineRule="auto"/>
    </w:pPr>
    <w:rPr>
      <w:sz w:val="19"/>
    </w:rPr>
  </w:style>
  <w:style w:type="paragraph" w:customStyle="1" w:styleId="Viñeta">
    <w:name w:val="Viñeta"/>
    <w:basedOn w:val="Normal"/>
    <w:pPr>
      <w:spacing w:after="60"/>
      <w:ind w:left="510" w:hanging="255"/>
    </w:pPr>
  </w:style>
  <w:style w:type="paragraph" w:customStyle="1" w:styleId="Viñeta2">
    <w:name w:val="Viñeta 2"/>
    <w:basedOn w:val="Viñeta"/>
    <w:pPr>
      <w:ind w:left="907" w:hanging="255"/>
    </w:pPr>
  </w:style>
  <w:style w:type="paragraph" w:customStyle="1" w:styleId="TOC1">
    <w:name w:val="TOC 1"/>
    <w:basedOn w:val="Normal"/>
    <w:pPr>
      <w:tabs>
        <w:tab w:pos="9405" w:val="right" w:leader="dot"/>
      </w:tabs>
      <w:spacing w:after="80" w:before="80"/>
      <w:ind w:left="0"/>
    </w:pPr>
    <w:rPr>
      <w:b/>
      <w:sz w:val="21"/>
    </w:rPr>
  </w:style>
  <w:style w:type="paragraph" w:customStyle="1" w:styleId="TOC2">
    <w:name w:val="TOC 2"/>
    <w:basedOn w:val="Normal"/>
    <w:pPr>
      <w:tabs>
        <w:tab w:pos="9405" w:val="right" w:leader="dot"/>
      </w:tabs>
      <w:spacing w:after="40" w:before="0"/>
      <w:ind w:left="340"/>
    </w:pPr>
    <w:rPr>
      <w:b w:val="0"/>
      <w:sz w:val="20"/>
    </w:rPr>
  </w:style>
  <w:style w:type="paragraph" w:customStyle="1" w:styleId="TOC3">
    <w:name w:val="TOC 3"/>
    <w:basedOn w:val="Normal"/>
    <w:pPr>
      <w:tabs>
        <w:tab w:pos="9405" w:val="right" w:leader="dot"/>
      </w:tabs>
      <w:spacing w:after="40" w:before="0"/>
      <w:ind w:left="680"/>
    </w:pPr>
    <w:rPr>
      <w:b w:val="0"/>
      <w:sz w:val="20"/>
    </w:rPr>
  </w:style>
  <w:style w:type="paragraph" w:customStyle="1" w:styleId="TableofFigures">
    <w:name w:val="Table of Figures"/>
    <w:basedOn w:val="Normal"/>
    <w:pPr>
      <w:tabs>
        <w:tab w:pos="9405" w:val="right" w:leader="dot"/>
      </w:tabs>
      <w:spacing w:after="40"/>
    </w:pPr>
    <w:rPr>
      <w:sz w:val="20"/>
    </w:rPr>
  </w:style>
  <w:style w:type="paragraph" w:customStyle="1" w:styleId="Listanumerada">
    <w:name w:val="Lista numerada"/>
    <w:basedOn w:val="Viñeta"/>
    <w:pPr>
      <w:ind w:left="510" w:hanging="3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Visión de la solución</dc:title>
  <dc:subject>Kronos AI</dc:subject>
  <dc:creator>Equipo Kronos AI</dc:creator>
  <cp:keywords>Kronos AI; Capstone; DUOC UC</cp:keywords>
  <dc:description>generated by python-docx</dc:description>
  <cp:lastModifiedBy/>
  <cp:revision>1</cp:revision>
  <dcterms:created xsi:type="dcterms:W3CDTF">2013-12-23T23:15:00Z</dcterms:created>
  <dcterms:modified xsi:type="dcterms:W3CDTF">2013-12-23T23:15:00Z</dcterms:modified>
  <cp:category/>
  <dc:language>es-CL</dc:language>
</cp:coreProperties>
</file>