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17</w:t>
      </w:r>
    </w:p>
    <w:p>
      <w:pPr>
        <w:spacing w:after="120"/>
      </w:pPr>
      <w:r>
        <w:rPr>
          <w:b/>
          <w:color w:val="1F3A5F"/>
          <w:sz w:val="52"/>
        </w:rPr>
        <w:t>Seguridad de la plataforma</w:t>
      </w:r>
    </w:p>
    <w:p>
      <w:r>
        <w:rPr>
          <w:i/>
          <w:color w:val="404040"/>
          <w:sz w:val="23"/>
        </w:rPr>
        <w:t>Activos, modelo de amenazas, controles, gestión de accesos, respuesta ante incidentes de la propia plataforma, cumplimiento normativo (borrador) y riesgos residuales.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17 · Seguridad de la plataforma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13.2.3 (apoyo)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docs/entregables/17_seguridad.docx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Activos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Modelo de amenazas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4. Controles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5" w:history="1">
        <w:r>
          <w:rPr/>
          <w:t xml:space="preserve">4.1 Controles de diseño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6" w:history="1">
        <w:r>
          <w:rPr/>
          <w:t xml:space="preserve">4.2 Controles de la base de datos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7" w:history="1">
        <w:r>
          <w:rPr/>
          <w:t xml:space="preserve">4.3 Controles de red y del servidor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8" w:history="1">
        <w:r>
          <w:rPr/>
          <w:t xml:space="preserve">4.4 Controles del proceso de desarrollo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09" w:history="1">
        <w:r>
          <w:rPr/>
          <w:t xml:space="preserve">5. Gestión de accesos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0" w:history="1">
        <w:r>
          <w:rPr/>
          <w:t xml:space="preserve">6. Monitoreo de la propia plataforma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1" w:history="1">
        <w:r>
          <w:rPr/>
          <w:t xml:space="preserve">7. Respuesta ante incidentes de la plataforma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2" w:history="1">
        <w:r>
          <w:rPr/>
          <w:t xml:space="preserve">8. Cumplimiento normativo (borrador)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3" w:history="1">
        <w:r>
          <w:rPr/>
          <w:t xml:space="preserve">9. Riesgos residuales</w:t>
        </w:r>
        <w:r>
          <w:rPr/>
          <w:tab/>
        </w:r>
        <w:r>
          <w:rPr/>
          <w:t xml:space="preserve">10</w:t>
        </w:r>
      </w:hyperlink>
    </w:p>
    <w:p>
      <w:pPr>
        <w:pStyle w:val="TOC1"/>
      </w:pPr>
      <w:hyperlink w:anchor="_Toc0014" w:history="1">
        <w:r>
          <w:rPr/>
          <w:t xml:space="preserve">10. Referencias</w:t>
        </w:r>
        <w:r>
          <w:rPr/>
          <w:tab/>
        </w:r>
        <w:r>
          <w:rPr/>
          <w:t xml:space="preserve">10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Activos de la plataforma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Amenazas y controles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Restricciones y controles de diseño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4" w:history="1">
        <w:r>
          <w:rPr/>
          <w:t xml:space="preserve">Tabla 4. Controles de SOAR-AUDIT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5" w:history="1">
        <w:r>
          <w:rPr/>
          <w:t xml:space="preserve">Tabla 5. Accesos y su estado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6" w:history="1">
        <w:r>
          <w:rPr/>
          <w:t xml:space="preserve">Tabla 6. Respuesta ante un incidente de la propia plataforma</w:t>
        </w:r>
        <w:r>
          <w:rPr/>
          <w:tab/>
        </w:r>
        <w:r>
          <w:rPr/>
          <w:t xml:space="preserve">9</w:t>
        </w:r>
      </w:hyperlink>
    </w:p>
    <w:p>
      <w:pPr>
        <w:pStyle w:val="TableofFigures"/>
      </w:pPr>
      <w:hyperlink w:anchor="_Tab007" w:history="1">
        <w:r>
          <w:rPr/>
          <w:t xml:space="preserve">Tabla 7. Matriz de cumplimiento (borrador)</w:t>
        </w:r>
        <w:r>
          <w:rPr/>
          <w:tab/>
        </w:r>
        <w:r>
          <w:rPr/>
          <w:t xml:space="preserve">9</w:t>
        </w:r>
      </w:hyperlink>
    </w:p>
    <w:p>
      <w:pPr>
        <w:pStyle w:val="TableofFigures"/>
      </w:pPr>
      <w:hyperlink w:anchor="_Tab008" w:history="1">
        <w:r>
          <w:rPr/>
          <w:t xml:space="preserve">Tabla 8. Riesgos residuales de seguridad</w:t>
        </w:r>
        <w:r>
          <w:rPr/>
          <w:tab/>
        </w:r>
        <w:r>
          <w:rPr/>
          <w:t xml:space="preserve">10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Kronos AI es una herramienta de seguridad que actúa sobre equipos reales. Si la propia plataforma se compromete, un atacante podría usarla para contener equipos legítimos o para ocultar su rastro. Este documento identifica qué hay que proteger, de qué amenazas y con qué controles.</w:t>
      </w:r>
    </w:p>
    <w:p>
      <w:r>
        <w:t>El ciclo de vida de cada credencial (generación, resguardo, entrega, rotación y revocación) está en el documento 20 (Procedimiento de gestión de secretos). Aquí sólo se resume. La retención de registros y el acuerdo con el proveedor están en el documento 18 (Cierre de brechas BR-01 y BR-05, pendiente).</w:t>
      </w:r>
    </w:p>
    <w:p>
      <w:r>
        <w:t>En línea con el libro, la seguridad se trata como un atributo de calidad que la arquitectura debe satisfacer con medidas concretas (Pantaleo y Rinaudo, 13.2.3). Este documento aplica esa idea a cada componente.</w:t>
      </w:r>
    </w:p>
    <w:p>
      <w:pPr>
        <w:pStyle w:val="Heading1"/>
      </w:pPr>
      <w:bookmarkStart w:id="1002" w:name="_Toc0002"/>
      <w:r>
        <w:t>2. Activos</w:t>
      </w:r>
      <w:bookmarkEnd w:id="1002"/>
    </w:p>
    <w:p>
      <w:r>
        <w:t xml:space="preserve">Los dueños y la criticidad de cada activo son </w:t>
      </w:r>
      <w:r>
        <w:rPr>
          <w:b/>
          <w:color w:val="8A2B0E"/>
        </w:rPr>
        <w:t>«Propuesta»</w:t>
      </w:r>
      <w:r>
        <w:t>.</w:t>
      </w:r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Activos de la plataforma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4558"/>
        <w:gridCol w:w="1157"/>
        <w:gridCol w:w="1374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455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Por qué importa</w:t>
            </w:r>
          </w:p>
        </w:tc>
        <w:tc>
          <w:tcPr>
            <w:tcW w:type="dxa" w:w="115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Dueño</w:t>
            </w:r>
          </w:p>
        </w:tc>
        <w:tc>
          <w:tcPr>
            <w:tcW w:type="dxa" w:w="13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Criticidad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Capacidad de contención (Active Response vía SOAR-EXECUTE)</w:t>
            </w:r>
          </w:p>
        </w:tc>
        <w:tc>
          <w:tcPr>
            <w:tcW w:type="dxa" w:w="45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Puede aislar equipos, deshabilitar cuentas y detener servicios del cliente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y Nicolás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Crítica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Bitácora SOAR-AUDIT</w:t>
            </w:r>
          </w:p>
        </w:tc>
        <w:tc>
          <w:tcPr>
            <w:tcW w:type="dxa" w:w="45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 qué decidió Kronos, cuándo y por qué; responde a la responsabilidad proactiva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Crítica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Telemetría y alertas de los clientes</w:t>
            </w:r>
          </w:p>
        </w:tc>
        <w:tc>
          <w:tcPr>
            <w:tcW w:type="dxa" w:w="45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Datos del comportamiento de equipos y cuentas de personas reales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Catálogo y prompts</w:t>
            </w:r>
          </w:p>
        </w:tc>
        <w:tc>
          <w:tcPr>
            <w:tcW w:type="dxa" w:w="45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Definen qué puede hacer Kronos y cómo clasifica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Secretos (base, Wazuh, Telegram, NetBird, TLS, tokens de enrolamiento)</w:t>
            </w:r>
          </w:p>
        </w:tc>
        <w:tc>
          <w:tcPr>
            <w:tcW w:type="dxa" w:w="45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Dan acceso a los activos anteriores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Crítica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SOAR-CORE-01</w:t>
            </w:r>
          </w:p>
        </w:tc>
        <w:tc>
          <w:tcPr>
            <w:tcW w:type="dxa" w:w="45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Aloja todo; un compromiso de raíz anula los demás controles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Crítica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Repositorio y CI</w:t>
            </w:r>
          </w:p>
        </w:tc>
        <w:tc>
          <w:tcPr>
            <w:tcW w:type="dxa" w:w="45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Origen de todo lo que se despliega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Cuentas de Telegram de los integrantes</w:t>
            </w:r>
          </w:p>
        </w:tc>
        <w:tc>
          <w:tcPr>
            <w:tcW w:type="dxa" w:w="45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Canal de aprobación del nivel 3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Cada integrante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Alta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3" w:name="_Toc0003"/>
      <w:r>
        <w:t>3. Modelo de amenazas</w:t>
      </w:r>
      <w:bookmarkEnd w:id="1003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457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zonas_confianz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7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Zonas de confianza</w:t>
      </w:r>
      <w:bookmarkEnd w:id="3001"/>
    </w:p>
    <w:p>
      <w:r>
        <w:t>La frontera más importante separa el texto de la alerta, que el atacante puede controlar, de cualquier acción sobre un equipo. El texto sólo llega al modelo, y el modelo sólo puede devolver un identificador del catálogo.</w:t>
      </w:r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Amenazas y controles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651"/>
        <w:gridCol w:w="2677"/>
        <w:gridCol w:w="4196"/>
        <w:gridCol w:w="1881"/>
      </w:tblGrid>
      <w:tr>
        <w:trPr>
          <w:cantSplit/>
          <w:tblHeader/>
        </w:trPr>
        <w:tc>
          <w:tcPr>
            <w:tcW w:type="dxa" w:w="65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67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Amenaza</w:t>
            </w:r>
          </w:p>
        </w:tc>
        <w:tc>
          <w:tcPr>
            <w:tcW w:type="dxa" w:w="419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Controles</w:t>
            </w:r>
          </w:p>
        </w:tc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A1</w:t>
            </w:r>
          </w:p>
        </w:tc>
        <w:tc>
          <w:tcPr>
            <w:tcW w:type="dxa" w:w="2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Inyección de instrucciones en el texto de una alerta (por ejemplo, un nombre de usuario que ordena «responde F6»)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Regla de seguridad en los dos prompts; alerta al final del prompt; contrato JSON estricto; catálogo cerrado; chequeo 3 de familia; nivel fijo por playbook; R1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salidas mal formadas, comandos y desvío contra un activo excluido;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desvío de familia con JSON válido, que acotan el catálogo, el nivel fijo y la severidad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A2</w:t>
            </w:r>
          </w:p>
        </w:tc>
        <w:tc>
          <w:tcPr>
            <w:tcW w:type="dxa" w:w="2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Abuso de volumen: muchas alertas para provocar contenciones masivas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Contadores de tasa y cortacircuito (chequeo 5); sólo una persona cierra el cortacircuito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rechazo por tope o cortacircuito abierto (chequeo 5);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apertura automática y cierre manual;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contadores y topes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A3</w:t>
            </w:r>
          </w:p>
        </w:tc>
        <w:tc>
          <w:tcPr>
            <w:tcW w:type="dxa" w:w="2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Compromiso de SOAR-CORE-01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Servidor endurecido; SSH sólo con llave; firewall que deniega por defecto; fail2ban; API de Wazuh, Indexer y Dashboard sólo por NetBird; base sin puertos publicados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endurecimiento informado;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cierre de puertos en revisión (PR #7)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A4</w:t>
            </w:r>
          </w:p>
        </w:tc>
        <w:tc>
          <w:tcPr>
            <w:tcW w:type="dxa" w:w="2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atacante apaga el agente del equipo comprometido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Latido y ticket por agente caído (RF-04)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A5</w:t>
            </w:r>
          </w:p>
        </w:tc>
        <w:tc>
          <w:tcPr>
            <w:tcW w:type="dxa" w:w="2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Robo de un token de enrolamiento para registrar un agente falso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Registro de agentes desde el servidor; 1515 sin publicar (D-17); tokens por inquilino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1515 cerrado según el PR #7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A6</w:t>
            </w:r>
          </w:p>
        </w:tc>
        <w:tc>
          <w:tcPr>
            <w:tcW w:type="dxa" w:w="2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Acceso no autorizado a SOAR-CONSOLE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Autenticación; vista filtrada por inquilino; TLS real. </w:t>
            </w:r>
            <w:r>
              <w:rPr>
                <w:b/>
                <w:color w:val="7A4A00"/>
                <w:sz w:val="19"/>
                <w:highlight w:val="yellow"/>
              </w:rPr>
              <w:t>[POR CONFIRMAR: método de autenticación de SOAR-CONSOLE y uso de segundo factor — preguntar a Rodrigo]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consola no existe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A7</w:t>
            </w:r>
          </w:p>
        </w:tc>
        <w:tc>
          <w:tcPr>
            <w:tcW w:type="dxa" w:w="2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Acceso no autorizado a la API de Wazuh, al Indexer o al Dashboard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Sólo por NetBird; usuario de API de permisos mínimos para EXECUTE; cambio de las tres contraseñas de Wazuh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cambio de contraseñas pendiente (Nicolás)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A8</w:t>
            </w:r>
          </w:p>
        </w:tc>
        <w:tc>
          <w:tcPr>
            <w:tcW w:type="dxa" w:w="2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Acceso no autorizado a NetBird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Cuentas nominales; roles mínimos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rol elevado de Rodrigo (R-06)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A9</w:t>
            </w:r>
          </w:p>
        </w:tc>
        <w:tc>
          <w:tcPr>
            <w:tcW w:type="dxa" w:w="2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Filtración de secretos por el repositorio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.gitignore</w:t>
            </w:r>
            <w:r>
              <w:rPr>
                <w:sz w:val="19"/>
              </w:rPr>
              <w:t>; gitleaks en pre-commit y en el CI sobre todo el historial; secretos generados en el servidor (D-22)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A10</w:t>
            </w:r>
          </w:p>
        </w:tc>
        <w:tc>
          <w:tcPr>
            <w:tcW w:type="dxa" w:w="2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Alteración o borrado de la bitácora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Sólo inserción para todos los roles, superusuario incluido; cadena de hash por inquilino;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fn_verificar_cadena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>; límite: borrado de las últimas filas sin ancla externa (R-14)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A11</w:t>
            </w:r>
          </w:p>
        </w:tc>
        <w:tc>
          <w:tcPr>
            <w:tcW w:type="dxa" w:w="2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Robo de la cuenta de Telegram de un aprobador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Sólo el equipo aprueba (D-31); quien aprueba queda registrado; el rechazo exige justificación; la aprobación expira (Propuesta D-34). </w:t>
            </w:r>
            <w:r>
              <w:rPr>
                <w:b/>
                <w:color w:val="7A4A00"/>
                <w:sz w:val="19"/>
                <w:highlight w:val="yellow"/>
              </w:rPr>
              <w:t>[POR CONFIRMAR: verificación en dos pasos en las cuentas de Telegram de los aprobadores — preguntar al equipo]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A12</w:t>
            </w:r>
          </w:p>
        </w:tc>
        <w:tc>
          <w:tcPr>
            <w:tcW w:type="dxa" w:w="2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Error del modelo que propone una medida desproporcionada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Umbral de confianza 0,70; mapa de severidad (chequeo 6); lista de exclusión (chequeo 4); nivel 3 siempre con aprobación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umbral, exclusión y severidad en el código;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aprobación del nivel 3;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valores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A13</w:t>
            </w:r>
          </w:p>
        </w:tc>
        <w:tc>
          <w:tcPr>
            <w:tcW w:type="dxa" w:w="2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Uso indebido de la consola web de Contabo (VNC)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Desactivar el VNC cuando no se use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(Nicolás)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4" w:name="_Toc0004"/>
      <w:r>
        <w:t>4. Controles</w:t>
      </w:r>
      <w:bookmarkEnd w:id="1004"/>
    </w:p>
    <w:p>
      <w:pPr>
        <w:pStyle w:val="Heading2"/>
      </w:pPr>
      <w:bookmarkStart w:id="1005" w:name="_Toc0005"/>
      <w:r>
        <w:t>4.1 Controles de diseño</w:t>
      </w:r>
      <w:bookmarkEnd w:id="1005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Restricciones y controles de diseño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881"/>
        <w:gridCol w:w="5209"/>
        <w:gridCol w:w="2315"/>
      </w:tblGrid>
      <w:tr>
        <w:trPr>
          <w:cantSplit/>
          <w:tblHeader/>
        </w:trPr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520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Referencia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R1</w:t>
            </w:r>
          </w:p>
        </w:tc>
        <w:tc>
          <w:tcPr>
            <w:tcW w:type="dxa" w:w="5209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no importa la capa de efectos; se verifica en cada PR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09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R2</w:t>
            </w:r>
          </w:p>
        </w:tc>
        <w:tc>
          <w:tcPr>
            <w:tcW w:type="dxa" w:w="52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catálogo no se amplía en caliente; el modelo no aprende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 09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R3</w:t>
            </w:r>
          </w:p>
        </w:tc>
        <w:tc>
          <w:tcPr>
            <w:tcW w:type="dxa" w:w="52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Registro en la bitácora antes de ejecutar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09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R4</w:t>
            </w:r>
          </w:p>
        </w:tc>
        <w:tc>
          <w:tcPr>
            <w:tcW w:type="dxa" w:w="52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7A4A00"/>
                <w:sz w:val="19"/>
                <w:highlight w:val="yellow"/>
              </w:rPr>
              <w:t>[POR CONFIRMAR: qué define la restricción R4 — preguntar al equipo]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Seis chequeos</w:t>
            </w:r>
          </w:p>
        </w:tc>
        <w:tc>
          <w:tcPr>
            <w:tcW w:type="dxa" w:w="52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Esquema, confianza ≥ 0,70, catálogo y familia, exclusión, tasa y cortacircuito, nivel por severidad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02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</w:t>
            </w:r>
          </w:p>
        </w:tc>
        <w:tc>
          <w:tcPr>
            <w:tcW w:type="dxa" w:w="52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Ante cualquier duda, no se actúa y el caso pasa a una persona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 02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Aprobación humana</w:t>
            </w:r>
          </w:p>
        </w:tc>
        <w:tc>
          <w:tcPr>
            <w:tcW w:type="dxa" w:w="520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nivel 3 nunca se ejecuta sin un integrante del equipo; plazo de 2 días (D-32)</w:t>
            </w:r>
          </w:p>
        </w:tc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02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del nivel 2</w:t>
            </w:r>
          </w:p>
        </w:tc>
        <w:tc>
          <w:tcPr>
            <w:tcW w:type="dxa" w:w="520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Plazo de 2 días; recordatorio diario; sin reversión automática (D-33)</w:t>
            </w:r>
          </w:p>
        </w:tc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 02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6" w:name="_Toc0006"/>
      <w:r>
        <w:t>4.2 Controles de la base de datos</w:t>
      </w:r>
      <w:bookmarkEnd w:id="1006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Controles de SOAR-AUDIT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460"/>
        <w:gridCol w:w="6946"/>
      </w:tblGrid>
      <w:tr>
        <w:trPr>
          <w:cantSplit/>
          <w:tblHeader/>
        </w:trPr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694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Sin red externa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Red Docker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interna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internal: true</w:t>
            </w:r>
            <w:r>
              <w:rPr>
                <w:sz w:val="19"/>
              </w:rPr>
              <w:t xml:space="preserve">: sin salida a internet ni acceso desde el host. Ningún puerto publicado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RLS forzada</w:t>
            </w:r>
          </w:p>
        </w:tc>
        <w:tc>
          <w:tcPr>
            <w:tcW w:type="dxa" w:w="69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Las cinco tablas tienen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tenant_id</w:t>
            </w:r>
            <w:r>
              <w:rPr>
                <w:sz w:val="19"/>
              </w:rPr>
              <w:t xml:space="preserve">, RLS habilitada y forzada. Sin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app.tenant_id</w:t>
            </w:r>
            <w:r>
              <w:rPr>
                <w:sz w:val="19"/>
              </w:rPr>
              <w:t xml:space="preserve"> fijado, la consulta falla (falla cerrada)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Roles mínimos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kronos_worker</w:t>
            </w:r>
            <w:r>
              <w:rPr>
                <w:sz w:val="19"/>
              </w:rPr>
              <w:t xml:space="preserve"> sólo inserta y lee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auditoria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cortacircuito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kronos_frontend</w:t>
            </w:r>
            <w:r>
              <w:rPr>
                <w:sz w:val="19"/>
              </w:rPr>
              <w:t xml:space="preserve"> sólo lee vistas filtradas del esquema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frontend</w:t>
            </w:r>
            <w:r>
              <w:rPr>
                <w:sz w:val="19"/>
              </w:rPr>
              <w:t xml:space="preserve">; ambos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NOSUPERUSER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NOBYPASSRLS</w:t>
            </w:r>
            <w:r>
              <w:rPr>
                <w:sz w:val="19"/>
              </w:rPr>
              <w:t xml:space="preserve">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Inmutabilidad</w:t>
            </w:r>
          </w:p>
        </w:tc>
        <w:tc>
          <w:tcPr>
            <w:tcW w:type="dxa" w:w="69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Triggers de sentencia rechazan UPDATE, DELETE y TRUNCATE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auditoria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cortacircuito</w:t>
            </w:r>
            <w:r>
              <w:rPr>
                <w:sz w:val="19"/>
              </w:rPr>
              <w:t xml:space="preserve"> para todos los roles, activos aun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session_replication_role = replica</w:t>
            </w:r>
            <w:r>
              <w:rPr>
                <w:sz w:val="19"/>
              </w:rPr>
              <w:t xml:space="preserve">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Cadena de hash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SHA-256 por fila, encadenado por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(tenant_id, seq)</w:t>
            </w:r>
            <w:r>
              <w:rPr>
                <w:sz w:val="19"/>
              </w:rPr>
              <w:t xml:space="preserve">; el trigger ignora lo que envíe el cliente;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UNIQUE (tenant_id, seq)</w:t>
            </w:r>
            <w:r>
              <w:rPr>
                <w:sz w:val="19"/>
              </w:rPr>
              <w:t xml:space="preserve"> impide bifurcar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Privilegios por defecto</w:t>
            </w:r>
          </w:p>
        </w:tc>
        <w:tc>
          <w:tcPr>
            <w:tcW w:type="dxa" w:w="69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Se revoca todo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PUBLIC</w:t>
            </w:r>
            <w:r>
              <w:rPr>
                <w:sz w:val="19"/>
              </w:rPr>
              <w:t xml:space="preserve"> en la base y en los esquemas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07" w:name="_Toc0007"/>
      <w:r>
        <w:t>4.3 Controles de red y del servidor</w:t>
      </w:r>
      <w:bookmarkEnd w:id="1007"/>
    </w:p>
    <w:p>
      <w:r>
        <w:t xml:space="preserve">Los puertos y su exposición están en el documento 09 (Documento de arquitectura). En resumen: 1514 y, cuando exista la consola, 443 son públicos. La API de Wazuh, el Indexer y el Dashboard quedan detrás de NetBird. SSH funciona sólo con llave. </w:t>
      </w:r>
      <w:r>
        <w:rPr>
          <w:b/>
          <w:color w:val="7A4A00"/>
          <w:highlight w:val="yellow"/>
        </w:rPr>
        <w:t>[POR CONFIRMAR: si SSH está restringido a NetBird o abierto a internet — preguntar a Nicolás]</w:t>
      </w:r>
    </w:p>
    <w:p>
      <w:pPr>
        <w:pStyle w:val="Heading2"/>
      </w:pPr>
      <w:bookmarkStart w:id="1008" w:name="_Toc0008"/>
      <w:r>
        <w:t>4.4 Controles del proceso de desarrollo</w:t>
      </w:r>
      <w:bookmarkEnd w:id="1008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gitleaks 8.30.1: el CI revisa todo el historial en cada PR y el hook de pre-commit revisa lo que se va a commitear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Revisión del PR por otro integrante antes del merge. En la práctica, los PR #1 a #6 se integraron sin revisión registrada en GitHub (ver documento 14, Proceso de integración continua).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Despliegue sólo de lo versionado, empaquetado con </w:t>
      </w:r>
      <w:r>
        <w:rPr>
          <w:rFonts w:ascii="Consolas" w:hAnsi="Consolas"/>
          <w:sz w:val="19"/>
          <w:shd w:val="clear" w:color="auto" w:fill="F2F2F2"/>
        </w:rPr>
        <w:t>git archive</w:t>
      </w:r>
      <w:r>
        <w:t xml:space="preserve">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 xml:space="preserve">Secretos generados en el servidor, nunca en el repositorio ni en el paquete (D-22)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Heading1"/>
      </w:pPr>
      <w:bookmarkStart w:id="1009" w:name="_Toc0009"/>
      <w:r>
        <w:t>5. Gestión de accesos</w:t>
      </w:r>
      <w:bookmarkEnd w:id="1009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Accesos y su estado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170"/>
        <w:gridCol w:w="4486"/>
        <w:gridCol w:w="2749"/>
      </w:tblGrid>
      <w:tr>
        <w:trPr>
          <w:cantSplit/>
          <w:tblHeader/>
        </w:trPr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Acceso</w:t>
            </w:r>
          </w:p>
        </w:tc>
        <w:tc>
          <w:tcPr>
            <w:tcW w:type="dxa" w:w="448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274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Panel de Contabo</w:t>
            </w:r>
          </w:p>
        </w:tc>
        <w:tc>
          <w:tcPr>
            <w:tcW w:type="dxa" w:w="44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Cuentas sin segundo factor por decisión del equipo (D-14)</w:t>
            </w:r>
          </w:p>
        </w:tc>
        <w:tc>
          <w:tcPr>
            <w:tcW w:type="dxa" w:w="274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Riesgo aceptado (R-07)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VNC de Contabo</w:t>
            </w:r>
          </w:p>
        </w:tc>
        <w:tc>
          <w:tcPr>
            <w:tcW w:type="dxa" w:w="44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Debe desactivarse cuando no se use. </w:t>
            </w:r>
            <w:r>
              <w:rPr>
                <w:b/>
                <w:color w:val="7A4A00"/>
                <w:sz w:val="19"/>
                <w:highlight w:val="yellow"/>
              </w:rPr>
              <w:t>[POR CONFIRMAR: estado actual del VNC de Contabo — preguntar a Nicolás]</w:t>
            </w:r>
          </w:p>
        </w:tc>
        <w:tc>
          <w:tcPr>
            <w:tcW w:type="dxa" w:w="274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SSH a SOAR-CORE-01</w:t>
            </w:r>
          </w:p>
        </w:tc>
        <w:tc>
          <w:tcPr>
            <w:tcW w:type="dxa" w:w="44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Usuario sin privilegios con sudo; sólo con llave; sin root directo</w:t>
            </w:r>
          </w:p>
        </w:tc>
        <w:tc>
          <w:tcPr>
            <w:tcW w:type="dxa" w:w="2749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NetBird</w:t>
            </w:r>
          </w:p>
        </w:tc>
        <w:tc>
          <w:tcPr>
            <w:tcW w:type="dxa" w:w="44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 tiene un rol elevado; revertirlo a usuario o acordar un respaldo con Nicolás</w:t>
            </w:r>
          </w:p>
        </w:tc>
        <w:tc>
          <w:tcPr>
            <w:tcW w:type="dxa" w:w="274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(R-06)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Wazuh (indexer, API y dashboard)</w:t>
            </w:r>
          </w:p>
        </w:tc>
        <w:tc>
          <w:tcPr>
            <w:tcW w:type="dxa" w:w="44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Tres contraseñas por cambiar desde los valores iniciales</w:t>
            </w:r>
          </w:p>
        </w:tc>
        <w:tc>
          <w:tcPr>
            <w:tcW w:type="dxa" w:w="2749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(Nicolás)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44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kronos_admin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kronos_worker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kronos_frontend</w:t>
            </w:r>
            <w:r>
              <w:rPr>
                <w:sz w:val="19"/>
              </w:rPr>
              <w:t xml:space="preserve"> con contraseñas generadas en el servidor</w:t>
            </w:r>
          </w:p>
        </w:tc>
        <w:tc>
          <w:tcPr>
            <w:tcW w:type="dxa" w:w="274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generadas;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resguardo en el gestor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Gestor de contraseñas</w:t>
            </w:r>
          </w:p>
        </w:tc>
        <w:tc>
          <w:tcPr>
            <w:tcW w:type="dxa" w:w="448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equipo respondió «MFA». </w:t>
            </w:r>
            <w:r>
              <w:rPr>
                <w:b/>
                <w:color w:val="7A4A00"/>
                <w:sz w:val="19"/>
                <w:highlight w:val="yellow"/>
              </w:rPr>
              <w:t>[POR CONFIRMAR: qué gestor de contraseñas guarda los secretos del proyecto (D-29) — preguntar al equipo]</w:t>
            </w:r>
          </w:p>
        </w:tc>
        <w:tc>
          <w:tcPr>
            <w:tcW w:type="dxa" w:w="2749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(D-29)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GitHub</w:t>
            </w:r>
          </w:p>
        </w:tc>
        <w:tc>
          <w:tcPr>
            <w:tcW w:type="dxa" w:w="448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Repositorio privado.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soarai2026</w:t>
            </w:r>
            <w:r>
              <w:rPr>
                <w:sz w:val="19"/>
              </w:rPr>
              <w:t xml:space="preserve"> es una cuenta de usuario compartida: creó los PR #1 a #6 y fusionó los #1 a #3, así que esas acciones no se pueden atribuir a un integrante</w:t>
            </w:r>
          </w:p>
        </w:tc>
        <w:tc>
          <w:tcPr>
            <w:tcW w:type="dxa" w:w="274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 en la API de GitHub; </w:t>
            </w: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>: registrarlo como riesgo y usar cuentas nominales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0" w:name="_Toc0010"/>
      <w:r>
        <w:t>6. Monitoreo de la propia plataforma</w:t>
      </w:r>
      <w:bookmarkEnd w:id="1010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Latido de agentes:</w:t>
      </w:r>
      <w:r>
        <w:t xml:space="preserve"> un agente que deja de reportar abre un ticket </w:t>
      </w:r>
      <w:r>
        <w:rPr>
          <w:rFonts w:ascii="Segoe UI Emoji" w:hAnsi="Segoe UI Emoji"/>
        </w:rPr>
        <w:t>⏳</w:t>
      </w:r>
      <w:r>
        <w:t xml:space="preserve"> (RF-04).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Verificación de la cadena:</w:t>
      </w:r>
      <w:r>
        <w:t xml:space="preserve"> </w:t>
      </w:r>
      <w:r>
        <w:rPr>
          <w:rFonts w:ascii="Consolas" w:hAnsi="Consolas"/>
          <w:sz w:val="19"/>
          <w:shd w:val="clear" w:color="auto" w:fill="F2F2F2"/>
        </w:rPr>
        <w:t>fn_verificar_cadena</w:t>
      </w:r>
      <w:r>
        <w:t xml:space="preserve"> se ejecuta a pedido desde la consola </w:t>
      </w:r>
      <w:r>
        <w:rPr>
          <w:rFonts w:ascii="Segoe UI Emoji" w:hAnsi="Segoe UI Emoji"/>
        </w:rPr>
        <w:t>⏳</w:t>
      </w:r>
      <w:r>
        <w:t xml:space="preserve"> y en cada restauración del respaldo (documento 19).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Cortacircuito:</w:t>
      </w:r>
      <w:r>
        <w:t xml:space="preserve"> cada transición queda como una fila inmutable.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Motor de inferencia:</w:t>
      </w:r>
      <w:r>
        <w:t xml:space="preserve"> su caída se registra como </w:t>
      </w:r>
      <w:r>
        <w:rPr>
          <w:rFonts w:ascii="Consolas" w:hAnsi="Consolas"/>
          <w:sz w:val="19"/>
          <w:shd w:val="clear" w:color="auto" w:fill="F2F2F2"/>
        </w:rPr>
        <w:t>MOTOR_INFERENCIA_NO_DISPONIBLE</w:t>
      </w:r>
      <w:r>
        <w:t xml:space="preserve"> en cada ticket afectado.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  <w:color w:val="8A2B0E"/>
        </w:rPr>
        <w:t>«Propuesta»</w:t>
      </w:r>
      <w:r>
        <w:t xml:space="preserve">: revisar una vez por semana los tickets en </w:t>
      </w:r>
      <w:r>
        <w:rPr>
          <w:rFonts w:ascii="Consolas" w:hAnsi="Consolas"/>
          <w:sz w:val="19"/>
          <w:shd w:val="clear" w:color="auto" w:fill="F2F2F2"/>
        </w:rPr>
        <w:t>MANUAL_TRIAGE</w:t>
      </w:r>
      <w:r>
        <w:t xml:space="preserve"> y las activaciones del cortacircuito, como parte del seguimiento del documento 08 (Seguimiento y control).</w:t>
      </w:r>
    </w:p>
    <w:p>
      <w:pPr>
        <w:pStyle w:val="Heading1"/>
      </w:pPr>
      <w:bookmarkStart w:id="1011" w:name="_Toc0011"/>
      <w:r>
        <w:t>7. Respuesta ante incidentes de la plataforma</w:t>
      </w:r>
      <w:bookmarkEnd w:id="1011"/>
    </w:p>
    <w:p>
      <w:r>
        <w:rPr>
          <w:b/>
          <w:color w:val="8A2B0E"/>
        </w:rPr>
        <w:t>«Propuesta»</w:t>
      </w:r>
      <w:r>
        <w:t xml:space="preserve"> de procedimiento. El equipo debe aprobarlo.</w:t>
      </w:r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Respuesta ante un incidente de la propia plataforma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736"/>
        <w:gridCol w:w="7669"/>
      </w:tblGrid>
      <w:tr>
        <w:trPr>
          <w:cantSplit/>
          <w:tblHeader/>
        </w:trPr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766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Acción</w:t>
            </w:r>
          </w:p>
        </w:tc>
      </w:tr>
      <w:tr>
        <w:trPr>
          <w:cantSplit/>
        </w:trPr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1. Contener</w:t>
            </w:r>
          </w:p>
        </w:tc>
        <w:tc>
          <w:tcPr>
            <w:tcW w:type="dxa" w:w="76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Abrir el cortacircuito de todos los ámbitos para detener cualquier acción automática</w:t>
            </w:r>
          </w:p>
        </w:tc>
      </w:tr>
      <w:tr>
        <w:trPr>
          <w:cantSplit/>
        </w:trPr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2. Avisar</w:t>
            </w:r>
          </w:p>
        </w:tc>
        <w:tc>
          <w:tcPr>
            <w:tcW w:type="dxa" w:w="76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Avisar a los tres integrantes por un canal distinto del posiblemente comprometido. Si hay clientes afectados, avisar a su encargado</w:t>
            </w:r>
          </w:p>
        </w:tc>
      </w:tr>
      <w:tr>
        <w:trPr>
          <w:cantSplit/>
        </w:trPr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3. Preservar</w:t>
            </w:r>
          </w:p>
        </w:tc>
        <w:tc>
          <w:tcPr>
            <w:tcW w:type="dxa" w:w="76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reiniciar ni borrar. Copiar la bitácora y los registros de Wazuh y verificar la cadena</w:t>
            </w:r>
          </w:p>
        </w:tc>
      </w:tr>
      <w:tr>
        <w:trPr>
          <w:cantSplit/>
        </w:trPr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4. Revocar</w:t>
            </w:r>
          </w:p>
        </w:tc>
        <w:tc>
          <w:tcPr>
            <w:tcW w:type="dxa" w:w="76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Rotar los secretos expuestos según el documento 20 (Procedimiento de gestión de secretos). Un secreto que entró al historial de git se rota aunque se borre</w:t>
            </w:r>
          </w:p>
        </w:tc>
      </w:tr>
      <w:tr>
        <w:trPr>
          <w:cantSplit/>
        </w:trPr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5. Recuperar</w:t>
            </w:r>
          </w:p>
        </w:tc>
        <w:tc>
          <w:tcPr>
            <w:tcW w:type="dxa" w:w="766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Restaurar desde el último respaldo verificado (documento 19) y comprobar la cadena</w:t>
            </w:r>
          </w:p>
        </w:tc>
      </w:tr>
      <w:tr>
        <w:trPr>
          <w:cantSplit/>
        </w:trPr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6. Revisar</w:t>
            </w:r>
          </w:p>
        </w:tc>
        <w:tc>
          <w:tcPr>
            <w:tcW w:type="dxa" w:w="766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Dejar un registro de trabajo con causa, línea de tiempo y lecciones; actualizar este documento</w:t>
            </w:r>
          </w:p>
        </w:tc>
      </w:tr>
    </w:tbl>
    <w:p>
      <w:pPr>
        <w:spacing w:after="40" w:line="192" w:lineRule="auto"/>
      </w:pPr>
    </w:p>
    <w:p>
      <w:r>
        <w:rPr>
          <w:b/>
          <w:color w:val="7A4A00"/>
          <w:highlight w:val="yellow"/>
        </w:rPr>
        <w:t>[POR CONFIRMAR: si un incidente de la plataforma con datos de la farmacia exige avisar a algún organismo y en qué plazo — preguntar al profesor guía]</w:t>
      </w:r>
    </w:p>
    <w:p>
      <w:pPr>
        <w:pStyle w:val="Heading1"/>
      </w:pPr>
      <w:bookmarkStart w:id="1012" w:name="_Toc0012"/>
      <w:r>
        <w:t>8. Cumplimiento normativo (borrador)</w:t>
      </w:r>
      <w:bookmarkEnd w:id="1012"/>
    </w:p>
    <w:p>
      <w:pPr>
        <w:pStyle w:val="Nota"/>
      </w:pPr>
      <w:r>
        <w:rPr>
          <w:b/>
          <w:sz w:val="20"/>
        </w:rPr>
        <w:t>Borrador técnico.</w:t>
      </w:r>
      <w:r>
        <w:rPr>
          <w:sz w:val="20"/>
        </w:rPr>
        <w:t xml:space="preserve"> Esta sección no es una opinión legal. Requiere revisión del profesor guía o de una asesoría legal antes de usarse frente a un cliente.</w:t>
      </w:r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Matriz de cumplimiento (borrador)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87"/>
        <w:gridCol w:w="4124"/>
        <w:gridCol w:w="2894"/>
      </w:tblGrid>
      <w:tr>
        <w:trPr>
          <w:cantSplit/>
          <w:tblHeader/>
        </w:trPr>
        <w:tc>
          <w:tcPr>
            <w:tcW w:type="dxa" w:w="238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Exigencia</w:t>
            </w:r>
          </w:p>
        </w:tc>
        <w:tc>
          <w:tcPr>
            <w:tcW w:type="dxa" w:w="412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 la atiende Kronos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3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Ley 19.628 modificada por la Ley 21.719 (vigencia de las modificaciones: 1 de diciembre de 2026 </w:t>
            </w: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>). Proporcionalidad</w:t>
            </w:r>
          </w:p>
        </w:tc>
        <w:tc>
          <w:tcPr>
            <w:tcW w:type="dxa" w:w="412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Niveles de autonomía fijos por playbook; el nivel 3 siempre con aprobación humana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por diseño</w:t>
            </w:r>
          </w:p>
        </w:tc>
      </w:tr>
      <w:tr>
        <w:trPr>
          <w:cantSplit/>
        </w:trPr>
        <w:tc>
          <w:tcPr>
            <w:tcW w:type="dxa" w:w="23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Ley 21.719. Responsabilidad proactiva</w:t>
            </w:r>
          </w:p>
        </w:tc>
        <w:tc>
          <w:tcPr>
            <w:tcW w:type="dxa" w:w="412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Registro de la decisión antes de actuar; bitácora inmutable y verificable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esquema;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servicio</w:t>
            </w:r>
          </w:p>
        </w:tc>
      </w:tr>
      <w:tr>
        <w:trPr>
          <w:cantSplit/>
        </w:trPr>
        <w:tc>
          <w:tcPr>
            <w:tcW w:type="dxa" w:w="23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Ley 21.719. Minimización</w:t>
            </w:r>
          </w:p>
        </w:tc>
        <w:tc>
          <w:tcPr>
            <w:tcW w:type="dxa" w:w="412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se leen recetas, fichas, datos médicos ni contenidos de documentos, correos o bases de datos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por diseño</w:t>
            </w:r>
          </w:p>
        </w:tc>
      </w:tr>
      <w:tr>
        <w:trPr>
          <w:cantSplit/>
        </w:trPr>
        <w:tc>
          <w:tcPr>
            <w:tcW w:type="dxa" w:w="23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Ley 21.719. Información a la persona afectada</w:t>
            </w:r>
          </w:p>
        </w:tc>
        <w:tc>
          <w:tcPr>
            <w:tcW w:type="dxa" w:w="412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Aviso por correo electrónico, enviado a mano por un integrante del equipo, para cada medida de nivel 2 (D-35)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; </w:t>
            </w:r>
            <w:r>
              <w:rPr>
                <w:b/>
                <w:color w:val="004D40"/>
                <w:sz w:val="19"/>
                <w:highlight w:val="cyan"/>
              </w:rPr>
              <w:t>[PENDIENTE: posterior a la instalación en la farmacia — correos de contacto para el aviso a las personas afectadas]</w:t>
            </w:r>
          </w:p>
        </w:tc>
      </w:tr>
      <w:tr>
        <w:trPr>
          <w:cantSplit/>
        </w:trPr>
        <w:tc>
          <w:tcPr>
            <w:tcW w:type="dxa" w:w="23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Ley 21.719. Transferencia internacional</w:t>
            </w:r>
          </w:p>
        </w:tc>
        <w:tc>
          <w:tcPr>
            <w:tcW w:type="dxa" w:w="412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servidor está en Francia. Acuerdo de tratamiento con el proveedor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BR-05, documento 18 (pendiente)</w:t>
            </w:r>
          </w:p>
        </w:tc>
      </w:tr>
      <w:tr>
        <w:trPr>
          <w:cantSplit/>
        </w:trPr>
        <w:tc>
          <w:tcPr>
            <w:tcW w:type="dxa" w:w="23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Ley 21.663, artículo 8, letra b)</w:t>
            </w:r>
          </w:p>
        </w:tc>
        <w:tc>
          <w:tcPr>
            <w:tcW w:type="dxa" w:w="412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Obliga a los operadores de importancia vital a registrar las acciones de su sistema de gestión de seguridad. No fija un plazo de conservación. No se afirma que la farmacia esté obligada por esta ley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Referencia</w:t>
            </w:r>
          </w:p>
        </w:tc>
      </w:tr>
      <w:tr>
        <w:trPr>
          <w:cantSplit/>
        </w:trPr>
        <w:tc>
          <w:tcPr>
            <w:tcW w:type="dxa" w:w="23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Retención de 2 años</w:t>
            </w:r>
          </w:p>
        </w:tc>
        <w:tc>
          <w:tcPr>
            <w:tcW w:type="dxa" w:w="412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Decisión interna (D-27), fundada en la Ley 21.663 y proporcional según la Ley 21.719. Ninguna de las dos leyes fija ese plazo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política en el documento 18 (pendiente)</w:t>
            </w:r>
          </w:p>
        </w:tc>
      </w:tr>
      <w:tr>
        <w:trPr>
          <w:cantSplit/>
        </w:trPr>
        <w:tc>
          <w:tcPr>
            <w:tcW w:type="dxa" w:w="23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Requisitos previos a instalar</w:t>
            </w:r>
          </w:p>
        </w:tc>
        <w:tc>
          <w:tcPr>
            <w:tcW w:type="dxa" w:w="412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Autorización escrita, aviso a los trabajadores y aceptación de la contención: cubiertos por los tres documentos firmados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3" w:name="_Toc0013"/>
      <w:r>
        <w:t>9. Riesgos residuales</w:t>
      </w:r>
      <w:bookmarkEnd w:id="1013"/>
    </w:p>
    <w:p>
      <w:pPr>
        <w:pStyle w:val="Caption"/>
        <w:keepNext/>
        <w:spacing w:before="120" w:after="80"/>
      </w:pPr>
      <w:bookmarkStart w:id="5008" w:name="_Tab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8</w:t>
      </w:r>
      <w:r>
        <w:fldChar w:fldCharType="end"/>
      </w:r>
      <w:r>
        <w:t xml:space="preserve">. </w:t>
      </w:r>
      <w:r>
        <w:t>Riesgos residuales de seguridad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940"/>
        <w:gridCol w:w="6295"/>
        <w:gridCol w:w="2170"/>
      </w:tblGrid>
      <w:tr>
        <w:trPr>
          <w:cantSplit/>
          <w:tblHeader/>
        </w:trPr>
        <w:tc>
          <w:tcPr>
            <w:tcW w:type="dxa" w:w="9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62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R-01</w:t>
            </w:r>
          </w:p>
        </w:tc>
        <w:tc>
          <w:tcPr>
            <w:tcW w:type="dxa" w:w="62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No existe respaldo de SOAR-AUDIT ni de la configuración de Wazuh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19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R-05</w:t>
            </w:r>
          </w:p>
        </w:tc>
        <w:tc>
          <w:tcPr>
            <w:tcW w:type="dxa" w:w="62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Los secretos del servidor no se pueden recuperar si no se guardan en el gestor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 20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R-06</w:t>
            </w:r>
          </w:p>
        </w:tc>
        <w:tc>
          <w:tcPr>
            <w:tcW w:type="dxa" w:w="62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Rol elevado de Rodrigo en NetBird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Revertir o acordar respaldo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R-07</w:t>
            </w:r>
          </w:p>
        </w:tc>
        <w:tc>
          <w:tcPr>
            <w:tcW w:type="dxa" w:w="62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Cuentas de Contabo sin 2FA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Aceptado (D-14)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R-10</w:t>
            </w:r>
          </w:p>
        </w:tc>
        <w:tc>
          <w:tcPr>
            <w:tcW w:type="dxa" w:w="62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copia de respaldo, con datos de clientes reales, queda en un PC personal (D-26)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Condiciones en el documento 19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R-12</w:t>
            </w:r>
          </w:p>
        </w:tc>
        <w:tc>
          <w:tcPr>
            <w:tcW w:type="dxa" w:w="62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inspección de tráfico no se detecta fuga de datos en el contenido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Aceptado; DNS y conexiones de Sysmon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R-13</w:t>
            </w:r>
          </w:p>
        </w:tc>
        <w:tc>
          <w:tcPr>
            <w:tcW w:type="dxa" w:w="62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consola necesita escribir y su rol es de sólo lectura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10 (pendiente)</w:t>
            </w:r>
          </w:p>
        </w:tc>
      </w:tr>
      <w:tr>
        <w:trPr>
          <w:cantSplit/>
        </w:trPr>
        <w:tc>
          <w:tcPr>
            <w:tcW w:type="dxa" w:w="9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R-14</w:t>
            </w:r>
          </w:p>
        </w:tc>
        <w:tc>
          <w:tcPr>
            <w:tcW w:type="dxa" w:w="62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ancla externa no se detecta el borrado de las últimas filas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 10 (pendiente)</w:t>
            </w:r>
          </w:p>
        </w:tc>
      </w:tr>
      <w:tr>
        <w:trPr>
          <w:cantSplit/>
        </w:trPr>
        <w:tc>
          <w:tcPr>
            <w:tcW w:type="dxa" w:w="9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R-16</w:t>
            </w:r>
          </w:p>
        </w:tc>
        <w:tc>
          <w:tcPr>
            <w:tcW w:type="dxa" w:w="62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contención sólo opera donde hay agente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Límite declarado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4" w:name="_Toc0014"/>
      <w:r>
        <w:t>10. Referencias</w:t>
      </w:r>
      <w:bookmarkEnd w:id="1014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Ley N.° 19.628, sobre protección de la vida privada. (1999).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Ley N.° 21.719, que regula la protección y el tratamiento de los datos personales y crea la Agencia de Protección de Datos Personales.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Ley N.° 21.663, Ley Marco de Ciberseguridad.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17 · Seguridad de la plataforma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 · Seguridad de la plataforma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