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RELATÓRIO DE IMPACTO </w:t>
      </w: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À PROTEÇÃO DE DADOS PESSOAIS</w:t>
      </w:r>
    </w:p>
    <w:p>
      <w:pPr>
        <w:suppressAutoHyphens w:val="true"/>
        <w:spacing w:before="240" w:after="12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240" w:after="12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São Paulo, 29 de março de 2024</w:t>
      </w:r>
    </w:p>
    <w:p>
      <w:pPr>
        <w:pageBreakBefore w:val="true"/>
        <w:tabs>
          <w:tab w:val="left" w:pos="800" w:leader="none"/>
          <w:tab w:val="right" w:pos="9629" w:leader="dot"/>
        </w:tabs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Histórico de Revisões</w:t>
      </w:r>
    </w:p>
    <w:p>
      <w:pPr>
        <w:tabs>
          <w:tab w:val="left" w:pos="800" w:leader="none"/>
          <w:tab w:val="right" w:pos="9629" w:leader="dot"/>
        </w:tabs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13"/>
        <w:gridCol w:w="887"/>
        <w:gridCol w:w="4587"/>
        <w:gridCol w:w="1901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0"/>
            </w:tcBorders>
            <w:shd w:color="auto" w:fill="deeaf6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88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0"/>
            </w:tcBorders>
            <w:shd w:color="auto" w:fill="deeaf6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458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0"/>
            </w:tcBorders>
            <w:shd w:color="auto" w:fill="deeaf6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90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eeaf6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10/03/2024</w:t>
            </w:r>
          </w:p>
        </w:tc>
        <w:tc>
          <w:tcPr>
            <w:tcW w:w="8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45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Conclusão da primeira versão do relatório</w:t>
            </w:r>
          </w:p>
        </w:tc>
        <w:tc>
          <w:tcPr>
            <w:tcW w:w="1901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rm348575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1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1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87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1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1677691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 DE IMPACTO À PROTEÇÃO DE DADOS PESSOAIS - RIPD</w:t>
      </w:r>
    </w:p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</w:tr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O Relatório de Impacto à Proteção de Dados Pessoais visa descrever os processos de tratamento de dados pessoais que podem gerar riscos às liberdades civis e aos direitos fundamentais, bem como medidas, salvaguardas e mecanismos de mitigação de risco.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Referência: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Art. 5º, XVII da Lei 13.709/2018 (LGPD).</w:t>
            </w:r>
          </w:p>
        </w:tc>
      </w:tr>
    </w:tbl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234"/>
        <w:gridCol w:w="2554"/>
        <w:gridCol w:w="7"/>
        <w:gridCol w:w="4398"/>
      </w:tblGrid>
      <w:tr>
        <w:trPr>
          <w:trHeight w:val="1" w:hRule="atLeast"/>
          <w:jc w:val="left"/>
        </w:trPr>
        <w:tc>
          <w:tcPr>
            <w:tcW w:w="878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IDENTIFICA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DOS AGENTES DE TRATAMENTO E DO ENCARREGADO</w:t>
            </w:r>
          </w:p>
        </w:tc>
      </w:tr>
      <w:tr>
        <w:trPr>
          <w:trHeight w:val="1" w:hRule="atLeast"/>
          <w:jc w:val="left"/>
        </w:trPr>
        <w:tc>
          <w:tcPr>
            <w:tcW w:w="8795" w:type="dxa"/>
            <w:gridSpan w:val="3"/>
            <w:tcBorders>
              <w:top w:val="single" w:color="cccccc" w:sz="2"/>
              <w:left w:val="single" w:color="cccccc" w:sz="2"/>
              <w:bottom w:val="single" w:color="000000" w:sz="0"/>
              <w:right w:val="single" w:color="cccccc" w:sz="2"/>
            </w:tcBorders>
            <w:shd w:color="auto" w:fill="eeeeee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Controlador</w:t>
            </w:r>
          </w:p>
        </w:tc>
      </w:tr>
      <w:tr>
        <w:trPr>
          <w:trHeight w:val="240" w:hRule="auto"/>
          <w:jc w:val="left"/>
        </w:trPr>
        <w:tc>
          <w:tcPr>
            <w:tcW w:w="8795" w:type="dxa"/>
            <w:gridSpan w:val="3"/>
            <w:tcBorders>
              <w:top w:val="single" w:color="000000" w:sz="0"/>
              <w:left w:val="single" w:color="cccccc" w:sz="2"/>
              <w:bottom w:val="single" w:color="000000" w:sz="0"/>
              <w:right w:val="single" w:color="cccccc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Lanchonete de Bairro (LGPD, art. 5º, VI)</w:t>
            </w:r>
          </w:p>
        </w:tc>
      </w:tr>
      <w:tr>
        <w:trPr>
          <w:trHeight w:val="1" w:hRule="atLeast"/>
          <w:jc w:val="left"/>
        </w:trPr>
        <w:tc>
          <w:tcPr>
            <w:tcW w:w="8795" w:type="dxa"/>
            <w:gridSpan w:val="3"/>
            <w:tcBorders>
              <w:top w:val="single" w:color="000000" w:sz="0"/>
              <w:left w:val="single" w:color="cccccc" w:sz="2"/>
              <w:bottom w:val="single" w:color="000000" w:sz="0"/>
              <w:right w:val="single" w:color="cccccc" w:sz="2"/>
            </w:tcBorders>
            <w:shd w:color="auto" w:fill="eeeeee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8795" w:type="dxa"/>
            <w:gridSpan w:val="3"/>
            <w:tcBorders>
              <w:top w:val="single" w:color="000000" w:sz="0"/>
              <w:left w:val="single" w:color="cccccc" w:sz="2"/>
              <w:bottom w:val="single" w:color="000000" w:sz="0"/>
              <w:right w:val="single" w:color="cccccc" w:sz="2"/>
            </w:tcBorders>
            <w:shd w:color="auto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Lanchonete de Bairro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(LGPD, art. 5º, VII)</w:t>
            </w:r>
          </w:p>
        </w:tc>
      </w:tr>
      <w:tr>
        <w:trPr>
          <w:trHeight w:val="1" w:hRule="atLeast"/>
          <w:jc w:val="left"/>
        </w:trPr>
        <w:tc>
          <w:tcPr>
            <w:tcW w:w="8795" w:type="dxa"/>
            <w:gridSpan w:val="3"/>
            <w:tcBorders>
              <w:top w:val="single" w:color="cccccc" w:sz="2"/>
              <w:left w:val="single" w:color="cccccc" w:sz="2"/>
              <w:bottom w:val="single" w:color="000000" w:sz="0"/>
              <w:right w:val="single" w:color="cccccc" w:sz="2"/>
            </w:tcBorders>
            <w:shd w:color="auto" w:fill="eeeeee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Encarregado</w:t>
            </w:r>
          </w:p>
        </w:tc>
        <w:tc>
          <w:tcPr>
            <w:tcW w:w="43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95" w:type="dxa"/>
            <w:gridSpan w:val="3"/>
            <w:tcBorders>
              <w:top w:val="single" w:color="000000" w:sz="0"/>
              <w:left w:val="single" w:color="cccccc" w:sz="2"/>
              <w:bottom w:val="single" w:color="000000" w:sz="0"/>
              <w:right w:val="single" w:color="cccccc" w:sz="2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DPO - Xarles Xavier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(LGPD, art. 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º, VIII)</w:t>
            </w:r>
          </w:p>
        </w:tc>
        <w:tc>
          <w:tcPr>
            <w:tcW w:w="43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4" w:type="dxa"/>
            <w:tcBorders>
              <w:top w:val="single" w:color="cccccc" w:sz="2"/>
              <w:left w:val="single" w:color="cccccc" w:sz="2"/>
              <w:bottom w:val="single" w:color="000000" w:sz="0"/>
              <w:right w:val="single" w:color="cccccc" w:sz="2"/>
            </w:tcBorders>
            <w:shd w:color="auto" w:fill="eeeeee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E-mail Encarregado</w:t>
            </w:r>
          </w:p>
        </w:tc>
        <w:tc>
          <w:tcPr>
            <w:tcW w:w="2561" w:type="dxa"/>
            <w:gridSpan w:val="2"/>
            <w:tcBorders>
              <w:top w:val="single" w:color="cccccc" w:sz="2"/>
              <w:left w:val="single" w:color="cccccc" w:sz="2"/>
              <w:bottom w:val="single" w:color="000000" w:sz="0"/>
              <w:right w:val="single" w:color="cccccc" w:sz="2"/>
            </w:tcBorders>
            <w:shd w:color="auto" w:fill="eeeeee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Telefone Encarregado</w:t>
            </w:r>
          </w:p>
        </w:tc>
        <w:tc>
          <w:tcPr>
            <w:tcW w:w="43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4" w:type="dxa"/>
            <w:tcBorders>
              <w:top w:val="single" w:color="000000" w:sz="0"/>
              <w:left w:val="single" w:color="cccccc" w:sz="2"/>
              <w:bottom w:val="single" w:color="cccccc" w:sz="2"/>
              <w:right w:val="single" w:color="cccccc" w:sz="2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xarles.xavier@lanchonetedebairro.com.br</w:t>
            </w:r>
          </w:p>
        </w:tc>
        <w:tc>
          <w:tcPr>
            <w:tcW w:w="2561" w:type="dxa"/>
            <w:gridSpan w:val="2"/>
            <w:tcBorders>
              <w:top w:val="single" w:color="000000" w:sz="0"/>
              <w:left w:val="single" w:color="cccccc" w:sz="2"/>
              <w:bottom w:val="single" w:color="cccccc" w:sz="2"/>
              <w:right w:val="single" w:color="cccccc" w:sz="2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  <w:t xml:space="preserve">&lt;(11)9999-9999&gt;</w:t>
            </w:r>
          </w:p>
        </w:tc>
        <w:tc>
          <w:tcPr>
            <w:tcW w:w="43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LineNumbers w:val="true"/>
              <w:tabs>
                <w:tab w:val="center" w:pos="4819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2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NECESSIDADE DE ELABORAR O RELAT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ÓRIO</w:t>
            </w:r>
          </w:p>
        </w:tc>
      </w:tr>
    </w:tbl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a instituição se trata de uma empresa destinada ao consumo de alimentos (lanches), o relatório será elaborado como item de conformidade para possíveis determinações da ANPD, com respaldo no art. 38 da LGDP, bem como por eventualmente serem coletados dados de crianças e adolescentes (art. 14) e por existir a possibilidade de ocorrer impacto na privacidade dos titulares de dados. </w:t>
      </w:r>
    </w:p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Optou-se pela utilização de um RIPD único. Já que a instituição implementa poucos processos, projetos, sistemas e serviços que envolvam o tratamento de quantidade e diversidade de dados pessoais.</w:t>
      </w:r>
    </w:p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27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DESCRI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DO TRATAMENTO</w:t>
            </w:r>
          </w:p>
        </w:tc>
      </w:tr>
    </w:tbl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processos de tratamento de dados pessoais que podem gerar riscos às liberdades civis e aos direitos fundamentais são apenas os processos de cadastramento/identificação para solicitação do lanche, pagamento e de obrigações fiscais. Nenhum dado pessoal coletado é divulgado/comercializado fora desse escopo. </w:t>
      </w:r>
    </w:p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dados coletados no momento da solicitação do lanche serão armazenados em banco de dados, e utilizados para acompanhamento do pedido, identificação de pagamento e tributação. </w:t>
      </w:r>
    </w:p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coletados: Nome, E-mail e CPF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fonte dos dados é o itular de dados que fornece no momento do cadastramento do pedido. Os dados são compartilhados com o Mercado Pago para pagamento e com o Governo para fins fiscais. O Controlador é o único Operador. O Controlador adotou um novo sistema de orquestramento de pedidos e pagamento que trata dados pessoais. Como medida de segurança, foram implementadas melhores práticas de desenvolvimento seguro do novo sistema.</w:t>
      </w:r>
    </w:p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0" w:after="57" w:line="240"/>
        <w:ind w:right="0" w:left="28" w:firstLine="0"/>
        <w:jc w:val="both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PARTES INTERESSADAS CONSULTADAS</w:t>
            </w:r>
          </w:p>
        </w:tc>
      </w:tr>
    </w:tbl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2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As partes interessadas relevantes, internas e externas, foram consultadas a fim de obter opiniões legais, técnicas ou administrativas sobre os dados pessoais que são objeto do tratamento. As partes consultadas foram o Encarregado, os gestores da Controladora/Operadora, especialistas de segurança da informação e advogados. </w:t>
      </w:r>
    </w:p>
    <w:p>
      <w:pPr>
        <w:tabs>
          <w:tab w:val="left" w:pos="582" w:leader="none"/>
          <w:tab w:val="left" w:pos="867" w:leader="none"/>
          <w:tab w:val="left" w:pos="1167" w:leader="none"/>
          <w:tab w:val="left" w:pos="1422" w:leader="none"/>
          <w:tab w:val="left" w:pos="1677" w:leader="none"/>
          <w:tab w:val="left" w:pos="1992" w:leader="none"/>
          <w:tab w:val="left" w:pos="2247" w:leader="none"/>
          <w:tab w:val="left" w:pos="7363" w:leader="underscore"/>
        </w:tabs>
        <w:suppressAutoHyphens w:val="true"/>
        <w:spacing w:before="57" w:after="57" w:line="240"/>
        <w:ind w:right="0" w:left="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O parecer geral foi unânime sobre a necessidade de mitigar o risco de acesso não autorizado aos dados coletados, através de medidas como controle de acessos, desenvolvimento seguro, e segurança em redes. Não serão informados mais detalhes sobre o que foi consultado em decorrência da possibilidade de que isso revele segredos comerciais da empresa que aumentem o risco de acesso não autorizado. </w:t>
      </w:r>
    </w:p>
    <w:p>
      <w:pPr>
        <w:tabs>
          <w:tab w:val="left" w:pos="725" w:leader="none"/>
          <w:tab w:val="left" w:pos="1010" w:leader="none"/>
          <w:tab w:val="left" w:pos="1310" w:leader="none"/>
          <w:tab w:val="left" w:pos="1565" w:leader="none"/>
          <w:tab w:val="left" w:pos="1820" w:leader="none"/>
          <w:tab w:val="left" w:pos="2135" w:leader="none"/>
          <w:tab w:val="left" w:pos="2390" w:leader="none"/>
          <w:tab w:val="left" w:pos="7506" w:leader="underscore"/>
        </w:tabs>
        <w:suppressAutoHyphens w:val="true"/>
        <w:spacing w:before="57" w:after="57" w:line="240"/>
        <w:ind w:right="0" w:left="17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NECESSIDADE E PROPORCIONALIDADE</w:t>
            </w:r>
          </w:p>
        </w:tc>
      </w:tr>
    </w:tbl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coleta de dados pessoais é mínima e proporcional ao serviço prestado. É necessário coletar o CPF para identidade fiscal, nome para identificação de quem realizou o pedido e e-mail para envio de atualizações sobre o pedido. </w:t>
      </w:r>
    </w:p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IDENTIFICA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ÇÃO E AVALIAÇÃO DE RISCOS</w:t>
            </w:r>
          </w:p>
        </w:tc>
      </w:tr>
    </w:tbl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tbl>
      <w:tblPr/>
      <w:tblGrid>
        <w:gridCol w:w="426"/>
        <w:gridCol w:w="6453"/>
        <w:gridCol w:w="470"/>
        <w:gridCol w:w="485"/>
        <w:gridCol w:w="944"/>
      </w:tblGrid>
      <w:tr>
        <w:trPr>
          <w:trHeight w:val="1" w:hRule="atLeast"/>
          <w:jc w:val="left"/>
        </w:trPr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Risco referente ao tratamento de dados pessoais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</w:t>
            </w:r>
          </w:p>
        </w:tc>
        <w:tc>
          <w:tcPr>
            <w:tcW w:w="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de</w:t>
            </w:r>
          </w:p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Risco</w:t>
            </w:r>
          </w:p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(P x I)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R01</w:t>
            </w:r>
          </w:p>
        </w:tc>
        <w:tc>
          <w:tcPr>
            <w:tcW w:w="6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Acesso não autorizado.</w:t>
            </w:r>
          </w:p>
        </w:tc>
        <w:tc>
          <w:tcPr>
            <w:tcW w:w="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</w:tbl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p>
      <w:pPr>
        <w:pageBreakBefore w:val="true"/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MEDIDAS PARA TRATAR OS RISCOS</w:t>
            </w:r>
          </w:p>
        </w:tc>
      </w:tr>
    </w:tbl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</w:p>
    <w:p>
      <w:pPr>
        <w:tabs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underscore"/>
        </w:tabs>
        <w:suppressAutoHyphens w:val="true"/>
        <w:spacing w:before="57" w:after="57" w:line="240"/>
        <w:ind w:right="0" w:left="0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</w:p>
    <w:tbl>
      <w:tblPr/>
      <w:tblGrid>
        <w:gridCol w:w="2407"/>
        <w:gridCol w:w="2408"/>
        <w:gridCol w:w="1276"/>
        <w:gridCol w:w="425"/>
        <w:gridCol w:w="425"/>
        <w:gridCol w:w="709"/>
        <w:gridCol w:w="1128"/>
      </w:tblGrid>
      <w:tr>
        <w:trPr>
          <w:trHeight w:val="1" w:hRule="atLeast"/>
          <w:jc w:val="left"/>
        </w:trPr>
        <w:tc>
          <w:tcPr>
            <w:tcW w:w="240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Risco</w:t>
            </w:r>
          </w:p>
        </w:tc>
        <w:tc>
          <w:tcPr>
            <w:tcW w:w="24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Medida(s)</w:t>
            </w:r>
          </w:p>
        </w:tc>
        <w:tc>
          <w:tcPr>
            <w:tcW w:w="12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Efeito sobre o Risco</w:t>
            </w:r>
          </w:p>
        </w:tc>
        <w:tc>
          <w:tcPr>
            <w:tcW w:w="15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Risco Residual</w:t>
            </w:r>
          </w:p>
        </w:tc>
        <w:tc>
          <w:tcPr>
            <w:tcW w:w="11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Medida(s)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Aprovada(s)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Nível</w:t>
            </w:r>
          </w:p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 x I)</w:t>
            </w: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0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R01 Acesso não autorizado.</w:t>
            </w: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 CONTROLE DE ACESSO LÓGICO</w:t>
            </w:r>
          </w:p>
        </w:tc>
        <w:tc>
          <w:tcPr>
            <w:tcW w:w="12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Reduzir</w:t>
            </w:r>
          </w:p>
        </w:tc>
        <w:tc>
          <w:tcPr>
            <w:tcW w:w="4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1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</w:tr>
      <w:tr>
        <w:trPr>
          <w:trHeight w:val="570" w:hRule="auto"/>
          <w:jc w:val="left"/>
        </w:trPr>
        <w:tc>
          <w:tcPr>
            <w:tcW w:w="24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 DESENVOLVIMENTO SEGURO</w:t>
            </w:r>
          </w:p>
        </w:tc>
        <w:tc>
          <w:tcPr>
            <w:tcW w:w="12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 SEGURANÇA EM REDES</w:t>
            </w:r>
          </w:p>
        </w:tc>
        <w:tc>
          <w:tcPr>
            <w:tcW w:w="12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0" w:leader="none"/>
                <w:tab w:val="right" w:pos="9629" w:leader="dot"/>
              </w:tabs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pageBreakBefore w:val="true"/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788"/>
      </w:tblGrid>
      <w:tr>
        <w:trPr>
          <w:trHeight w:val="1" w:hRule="atLeast"/>
          <w:jc w:val="left"/>
        </w:trPr>
        <w:tc>
          <w:tcPr>
            <w:tcW w:w="87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eeaf6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APROVA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ÇÃO</w:t>
            </w:r>
          </w:p>
        </w:tc>
      </w:tr>
    </w:tbl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54"/>
        <w:gridCol w:w="4514"/>
      </w:tblGrid>
      <w:tr>
        <w:trPr>
          <w:trHeight w:val="1" w:hRule="atLeast"/>
          <w:jc w:val="left"/>
        </w:trPr>
        <w:tc>
          <w:tcPr>
            <w:tcW w:w="4254" w:type="dxa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0"/>
            </w:tcBorders>
            <w:shd w:color="auto" w:fill="eeeeee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RESPONSÁVEL PELA ELABORAÇÃO DO RELATÓRIO DE IMPACTO</w:t>
            </w:r>
          </w:p>
        </w:tc>
        <w:tc>
          <w:tcPr>
            <w:tcW w:w="4514" w:type="dxa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eeeeee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ENCARREGADO</w:t>
            </w:r>
          </w:p>
        </w:tc>
      </w:tr>
      <w:tr>
        <w:trPr>
          <w:trHeight w:val="1" w:hRule="atLeast"/>
          <w:jc w:val="left"/>
        </w:trPr>
        <w:tc>
          <w:tcPr>
            <w:tcW w:w="425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_____________________________</w:t>
            </w:r>
          </w:p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rm348575</w:t>
            </w:r>
          </w:p>
        </w:tc>
        <w:tc>
          <w:tcPr>
            <w:tcW w:w="451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______________________________</w:t>
            </w:r>
          </w:p>
          <w:p>
            <w:pPr>
              <w:suppressLineNumbers w:val="true"/>
              <w:tabs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underscore"/>
              </w:tabs>
              <w:suppressAutoHyphens w:val="true"/>
              <w:spacing w:before="57" w:after="57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Xarles Xavier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