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Message transformation and routing without a common data model (CDM)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9050" distT="19050" distL="19050" distR="19050">
            <wp:extent cx="5689749" cy="53959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749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Message transformation and routing mediated with a common data model (CDM)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9050" distT="19050" distL="19050" distR="19050">
            <wp:extent cx="4249674" cy="34051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67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9050" distT="19050" distL="19050" distR="19050">
            <wp:extent cx="3754134" cy="2147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134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Adding a third endpoint is now decoupled (isolated) from the CDM data transformation step.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9050" distT="19050" distL="19050" distR="19050">
            <wp:extent cx="4855921" cy="38909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921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9050" distT="19050" distL="19050" distR="19050">
            <wp:extent cx="3989279" cy="31956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279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