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Lee Minho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11 - Lazada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Z688dkeK5fJfCV5WzM2N+Dv2g==">AMUW2mWaHcC9eZyugfFvrn3xZRkhh7ZXq7Abp+E0ss+sOe+Ztnrb3lLB3s03LQhRcHdCAiQZQ3cOo9AndFxuzF+Ytqkui+SF9Vi3680+wTXL1iOvgk7rDaSuurEUUpMLeymVpu1puiza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