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 xml:space="preserve">Supplementary Information </w:t>
      </w:r>
      <w:r>
        <w:rPr>
          <w:i/>
          <w:sz w:val="32"/>
        </w:rPr>
        <w:t>Hemoglyph: an offline, guideline-traceable laboratory-panel interpretation engine and four methods for verifying it — Bahrami, Tahmasebinejad, Bahrami Samani. Revision R7 (2026-10-28), Computer Methods and Programs in Biomedicine.</w:t>
      </w:r>
      <w:r>
        <w:rPr>
          <w:sz w:val="32"/>
        </w:rPr>
        <w:t xml:space="preserve"> </w:t>
      </w:r>
      <w:r>
        <w:rPr>
          <w:b/>
          <w:sz w:val="32"/>
        </w:rPr>
        <w:t>Index.</w:t>
      </w:r>
      <w:r>
        <w:rPr>
          <w:sz w:val="32"/>
        </w:rPr>
        <w:t xml:space="preserve"> 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and its closure in registry 15.3.0; Note 17 component ablation, community survey and external cohorts (R6 §3.5–3.6 verbatim) and earlier-release eICU rows; Fig. S1 provenance audit; Fig. S2 per-release eICU metrics; Fig. S3 per-group panel-supported recall; Fig. S4 per-group calibration; Fig. S5 context-echo analysis; Fig. S6 historical LLM comparison vs engine v5.1; Fig. S7 participant flow; Data 1 per-stay outputs and LLM prompts/outputs. ## Supplementary Note 1 — Statistical analysis plan and amendments</w:t>
      </w:r>
    </w:p>
    <w:p>
      <w:pPr>
        <w:pStyle w:val="Heading2"/>
      </w:pPr>
      <w:r>
        <w:rPr>
          <w:color w:val="303030"/>
        </w:rPr>
        <w:t>Statistical Analysis Plan (SAP) — Hemoglyph v1.3.1 retrospective diagnostic-accuracy evaluation</w:t>
      </w:r>
    </w:p>
    <w:p>
      <w:r>
        <w:t>Version 1.0 — 2026-10-21 — author: Sobhan Bahrami. To be time-stamped on OSF before any</w:t>
      </w:r>
    </w:p>
    <w:p>
      <w:r>
        <w:t>evaluation listed in §4 is run on the frozen engine. Amendments after registration must be</w:t>
      </w:r>
    </w:p>
    <w:p>
      <w:r>
        <w:t>listed in §9 with date and rationale.</w:t>
      </w:r>
    </w:p>
    <w:p>
      <w:pPr>
        <w:pStyle w:val="Heading2"/>
      </w:pPr>
      <w:r>
        <w:rPr>
          <w:color w:val="303030"/>
        </w:rPr>
        <w:t>1. Objective</w:t>
      </w:r>
    </w:p>
    <w:p>
      <w:r>
        <w:t>Estimate the diagnostic accuracy, calibration and safety of Hemoglyph (knowledge-driven,</w:t>
      </w:r>
    </w:p>
    <w:p>
      <w:r>
        <w:t xml:space="preserve">untrained laboratory interpretation engine; registry 13.1.0; engine file SHA-256 </w:t>
      </w:r>
      <w:r>
        <w:rPr>
          <w:rFonts w:ascii="Consolas" w:hAnsi="Consolas"/>
        </w:rPr>
        <w:t>e0231327…d800f6</w:t>
      </w:r>
      <w:r>
        <w:t xml:space="preserve"> (v1 freeze, 2026-10-21) / </w:t>
      </w:r>
      <w:r>
        <w:rPr>
          <w:rFonts w:ascii="Consolas" w:hAnsi="Consolas"/>
        </w:rPr>
        <w:t>48313758…</w:t>
      </w:r>
      <w:r>
        <w:t xml:space="preserve"> (v2 = v1 + ESL extension 5, 2026-10-21, see Amendment 2),</w:t>
      </w:r>
    </w:p>
    <w:p>
      <w:r>
        <w:t xml:space="preserve">registry SHA-256 </w:t>
      </w:r>
      <w:r>
        <w:rPr>
          <w:rFonts w:ascii="Consolas" w:hAnsi="Consolas"/>
        </w:rPr>
        <w:t>cebe06ae…c5d298</w:t>
      </w:r>
      <w:r>
        <w:t xml:space="preserve"> (unchanged between v1 and v2)) against clinician- and guideline-derived reference standards on</w:t>
      </w:r>
    </w:p>
    <w:p>
      <w:r>
        <w:t>external real-world data, without any modification of the engine after the freeze.</w:t>
      </w:r>
    </w:p>
    <w:p>
      <w:pPr>
        <w:pStyle w:val="Heading2"/>
      </w:pPr>
      <w:r>
        <w:rPr>
          <w:color w:val="303030"/>
        </w:rPr>
        <w:t>2. Index test</w:t>
      </w:r>
    </w:p>
    <w:p>
      <w:r>
        <w:t xml:space="preserve">Hemoglyph </w:t>
      </w:r>
      <w:r>
        <w:rPr>
          <w:rFonts w:ascii="Consolas" w:hAnsi="Consolas"/>
        </w:rPr>
        <w:t>ClinicalRuleEngine.interpret(observations, None, patient)</w:t>
      </w:r>
      <w:r>
        <w:t xml:space="preserve"> with the ranked</w:t>
      </w:r>
    </w:p>
    <w:p>
      <w:r>
        <w:t>differential (list length 40 in evaluation, 15 in the UI), probabilities, evidence state,</w:t>
      </w:r>
    </w:p>
    <w:p>
      <w:r>
        <w:t>expert-syndrome hits and critical alerts. Inputs: all laboratory analytes available in the</w:t>
      </w:r>
    </w:p>
    <w:p>
      <w:r>
        <w:t>pre-specified window in the dataset's native units, plus age, sex, pregnancy and, where the</w:t>
      </w:r>
    </w:p>
    <w:p>
      <w:r>
        <w:t>dataset provides them, medications. No free text, no vital signs, no imaging.</w:t>
      </w:r>
    </w:p>
    <w:p>
      <w:pPr>
        <w:pStyle w:val="Heading2"/>
      </w:pPr>
      <w:r>
        <w:rPr>
          <w:color w:val="303030"/>
        </w:rPr>
        <w:t>3. Datasets and roles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Dataset</w:t>
            </w:r>
          </w:p>
        </w:tc>
        <w:tc>
          <w:tcPr>
            <w:tcW w:type="dxa" w:w="2493"/>
          </w:tcPr>
          <w:p>
            <w:pPr>
              <w:spacing w:after="0"/>
            </w:pPr>
            <w:r>
              <w:rPr>
                <w:b/>
              </w:rPr>
            </w:r>
            <w:r>
              <w:rPr>
                <w:b/>
                <w:sz w:val="15"/>
              </w:rPr>
              <w:t>Role</w:t>
            </w:r>
          </w:p>
        </w:tc>
        <w:tc>
          <w:tcPr>
            <w:tcW w:type="dxa" w:w="2493"/>
          </w:tcPr>
          <w:p>
            <w:pPr>
              <w:spacing w:after="0"/>
            </w:pPr>
            <w:r>
              <w:rPr>
                <w:b/>
              </w:rPr>
            </w:r>
            <w:r>
              <w:rPr>
                <w:b/>
                <w:sz w:val="15"/>
              </w:rPr>
              <w:t>Window</w:t>
            </w:r>
          </w:p>
        </w:tc>
        <w:tc>
          <w:tcPr>
            <w:tcW w:type="dxa" w:w="2493"/>
          </w:tcPr>
          <w:p>
            <w:pPr>
              <w:spacing w:after="0"/>
            </w:pPr>
            <w:r>
              <w:rPr>
                <w:b/>
              </w:rPr>
            </w:r>
            <w:r>
              <w:rPr>
                <w:b/>
                <w:sz w:val="15"/>
              </w:rPr>
              <w:t>Reference standard</w:t>
            </w:r>
          </w:p>
        </w:tc>
      </w:tr>
      <w:tr>
        <w:tc>
          <w:tcPr>
            <w:tcW w:type="dxa" w:w="2493"/>
          </w:tcPr>
          <w:p>
            <w:pPr>
              <w:spacing w:after="0"/>
            </w:pPr>
            <w:r/>
            <w:r>
              <w:rPr>
                <w:sz w:val="15"/>
              </w:rPr>
              <w:t>MIMIC-IV demo v2.2 (n=235 adm.)</w:t>
            </w:r>
          </w:p>
        </w:tc>
        <w:tc>
          <w:tcPr>
            <w:tcW w:type="dxa" w:w="2493"/>
          </w:tcPr>
          <w:p>
            <w:pPr>
              <w:spacing w:after="0"/>
            </w:pPr>
            <w:r/>
            <w:r>
              <w:rPr>
                <w:b/>
                <w:sz w:val="15"/>
              </w:rPr>
              <w:t>development</w:t>
            </w:r>
            <w:r>
              <w:rPr>
                <w:sz w:val="15"/>
              </w:rPr>
              <w:t xml:space="preserve"> (error analysis 2026-10-21; fixes applied)</w:t>
            </w:r>
          </w:p>
        </w:tc>
        <w:tc>
          <w:tcPr>
            <w:tcW w:type="dxa" w:w="2493"/>
          </w:tcPr>
          <w:p>
            <w:pPr>
              <w:spacing w:after="0"/>
            </w:pPr>
            <w:r/>
            <w:r>
              <w:rPr>
                <w:sz w:val="15"/>
              </w:rPr>
              <w:t>−6 h..+24 h of admission</w:t>
            </w:r>
          </w:p>
        </w:tc>
        <w:tc>
          <w:tcPr>
            <w:tcW w:type="dxa" w:w="2493"/>
          </w:tcPr>
          <w:p>
            <w:pPr>
              <w:spacing w:after="0"/>
            </w:pPr>
            <w:r/>
            <w:r>
              <w:rPr>
                <w:sz w:val="15"/>
              </w:rPr>
              <w:t>ICD-9/10 discharge codes</w:t>
            </w:r>
          </w:p>
        </w:tc>
      </w:tr>
      <w:tr>
        <w:tc>
          <w:tcPr>
            <w:tcW w:type="dxa" w:w="2493"/>
          </w:tcPr>
          <w:p>
            <w:pPr>
              <w:spacing w:after="0"/>
            </w:pPr>
            <w:r/>
            <w:r>
              <w:rPr>
                <w:sz w:val="15"/>
              </w:rPr>
              <w:t>UCI HCV (n=615)</w:t>
            </w:r>
          </w:p>
        </w:tc>
        <w:tc>
          <w:tcPr>
            <w:tcW w:type="dxa" w:w="2493"/>
          </w:tcPr>
          <w:p>
            <w:pPr>
              <w:spacing w:after="0"/>
            </w:pPr>
            <w:r/>
            <w:r>
              <w:rPr>
                <w:sz w:val="15"/>
              </w:rPr>
              <w:t xml:space="preserve">held-out (run before freeze; archived as </w:t>
            </w:r>
            <w:r>
              <w:rPr>
                <w:rFonts w:ascii="Consolas" w:hAnsi="Consolas"/>
                <w:sz w:val="15"/>
              </w:rPr>
              <w:t>uci_hcv_v1_before_fixes</w:t>
            </w:r>
            <w:r>
              <w:rPr>
                <w:sz w:val="15"/>
              </w:rPr>
              <w:t>; re-run after freeze)</w:t>
            </w:r>
          </w:p>
        </w:tc>
        <w:tc>
          <w:tcPr>
            <w:tcW w:type="dxa" w:w="2493"/>
          </w:tcPr>
          <w:p>
            <w:pPr>
              <w:spacing w:after="0"/>
            </w:pPr>
            <w:r/>
            <w:r>
              <w:rPr>
                <w:sz w:val="15"/>
              </w:rPr>
              <w:t>single panel</w:t>
            </w:r>
          </w:p>
        </w:tc>
        <w:tc>
          <w:tcPr>
            <w:tcW w:type="dxa" w:w="2493"/>
          </w:tcPr>
          <w:p>
            <w:pPr>
              <w:spacing w:after="0"/>
            </w:pPr>
            <w:r/>
            <w:r>
              <w:rPr>
                <w:sz w:val="15"/>
              </w:rPr>
              <w:t>source-lab class</w:t>
            </w:r>
          </w:p>
        </w:tc>
      </w:tr>
      <w:tr>
        <w:tc>
          <w:tcPr>
            <w:tcW w:type="dxa" w:w="2493"/>
          </w:tcPr>
          <w:p>
            <w:pPr>
              <w:spacing w:after="0"/>
            </w:pPr>
            <w:r/>
            <w:r>
              <w:rPr>
                <w:sz w:val="15"/>
              </w:rPr>
              <w:t>NHANES 2017–18 (adults, random 3,000)</w:t>
            </w:r>
          </w:p>
        </w:tc>
        <w:tc>
          <w:tcPr>
            <w:tcW w:type="dxa" w:w="2493"/>
          </w:tcPr>
          <w:p>
            <w:pPr>
              <w:spacing w:after="0"/>
            </w:pPr>
            <w:r/>
            <w:r>
              <w:rPr>
                <w:sz w:val="15"/>
              </w:rPr>
              <w:t>held-out</w:t>
            </w:r>
          </w:p>
        </w:tc>
        <w:tc>
          <w:tcPr>
            <w:tcW w:type="dxa" w:w="2493"/>
          </w:tcPr>
          <w:p>
            <w:pPr>
              <w:spacing w:after="0"/>
            </w:pPr>
            <w:r/>
            <w:r>
              <w:rPr>
                <w:sz w:val="15"/>
              </w:rPr>
              <w:t>single exam</w:t>
            </w:r>
          </w:p>
        </w:tc>
        <w:tc>
          <w:tcPr>
            <w:tcW w:type="dxa" w:w="2493"/>
          </w:tcPr>
          <w:p>
            <w:pPr>
              <w:spacing w:after="0"/>
            </w:pPr>
            <w:r/>
            <w:r>
              <w:rPr>
                <w:sz w:val="15"/>
              </w:rPr>
              <w:t>guideline lab definitions + self-reported physician diagnosis</w:t>
            </w:r>
          </w:p>
        </w:tc>
      </w:tr>
      <w:tr>
        <w:tc>
          <w:tcPr>
            <w:tcW w:type="dxa" w:w="2493"/>
          </w:tcPr>
          <w:p>
            <w:pPr>
              <w:spacing w:after="0"/>
            </w:pPr>
            <w:r/>
            <w:r>
              <w:rPr>
                <w:sz w:val="15"/>
              </w:rPr>
              <w:t>UCI Thyroid thyroid0387 (n≈7,000 with TSH)</w:t>
            </w:r>
          </w:p>
        </w:tc>
        <w:tc>
          <w:tcPr>
            <w:tcW w:type="dxa" w:w="2493"/>
          </w:tcPr>
          <w:p>
            <w:pPr>
              <w:spacing w:after="0"/>
            </w:pPr>
            <w:r/>
            <w:r>
              <w:rPr>
                <w:sz w:val="15"/>
              </w:rPr>
              <w:t>held-out</w:t>
            </w:r>
          </w:p>
        </w:tc>
        <w:tc>
          <w:tcPr>
            <w:tcW w:type="dxa" w:w="2493"/>
          </w:tcPr>
          <w:p>
            <w:pPr>
              <w:spacing w:after="0"/>
            </w:pPr>
            <w:r/>
            <w:r>
              <w:rPr>
                <w:sz w:val="15"/>
              </w:rPr>
              <w:t>single panel</w:t>
            </w:r>
          </w:p>
        </w:tc>
        <w:tc>
          <w:tcPr>
            <w:tcW w:type="dxa" w:w="2493"/>
          </w:tcPr>
          <w:p>
            <w:pPr>
              <w:spacing w:after="0"/>
            </w:pPr>
            <w:r/>
            <w:r>
              <w:rPr>
                <w:sz w:val="15"/>
              </w:rPr>
              <w:t>clinician diagnosis letters</w:t>
            </w:r>
          </w:p>
        </w:tc>
      </w:tr>
      <w:tr>
        <w:tc>
          <w:tcPr>
            <w:tcW w:type="dxa" w:w="2493"/>
          </w:tcPr>
          <w:p>
            <w:pPr>
              <w:spacing w:after="0"/>
            </w:pPr>
            <w:r/>
            <w:r>
              <w:rPr>
                <w:sz w:val="15"/>
              </w:rPr>
              <w:t>ILPD (n=583)</w:t>
            </w:r>
          </w:p>
        </w:tc>
        <w:tc>
          <w:tcPr>
            <w:tcW w:type="dxa" w:w="2493"/>
          </w:tcPr>
          <w:p>
            <w:pPr>
              <w:spacing w:after="0"/>
            </w:pPr>
            <w:r/>
            <w:r>
              <w:rPr>
                <w:sz w:val="15"/>
              </w:rPr>
              <w:t>held-out, stress test</w:t>
            </w:r>
          </w:p>
        </w:tc>
        <w:tc>
          <w:tcPr>
            <w:tcW w:type="dxa" w:w="2493"/>
          </w:tcPr>
          <w:p>
            <w:pPr>
              <w:spacing w:after="0"/>
            </w:pPr>
            <w:r/>
            <w:r>
              <w:rPr>
                <w:sz w:val="15"/>
              </w:rPr>
              <w:t>single panel</w:t>
            </w:r>
          </w:p>
        </w:tc>
        <w:tc>
          <w:tcPr>
            <w:tcW w:type="dxa" w:w="2493"/>
          </w:tcPr>
          <w:p>
            <w:pPr>
              <w:spacing w:after="0"/>
            </w:pPr>
            <w:r/>
            <w:r>
              <w:rPr>
                <w:sz w:val="15"/>
              </w:rPr>
              <w:t>clinic label</w:t>
            </w:r>
          </w:p>
        </w:tc>
      </w:tr>
      <w:tr>
        <w:tc>
          <w:tcPr>
            <w:tcW w:type="dxa" w:w="2493"/>
          </w:tcPr>
          <w:p>
            <w:pPr>
              <w:spacing w:after="0"/>
            </w:pPr>
            <w:r/>
            <w:r>
              <w:rPr>
                <w:sz w:val="15"/>
              </w:rPr>
              <w:t>eICU-CRD demo v2.0.1 (≈2,000 stays, 186 hospitals)</w:t>
            </w:r>
          </w:p>
        </w:tc>
        <w:tc>
          <w:tcPr>
            <w:tcW w:type="dxa" w:w="2493"/>
          </w:tcPr>
          <w:p>
            <w:pPr>
              <w:spacing w:after="0"/>
            </w:pPr>
            <w:r/>
            <w:r>
              <w:rPr>
                <w:sz w:val="15"/>
              </w:rPr>
              <w:t xml:space="preserve">held-out, </w:t>
            </w:r>
            <w:r>
              <w:rPr>
                <w:b/>
                <w:sz w:val="15"/>
              </w:rPr>
              <w:t>multi-centre</w:t>
            </w:r>
          </w:p>
        </w:tc>
        <w:tc>
          <w:tcPr>
            <w:tcW w:type="dxa" w:w="2493"/>
          </w:tcPr>
          <w:p>
            <w:pPr>
              <w:spacing w:after="0"/>
            </w:pPr>
            <w:r/>
            <w:r>
              <w:rPr>
                <w:sz w:val="15"/>
              </w:rPr>
              <w:t>−6 h..+24 h of ICU admission</w:t>
            </w:r>
          </w:p>
        </w:tc>
        <w:tc>
          <w:tcPr>
            <w:tcW w:type="dxa" w:w="2493"/>
          </w:tcPr>
          <w:p>
            <w:pPr>
              <w:spacing w:after="0"/>
            </w:pPr>
            <w:r/>
            <w:r>
              <w:rPr>
                <w:sz w:val="15"/>
              </w:rPr>
              <w:t>ICU clinician problem list</w:t>
            </w:r>
          </w:p>
        </w:tc>
      </w:tr>
      <w:tr>
        <w:tc>
          <w:tcPr>
            <w:tcW w:type="dxa" w:w="2493"/>
          </w:tcPr>
          <w:p>
            <w:pPr>
              <w:spacing w:after="0"/>
            </w:pPr>
            <w:r/>
            <w:r>
              <w:rPr>
                <w:sz w:val="15"/>
              </w:rPr>
              <w:t>MIMIC-IV v3.1 full / eICU-CRD full</w:t>
            </w:r>
          </w:p>
        </w:tc>
        <w:tc>
          <w:tcPr>
            <w:tcW w:type="dxa" w:w="2493"/>
          </w:tcPr>
          <w:p>
            <w:pPr>
              <w:spacing w:after="0"/>
            </w:pPr>
            <w:r/>
            <w:r>
              <w:rPr>
                <w:sz w:val="15"/>
              </w:rPr>
              <w:t>confirmatory (credentialed; pending)</w:t>
            </w:r>
          </w:p>
        </w:tc>
        <w:tc>
          <w:tcPr>
            <w:tcW w:type="dxa" w:w="2493"/>
          </w:tcPr>
          <w:p>
            <w:pPr>
              <w:spacing w:after="0"/>
            </w:pPr>
            <w:r/>
            <w:r>
              <w:rPr>
                <w:sz w:val="15"/>
              </w:rPr>
              <w:t>as above</w:t>
            </w:r>
          </w:p>
        </w:tc>
        <w:tc>
          <w:tcPr>
            <w:tcW w:type="dxa" w:w="2493"/>
          </w:tcPr>
          <w:p>
            <w:pPr>
              <w:spacing w:after="0"/>
            </w:pPr>
            <w:r/>
            <w:r>
              <w:rPr>
                <w:sz w:val="15"/>
              </w:rPr>
              <w:t>ICD + adjudication subsample</w:t>
            </w:r>
          </w:p>
        </w:tc>
      </w:tr>
    </w:tbl>
    <w:p/>
    <w:p>
      <w:pPr>
        <w:pStyle w:val="Heading2"/>
      </w:pPr>
      <w:r>
        <w:rPr>
          <w:color w:val="303030"/>
        </w:rPr>
        <w:t>4. Endpoints</w:t>
      </w:r>
    </w:p>
    <w:p>
      <w:r>
        <w:t>Primary (per cohort with multi-label clinical labels — eICU demo, MIMIC full):</w:t>
      </w:r>
    </w:p>
    <w:p>
      <w:r>
        <w:t>P1 Recall@5 of listed/coded lab-detectable diagnoses whose key analyte was measured.</w:t>
      </w:r>
    </w:p>
    <w:p>
      <w:r>
        <w:t>Secondary:</w:t>
      </w:r>
    </w:p>
    <w:p>
      <w:r>
        <w:t>S1 Recall@3 / Recall@10; S2 per-group AUROC (listed vs. not listed, key analyte measured);</w:t>
      </w:r>
    </w:p>
    <w:p>
      <w:r>
        <w:t>S3 chart-support precision of outputs with p ≥ 0.7; S4 calibration (reliability diagram, ECE,</w:t>
      </w:r>
    </w:p>
    <w:p>
      <w:r>
        <w:t>slope/intercept of logistic recalibration) on group-level probabilities; S5 critical-value</w:t>
      </w:r>
    </w:p>
    <w:p>
      <w:r>
        <w:t>safety: proportion of stays with K ≥ 6.5, Na ≤ 120/≥ 160, glucose ≤ 50, Ca ≥ 14, lactate ≥ 4,</w:t>
      </w:r>
    </w:p>
    <w:p>
      <w:r>
        <w:t>pH ≤ 7.20, Hb ≤ 6, PLT ≤ 20, WBC ≥ 100 in which the corresponding entity appears in</w:t>
      </w:r>
    </w:p>
    <w:p>
      <w:r>
        <w:rPr>
          <w:rFonts w:ascii="Consolas" w:hAnsi="Consolas"/>
        </w:rPr>
        <w:t>critical_alerts</w:t>
      </w:r>
      <w:r>
        <w:t xml:space="preserve"> or top-5 (target: 100%; report misses with Wilson CI); S6 latency.</w:t>
      </w:r>
    </w:p>
    <w:p>
      <w:r>
        <w:t>Single-task cohorts (HCV, NHANES, thyroid, ILPD): AUROC with 95% bootstrap CI (2,000 draws),</w:t>
      </w:r>
    </w:p>
    <w:p>
      <w:r>
        <w:t>sensitivity and specificity at the fixed operating point p = 0.5, and the healthy</w:t>
      </w:r>
    </w:p>
    <w:p>
      <w:r>
        <w:t>false-assertion rate (NHANES T8).</w:t>
      </w:r>
    </w:p>
    <w:p>
      <w:pPr>
        <w:pStyle w:val="Heading2"/>
      </w:pPr>
      <w:r>
        <w:rPr>
          <w:color w:val="303030"/>
        </w:rPr>
        <w:t>5. Pre-specified task definitions</w:t>
      </w:r>
    </w:p>
    <w:p>
      <w:r>
        <w:t>As written in the docstring of each script (</w:t>
      </w:r>
      <w:r>
        <w:rPr>
          <w:rFonts w:ascii="Consolas" w:hAnsi="Consolas"/>
        </w:rPr>
        <w:t>eval/realdata/eval_*.py</w:t>
      </w:r>
      <w:r>
        <w:t xml:space="preserve">, </w:t>
      </w:r>
      <w:r>
        <w:rPr>
          <w:rFonts w:ascii="Consolas" w:hAnsi="Consolas"/>
        </w:rPr>
        <w:t>eval/mimic/*.py</w:t>
      </w:r>
      <w:r>
        <w:t>) at</w:t>
      </w:r>
    </w:p>
    <w:p>
      <w:r>
        <w:t>the time of registration; the scripts are part of the registered material.</w:t>
      </w:r>
    </w:p>
    <w:p>
      <w:pPr>
        <w:pStyle w:val="Heading2"/>
      </w:pPr>
      <w:r>
        <w:rPr>
          <w:color w:val="303030"/>
        </w:rPr>
        <w:t>6. Analysis populations</w:t>
      </w:r>
    </w:p>
    <w:p>
      <w:r>
        <w:t>Adults ≥ 18 y; ≥ 8 analytes in window (ICU cohorts); pregnancy excluded in NHANES; a labelled</w:t>
      </w:r>
    </w:p>
    <w:p>
      <w:r>
        <w:t>group is evaluable only if its key analyte was measured. No imputation. No survey weights.</w:t>
      </w:r>
    </w:p>
    <w:p>
      <w:pPr>
        <w:pStyle w:val="Heading2"/>
      </w:pPr>
      <w:r>
        <w:rPr>
          <w:color w:val="303030"/>
        </w:rPr>
        <w:t>7. Statistics</w:t>
      </w:r>
    </w:p>
    <w:p>
      <w:r>
        <w:t>Wilson 95% CI for proportions; percentile bootstrap for AUROC; DeLong test for AUROC</w:t>
      </w:r>
    </w:p>
    <w:p>
      <w:r>
        <w:t>comparisons against baselines (§8); Hosmer–Lemeshow not used (ECE with 10 equal-mass bins</w:t>
      </w:r>
    </w:p>
    <w:p>
      <w:r>
        <w:t>instead). No multiplicity adjustment (descriptive accuracy study); all pre-specified endpoints</w:t>
      </w:r>
    </w:p>
    <w:p>
      <w:r>
        <w:t>are reported regardless of result. Subgroups: sex, age (&lt;65/≥65), hospital (eICU), unit system.</w:t>
      </w:r>
    </w:p>
    <w:p>
      <w:pPr>
        <w:pStyle w:val="Heading2"/>
      </w:pPr>
      <w:r>
        <w:rPr>
          <w:color w:val="303030"/>
        </w:rPr>
        <w:t>8. Baselines (to be run on identical inputs, after the freeze)</w:t>
      </w:r>
    </w:p>
    <w:p>
      <w:r>
        <w:t>B1 reference-range flagging + published single-analyte decision rules; B2 LightGBM per group</w:t>
      </w:r>
    </w:p>
    <w:p>
      <w:r>
        <w:t>trained on the MIMIC-IV development split (where available); B3 two general LLMs zero-shot</w:t>
      </w:r>
    </w:p>
    <w:p>
      <w:r>
        <w:t>with a fixed prompt (model names/versions recorded; outputs parsed to entity ids; cost and</w:t>
      </w:r>
    </w:p>
    <w:p>
      <w:r>
        <w:t>latency recorded). Comparison endpoint: Recall@5 and AUROC per group.</w:t>
      </w:r>
    </w:p>
    <w:p>
      <w:pPr>
        <w:pStyle w:val="Heading2"/>
      </w:pPr>
      <w:r>
        <w:rPr>
          <w:color w:val="303030"/>
        </w:rPr>
        <w:t>9. Amendments</w:t>
      </w:r>
    </w:p>
    <w:p>
      <w:r>
        <w:t>(none)</w:t>
      </w:r>
    </w:p>
    <w:p>
      <w:pPr>
        <w:pStyle w:val="Heading2"/>
      </w:pPr>
      <w:r>
        <w:rPr>
          <w:color w:val="303030"/>
        </w:rPr>
        <w:t>10. Deviations already known at registration</w:t>
      </w:r>
    </w:p>
    <w:p>
      <w:pPr>
        <w:pStyle w:val="ListBullet"/>
      </w:pPr>
      <w:r>
        <w:t>MIMIC-IV demo was used for error analysis; all engine changes made as a result are listed in</w:t>
      </w:r>
    </w:p>
    <w:p>
      <w:r>
        <w:t xml:space="preserve">  the HARDENING changelog (summary file removed 2026-10-23; metrics retained in </w:t>
      </w:r>
      <w:r>
        <w:rPr>
          <w:rFonts w:ascii="Consolas" w:hAnsi="Consolas"/>
        </w:rPr>
        <w:t>eval/results/frozen_v1_20261021/</w:t>
      </w:r>
      <w:r>
        <w:t>). Its metrics</w:t>
      </w:r>
    </w:p>
    <w:p>
      <w:r>
        <w:t xml:space="preserve">  are reported as development-set metrics.</w:t>
      </w:r>
    </w:p>
    <w:p>
      <w:pPr>
        <w:pStyle w:val="ListBullet"/>
      </w:pPr>
      <w:r>
        <w:t>UCI HCV was run once before four engine changes (insufficient-evidence ceiling, ESL</w:t>
      </w:r>
    </w:p>
    <w:p>
      <w:r>
        <w:t xml:space="preserve">  primary protection, ESL mild-tier removal, list-length parameter); both runs are reported.</w:t>
      </w:r>
    </w:p>
    <w:p>
      <w:pPr>
        <w:pStyle w:val="Heading2"/>
      </w:pPr>
      <w:r>
        <w:rPr>
          <w:color w:val="303030"/>
        </w:rPr>
        <w:t>Amendment 2 (2026-10-21) — ESL extension 5 after held-out error analysis</w:t>
      </w:r>
    </w:p>
    <w:p>
      <w:r>
        <w:t>The v1 engine (hash above) was frozen on 2026-10-21 and run unchanged on eICU-CRD demo,</w:t>
      </w:r>
    </w:p>
    <w:p>
      <w:r>
        <w:t xml:space="preserve">UCI HCV, ILPD, UCI thyroid0387 and NHANES 2017–18.  Error analysis of those </w:t>
      </w:r>
      <w:r>
        <w:rPr>
          <w:b/>
        </w:rPr>
        <w:t>held-out</w:t>
      </w:r>
      <w:r>
        <w:t xml:space="preserve"> runs</w:t>
      </w:r>
    </w:p>
    <w:p>
      <w:r>
        <w:t>(not of the development set) identified five safety/coverage defects:</w:t>
      </w:r>
    </w:p>
    <w:p>
      <w:r>
        <w:t>1. platelets ≤ 20 ×10⁹/L in top-5 only 25 % (eICU S5);</w:t>
      </w:r>
    </w:p>
    <w:p>
      <w:r>
        <w:t xml:space="preserve">2. WBC 470 ×10⁹/L → </w:t>
      </w:r>
      <w:r>
        <w:rPr>
          <w:rFonts w:ascii="Consolas" w:hAnsi="Consolas"/>
        </w:rPr>
        <w:t>nephrotic_syndrome</w:t>
      </w:r>
      <w:r>
        <w:t xml:space="preserve"> top-1 (no hyperleukocytosis anchor);</w:t>
      </w:r>
    </w:p>
    <w:p>
      <w:r>
        <w:t>3. Hb 4.1 g/dL absent from top-5; INR 8.5 absent from top-5 (no coagulopathy anchor);</w:t>
      </w:r>
    </w:p>
    <w:p>
      <w:r>
        <w:t>4. pH 7.18 with HCO₃ 34 (acute hypercapnic acidaemia) absent from top-5;</w:t>
      </w:r>
    </w:p>
    <w:p>
      <w:r>
        <w:t xml:space="preserve">5. overt hyperthyroidism reported with </w:t>
      </w:r>
      <w:r>
        <w:rPr>
          <w:i/>
        </w:rPr>
        <w:t>total</w:t>
      </w:r>
      <w:r>
        <w:t xml:space="preserve"> T4 (UCI thyroid0387) scored ≤ 0.44; urate &gt; 7 mg/dL</w:t>
      </w:r>
    </w:p>
    <w:p>
      <w:r>
        <w:t xml:space="preserve">   (NHANES) scored ≤ 0.34.</w:t>
      </w:r>
    </w:p>
    <w:p>
      <w:r>
        <w:t>These were fixed by one additive change (</w:t>
      </w:r>
      <w:r>
        <w:rPr>
          <w:rFonts w:ascii="Consolas" w:hAnsi="Consolas"/>
        </w:rPr>
        <w:t>eval/patches/esl_ext5_20261021.py</w:t>
      </w:r>
      <w:r>
        <w:t>: 20 severity-tiered</w:t>
      </w:r>
    </w:p>
    <w:p>
      <w:r>
        <w:t xml:space="preserve">syndromes, two new group keys </w:t>
      </w:r>
      <w:r>
        <w:rPr>
          <w:rFonts w:ascii="Consolas" w:hAnsi="Consolas"/>
        </w:rPr>
        <w:t>tt4</w:t>
      </w:r>
      <w:r>
        <w:t>/</w:t>
      </w:r>
      <w:r>
        <w:rPr>
          <w:rFonts w:ascii="Consolas" w:hAnsi="Consolas"/>
        </w:rPr>
        <w:t>tt3</w:t>
      </w:r>
      <w:r>
        <w:t>, no change to rules, weights, registries or thresholds).</w:t>
      </w:r>
    </w:p>
    <w:p>
      <w:r>
        <w:t>Evaluator label maps were also extended with existing registry ids that had been omitted</w:t>
      </w:r>
    </w:p>
    <w:p>
      <w:r>
        <w:t>(</w:t>
      </w:r>
      <w:r>
        <w:rPr>
          <w:rFonts w:ascii="Consolas" w:hAnsi="Consolas"/>
        </w:rPr>
        <w:t>leukocytosis_pattern</w:t>
      </w:r>
      <w:r>
        <w:t xml:space="preserve">, </w:t>
      </w:r>
      <w:r>
        <w:rPr>
          <w:rFonts w:ascii="Consolas" w:hAnsi="Consolas"/>
        </w:rPr>
        <w:t>elevated_inr_pattern</w:t>
      </w:r>
      <w:r>
        <w:t xml:space="preserve">, </w:t>
      </w:r>
      <w:r>
        <w:rPr>
          <w:rFonts w:ascii="Consolas" w:hAnsi="Consolas"/>
        </w:rPr>
        <w:t>pancytopenia</w:t>
      </w:r>
      <w:r>
        <w:t>, liver/vitamin-K coagulopathy ids).</w:t>
      </w:r>
    </w:p>
    <w:p>
      <w:r>
        <w:rPr>
          <w:b/>
        </w:rPr>
        <w:t>Reporting rule:</w:t>
      </w:r>
      <w:r>
        <w:t xml:space="preserve"> every held-out table in the manuscript reports </w:t>
      </w:r>
      <w:r>
        <w:rPr>
          <w:b/>
        </w:rPr>
        <w:t>both</w:t>
      </w:r>
      <w:r>
        <w:t xml:space="preserve"> v1 (pre-specified,</w:t>
      </w:r>
    </w:p>
    <w:p>
      <w:r>
        <w:t>frozen) and v2 (post-hoc, after one round of error analysis) side by side; v2 is labelled as</w:t>
      </w:r>
    </w:p>
    <w:p>
      <w:r>
        <w:t>post-hoc and the datasets used for the error analysis are named.  No further engine change will</w:t>
      </w:r>
    </w:p>
    <w:p>
      <w:r>
        <w:t>be made after the v2 freeze without a new amendment.  v1 outputs are archived under</w:t>
      </w:r>
    </w:p>
    <w:p>
      <w:r>
        <w:rPr>
          <w:rFonts w:ascii="Consolas" w:hAnsi="Consolas"/>
        </w:rPr>
        <w:t>eval/results/frozen_v1_20261021/</w:t>
      </w:r>
      <w:r>
        <w:t xml:space="preserve"> and </w:t>
      </w:r>
      <w:r>
        <w:rPr>
          <w:rFonts w:ascii="Consolas" w:hAnsi="Consolas"/>
        </w:rPr>
        <w:t>eval/results/eicu_demo_v1_frozen_origmap/</w:t>
      </w:r>
      <w:r>
        <w:t>.</w:t>
      </w:r>
    </w:p>
    <w:p>
      <w:pPr>
        <w:pStyle w:val="Heading2"/>
      </w:pPr>
      <w:r>
        <w:rPr>
          <w:color w:val="303030"/>
        </w:rPr>
        <w:t>Amendment 3 — engine v3 (ESL extension 6 + clinical-salience re-ranking), 2026-10-21</w:t>
      </w:r>
    </w:p>
    <w:p>
      <w:r>
        <w:rPr>
          <w:b/>
        </w:rPr>
        <w:t>Trigger.</w:t>
      </w:r>
      <w:r>
        <w:t xml:space="preserve"> A blind zero-shot LLM baseline (B3, n = 100 eICU-demo stays, same stays scored for the engine)</w:t>
      </w:r>
    </w:p>
    <w:p>
      <w:r>
        <w:t>reached recall@5 66.0 % vs 48.9 % for the pre-specified v1 engine. Error analysis of the 21 LLM-only hits</w:t>
      </w:r>
    </w:p>
    <w:p>
      <w:r>
        <w:t>showed that in 19/21 the correct entity was already present in the engine's differential at rank 6–15; the</w:t>
      </w:r>
    </w:p>
    <w:p>
      <w:r>
        <w:t xml:space="preserve">top-5 was occupied by family duplicates, derived </w:t>
      </w:r>
      <w:r>
        <w:rPr>
          <w:rFonts w:ascii="Consolas" w:hAnsi="Consolas"/>
        </w:rPr>
        <w:t>co_*</w:t>
      </w:r>
      <w:r>
        <w:t xml:space="preserve"> pair patterns, flat single-electrolyte findings, or</w:t>
      </w:r>
    </w:p>
    <w:p>
      <w:r>
        <w:t>anchors firing in the wrong context. One real value (HCO3 1.7 mmol/L) was rejected by the plausibility floor.</w:t>
      </w:r>
    </w:p>
    <w:p>
      <w:r>
        <w:rPr>
          <w:b/>
        </w:rPr>
        <w:t>The guideline registry was not changed</w:t>
      </w:r>
      <w:r>
        <w:t>; the amendment is confined to the expert-syndrome layer and the</w:t>
      </w:r>
    </w:p>
    <w:p>
      <w:r>
        <w:t>ordering of the differential.</w:t>
      </w:r>
    </w:p>
    <w:p>
      <w:r>
        <w:rPr>
          <w:b/>
        </w:rPr>
        <w:t>Changes (all in `eval/patches/esl_ext6_ranking_20261021.py`, applied to `analyse_gidlines.py`):</w:t>
      </w:r>
    </w:p>
    <w:p>
      <w:r>
        <w:t xml:space="preserve">1. </w:t>
      </w:r>
      <w:r>
        <w:rPr>
          <w:rFonts w:ascii="Consolas" w:hAnsi="Consolas"/>
        </w:rPr>
        <w:t>ABSOLUTE_LIMITS["bicarbonate"]</w:t>
      </w:r>
      <w:r>
        <w:t xml:space="preserve"> lower bound 2.0 → 0.5 mmol/L.</w:t>
      </w:r>
    </w:p>
    <w:p>
      <w:r>
        <w:t>2. Exclusions added: Gilbert anchor (glucose &gt; 250, pH &lt; 7.30, WBC &gt; 15, lactate &gt; 4, CRP &gt; 50, Cr &gt; 2.0, HCO3 &lt; 15);</w:t>
      </w:r>
    </w:p>
    <w:p>
      <w:r>
        <w:t xml:space="preserve">   RTA-4 anchor (Cr &gt; 1.8, BUN &gt; 40, lactate &gt; 4, glucose &gt; 400); toxic-alcohol anchor (glucose &gt; 300).</w:t>
      </w:r>
    </w:p>
    <w:p>
      <w:r>
        <w:t xml:space="preserve">3. New syndromes: </w:t>
      </w:r>
      <w:r>
        <w:rPr>
          <w:rFonts w:ascii="Consolas" w:hAnsi="Consolas"/>
        </w:rPr>
        <w:t>mi_massive_troponin</w:t>
      </w:r>
      <w:r>
        <w:t xml:space="preserve"> (cTn &gt; 5000 ng/L, no CK veto), </w:t>
      </w:r>
      <w:r>
        <w:rPr>
          <w:rFonts w:ascii="Consolas" w:hAnsi="Consolas"/>
        </w:rPr>
        <w:t>renal_failure_marked</w:t>
      </w:r>
      <w:r>
        <w:t xml:space="preserve"> (Cr ≥ 2.0) and</w:t>
      </w:r>
    </w:p>
    <w:p>
      <w:r>
        <w:t xml:space="preserve">   </w:t>
      </w:r>
      <w:r>
        <w:rPr>
          <w:rFonts w:ascii="Consolas" w:hAnsi="Consolas"/>
        </w:rPr>
        <w:t>renal_failure_moderate</w:t>
      </w:r>
      <w:r>
        <w:t xml:space="preserve">, </w:t>
      </w:r>
      <w:r>
        <w:rPr>
          <w:rFonts w:ascii="Consolas" w:hAnsi="Consolas"/>
        </w:rPr>
        <w:t>sepsis_bandemia</w:t>
      </w:r>
      <w:r>
        <w:t xml:space="preserve">, </w:t>
      </w:r>
      <w:r>
        <w:rPr>
          <w:rFonts w:ascii="Consolas" w:hAnsi="Consolas"/>
        </w:rPr>
        <w:t>sepsis_marked_leukocytosis_organ</w:t>
      </w:r>
      <w:r>
        <w:t xml:space="preserve">, </w:t>
      </w:r>
      <w:r>
        <w:rPr>
          <w:rFonts w:ascii="Consolas" w:hAnsi="Consolas"/>
        </w:rPr>
        <w:t>sepsis_sirs_two_organ</w:t>
      </w:r>
    </w:p>
    <w:p>
      <w:r>
        <w:t xml:space="preserve">   (pattern strength), </w:t>
      </w:r>
      <w:r>
        <w:rPr>
          <w:rFonts w:ascii="Consolas" w:hAnsi="Consolas"/>
        </w:rPr>
        <w:t>dka_mild_ketones_unmeasured</w:t>
      </w:r>
      <w:r>
        <w:t xml:space="preserve"> (ADA/EASD 2024 mild tier), </w:t>
      </w:r>
      <w:r>
        <w:rPr>
          <w:rFonts w:ascii="Consolas" w:hAnsi="Consolas"/>
        </w:rPr>
        <w:t>acute_hepatocellular_injury</w:t>
      </w:r>
    </w:p>
    <w:p>
      <w:r>
        <w:t xml:space="preserve">   (pattern; vetoed by aetiology-specific serology), guards </w:t>
      </w:r>
      <w:r>
        <w:rPr>
          <w:rFonts w:ascii="Consolas" w:hAnsi="Consolas"/>
        </w:rPr>
        <w:t>ck_elevation_no_context_guard</w:t>
      </w:r>
      <w:r>
        <w:t xml:space="preserve"> and</w:t>
      </w:r>
    </w:p>
    <w:p>
      <w:r>
        <w:t xml:space="preserve">   </w:t>
      </w:r>
      <w:r>
        <w:rPr>
          <w:rFonts w:ascii="Consolas" w:hAnsi="Consolas"/>
        </w:rPr>
        <w:t>pseudohypocalcemia_guard</w:t>
      </w:r>
      <w:r>
        <w:t xml:space="preserve">; </w:t>
      </w:r>
      <w:r>
        <w:rPr>
          <w:rFonts w:ascii="Consolas" w:hAnsi="Consolas"/>
        </w:rPr>
        <w:t>hyperuricemia_female</w:t>
      </w:r>
      <w:r>
        <w:t xml:space="preserve"> now requires adult age + one co-finding.</w:t>
      </w:r>
    </w:p>
    <w:p>
      <w:r>
        <w:t>4. Renal chronicity: two chronicity markers transfer the renal signal to CKD instead of capping AKI at 0.75 × a</w:t>
      </w:r>
    </w:p>
    <w:p>
      <w:r>
        <w:t xml:space="preserve">   low CKD score (which deleted the renal entry altogether).</w:t>
      </w:r>
    </w:p>
    <w:p>
      <w:r>
        <w:t>5. Clinical-salience re-ranking of the differential (probabilities unchanged): tier 0 diseases/syndromes</w:t>
      </w:r>
    </w:p>
    <w:p>
      <w:r>
        <w:t xml:space="preserve">   (p ≥ 0.5); tier 1 low-salience single-analyte findings (p 0.5–0.75); tier 2 p &lt; 0.5; tier 3 </w:t>
      </w:r>
      <w:r>
        <w:rPr>
          <w:rFonts w:ascii="Consolas" w:hAnsi="Consolas"/>
        </w:rPr>
        <w:t>co_*</w:t>
      </w:r>
      <w:r>
        <w:t xml:space="preserve"> pairs and</w:t>
      </w:r>
    </w:p>
    <w:p>
      <w:r>
        <w:t xml:space="preserve">   intra-family duplicates (child id = parent id + suffix; </w:t>
      </w:r>
      <w:r>
        <w:rPr>
          <w:rFonts w:ascii="Consolas" w:hAnsi="Consolas"/>
        </w:rPr>
        <w:t>*_support_pattern</w:t>
      </w:r>
      <w:r>
        <w:t xml:space="preserve"> next to its base entity).</w:t>
      </w:r>
    </w:p>
    <w:p>
      <w:r>
        <w:t xml:space="preserve">6. eICU label map: </w:t>
      </w:r>
      <w:r>
        <w:rPr>
          <w:rFonts w:ascii="Consolas" w:hAnsi="Consolas"/>
        </w:rPr>
        <w:t>heart_failure</w:t>
      </w:r>
      <w:r>
        <w:t xml:space="preserve"> group now also accepts the plain </w:t>
      </w:r>
      <w:r>
        <w:rPr>
          <w:rFonts w:ascii="Consolas" w:hAnsi="Consolas"/>
        </w:rPr>
        <w:t>heart_failure</w:t>
      </w:r>
      <w:r>
        <w:t xml:space="preserve">, </w:t>
      </w:r>
      <w:r>
        <w:rPr>
          <w:rFonts w:ascii="Consolas" w:hAnsi="Consolas"/>
        </w:rPr>
        <w:t>acute_heart_failure</w:t>
      </w:r>
      <w:r>
        <w:t>,</w:t>
      </w:r>
    </w:p>
    <w:p>
      <w:r>
        <w:t xml:space="preserve">   </w:t>
      </w:r>
      <w:r>
        <w:rPr>
          <w:rFonts w:ascii="Consolas" w:hAnsi="Consolas"/>
        </w:rPr>
        <w:t>chronic_heart_failure</w:t>
      </w:r>
      <w:r>
        <w:t xml:space="preserve">, </w:t>
      </w:r>
      <w:r>
        <w:rPr>
          <w:rFonts w:ascii="Consolas" w:hAnsi="Consolas"/>
        </w:rPr>
        <w:t>cardiorenal_syndrome</w:t>
      </w:r>
      <w:r>
        <w:t xml:space="preserve"> identifiers (previously only BNP-pattern ids).</w:t>
      </w:r>
    </w:p>
    <w:p>
      <w:r>
        <w:rPr>
          <w:b/>
        </w:rPr>
        <w:t>Status.</w:t>
      </w:r>
      <w:r>
        <w:t xml:space="preserve"> Post-hoc. v3 was developed after inspection of eICU-demo outputs (4 index stays and per-group counts</w:t>
      </w:r>
    </w:p>
    <w:p>
      <w:r>
        <w:t>on the 100 B3 stays); eICU-demo recall for v3 is therefore an optimistically biased estimate and is reported</w:t>
      </w:r>
    </w:p>
    <w:p>
      <w:r>
        <w:t>side by side with v1, never in its place. NHANES, UCI thyroid, UCI HCV and ILPD were not inspected when v3 was</w:t>
      </w:r>
    </w:p>
    <w:p>
      <w:r>
        <w:t>designed and remain held-out with respect to ext 6, although the ext 5 changes (Amendment 2) had used them.</w:t>
      </w:r>
    </w:p>
    <w:p>
      <w:r>
        <w:rPr>
          <w:b/>
        </w:rPr>
        <w:t>Regression before release of v3:</w:t>
      </w:r>
      <w:r>
        <w:t xml:space="preserve"> pytest 598 passed (586 + 12 new in </w:t>
      </w:r>
      <w:r>
        <w:rPr>
          <w:rFonts w:ascii="Consolas" w:hAnsi="Consolas"/>
        </w:rPr>
        <w:t>tests/test_esl_ext6_20261021.py</w:t>
      </w:r>
      <w:r>
        <w:t>;</w:t>
      </w:r>
    </w:p>
    <w:p>
      <w:r>
        <w:t>one ext-5 test re-pinned for the female urate tier); engine 50/50; hard 151/151; hard2 124/124; hard3 78/78;</w:t>
      </w:r>
    </w:p>
    <w:p>
      <w:r>
        <w:t xml:space="preserve">adversarial 86/86; healthy sweep 300/300 clean. Freeze: </w:t>
      </w:r>
      <w:r>
        <w:rPr>
          <w:rFonts w:ascii="Consolas" w:hAnsi="Consolas"/>
        </w:rPr>
        <w:t>FREEZE_v3_20261021_sha256.txt</w:t>
      </w:r>
      <w:r>
        <w:t>.</w:t>
      </w:r>
    </w:p>
    <w:p>
      <w:r>
        <w:t>Quick look on the 100 B3 stays (same stays, coded labels incl. non-lab-detectable): recall@5 v1 43.4 % → v3 54.7 %</w:t>
      </w:r>
    </w:p>
    <w:p>
      <w:r>
        <w:t>(LLM 66.0 %); remaining misses are dominated by heart failure without BNP (8/9 absent) and sepsis without</w:t>
      </w:r>
    </w:p>
    <w:p>
      <w:r>
        <w:t>infection markers — categories the labs cannot support.</w:t>
      </w:r>
    </w:p>
    <w:p>
      <w:r>
        <w:rPr>
          <w:b/>
        </w:rPr>
        <w:t>Amendment 3b (same day).</w:t>
      </w:r>
      <w:r>
        <w:t xml:space="preserve"> </w:t>
      </w:r>
      <w:r>
        <w:rPr>
          <w:rFonts w:ascii="Consolas" w:hAnsi="Consolas"/>
        </w:rPr>
        <w:t>eval/patches/esl_ext6b_20261021.py</w:t>
      </w:r>
      <w:r>
        <w:t>: stem-based family dedup in the re-ranking</w:t>
      </w:r>
    </w:p>
    <w:p>
      <w:r>
        <w:t>(severity/acuity prefixes, pattern suffixes) and two Sepsis-3 operational screens at pattern strength</w:t>
      </w:r>
    </w:p>
    <w:p>
      <w:r>
        <w:t>(</w:t>
      </w:r>
      <w:r>
        <w:rPr>
          <w:rFonts w:ascii="Consolas" w:hAnsi="Consolas"/>
        </w:rPr>
        <w:t>sepsis_lactate_organ</w:t>
      </w:r>
      <w:r>
        <w:t xml:space="preserve">, </w:t>
      </w:r>
      <w:r>
        <w:rPr>
          <w:rFonts w:ascii="Consolas" w:hAnsi="Consolas"/>
        </w:rPr>
        <w:t>sepsis_leukocytosis_one_organ</w:t>
      </w:r>
      <w:r>
        <w:t>). Regression unchanged (598 pytest, all batteries 100 %).</w:t>
      </w:r>
    </w:p>
    <w:p>
      <w:r>
        <w:t>Held-out check B4 (60 new stays, LLM answers fixed before engine run): LLM 58.7 % vs v1 50.0 % vs v3 58.7 %.</w:t>
      </w:r>
    </w:p>
    <w:p>
      <w:r>
        <w:rPr>
          <w:b/>
        </w:rPr>
        <w:t>Amendment 3c (same day) — anti-overclaim ceilings.</w:t>
      </w:r>
      <w:r>
        <w:t xml:space="preserve"> </w:t>
      </w:r>
      <w:r>
        <w:rPr>
          <w:rFonts w:ascii="Consolas" w:hAnsi="Consolas"/>
        </w:rPr>
        <w:t>eval/patches/esl_ext6c_20261021.py</w:t>
      </w:r>
      <w:r>
        <w:t>: three dx-less guards</w:t>
      </w:r>
    </w:p>
    <w:p>
      <w:r>
        <w:t>capping entities that laboratory data cannot establish — thyroid storm / thyrotoxic AF without systemic markers</w:t>
      </w:r>
    </w:p>
    <w:p>
      <w:r>
        <w:t>(Burch-Wartofsky), any "shock" label without hypotension or vasopressor context (Sepsis-3), and PE / aortic</w:t>
      </w:r>
    </w:p>
    <w:p>
      <w:r>
        <w:t>dissection / DVT on an isolated D-dimer (ESC 2019) — at 0.40–0.49; ceilings lift when context (</w:t>
      </w:r>
      <w:r>
        <w:rPr>
          <w:rFonts w:ascii="Consolas" w:hAnsi="Consolas"/>
        </w:rPr>
        <w:t>heart_rate</w:t>
      </w:r>
      <w:r>
        <w:t>,</w:t>
      </w:r>
    </w:p>
    <w:p>
      <w:r>
        <w:rPr>
          <w:rFonts w:ascii="Consolas" w:hAnsi="Consolas"/>
        </w:rPr>
        <w:t>systolic_bp</w:t>
      </w:r>
      <w:r>
        <w:t xml:space="preserve">, </w:t>
      </w:r>
      <w:r>
        <w:rPr>
          <w:rFonts w:ascii="Consolas" w:hAnsi="Consolas"/>
        </w:rPr>
        <w:t>vasopressor_required</w:t>
      </w:r>
      <w:r>
        <w:t>, conditions, medications) or corroborating labs are present. New ESL</w:t>
      </w:r>
    </w:p>
    <w:p>
      <w:r>
        <w:t xml:space="preserve">context predicates </w:t>
      </w:r>
      <w:r>
        <w:rPr>
          <w:rFonts w:ascii="Consolas" w:hAnsi="Consolas"/>
        </w:rPr>
        <w:t>attr_true</w:t>
      </w:r>
      <w:r>
        <w:t xml:space="preserve">, </w:t>
      </w:r>
      <w:r>
        <w:rPr>
          <w:rFonts w:ascii="Consolas" w:hAnsi="Consolas"/>
        </w:rPr>
        <w:t>attr_lt</w:t>
      </w:r>
      <w:r>
        <w:t xml:space="preserve">, </w:t>
      </w:r>
      <w:r>
        <w:rPr>
          <w:rFonts w:ascii="Consolas" w:hAnsi="Consolas"/>
        </w:rPr>
        <w:t>attr_gt</w:t>
      </w:r>
      <w:r>
        <w:t>. Regression: 601 pytest, all batteries 100 %.</w:t>
      </w:r>
    </w:p>
    <w:p>
      <w:r>
        <w:rPr>
          <w:b/>
        </w:rPr>
        <w:t>Amendment 3d (same day) — post-hoc fixes after the blind NHANES specificity test (B5).</w:t>
      </w:r>
    </w:p>
    <w:p>
      <w:r>
        <w:rPr>
          <w:rFonts w:ascii="Consolas" w:hAnsi="Consolas"/>
        </w:rPr>
        <w:t>eval/patches/esl_ext6d_20261021.py</w:t>
      </w:r>
      <w:r>
        <w:t xml:space="preserve">: (i) metabolic syndrome accepts only </w:t>
      </w:r>
      <w:r>
        <w:rPr>
          <w:i/>
        </w:rPr>
        <w:t>fasting</w:t>
      </w:r>
      <w:r>
        <w:t xml:space="preserve"> glucose ≥ 100 or A1c ≥ 5.7 as</w:t>
      </w:r>
    </w:p>
    <w:p>
      <w:r>
        <w:t>the third harmonised criterion (random glucose, urate and ALT removed); a two-criteria guard caps it at 0.45</w:t>
      </w:r>
    </w:p>
    <w:p>
      <w:r>
        <w:t xml:space="preserve">without BMI/waist/BP context; (ii) new computed key </w:t>
      </w:r>
      <w:r>
        <w:rPr>
          <w:rFonts w:ascii="Consolas" w:hAnsi="Consolas"/>
        </w:rPr>
        <w:t>egfr_c</w:t>
      </w:r>
      <w:r>
        <w:t xml:space="preserve"> (reported eGFR, else CKD-EPI 2021 from creatinine +</w:t>
      </w:r>
    </w:p>
    <w:p>
      <w:r>
        <w:t>age + sex, adults only) with KDIGO CKD syndromes: G3+ &amp; A2+ (strong), G3b (pattern), G3a + one corroborating</w:t>
      </w:r>
    </w:p>
    <w:p>
      <w:r>
        <w:t xml:space="preserve">marker (pattern); an expert-anchored CKD is no longer capped beneath a prior-driven AKI in </w:t>
      </w:r>
      <w:r>
        <w:rPr>
          <w:rFonts w:ascii="Consolas" w:hAnsi="Consolas"/>
        </w:rPr>
        <w:t>_apply_renal_chronicity</w:t>
      </w:r>
      <w:r>
        <w:t>.</w:t>
      </w:r>
    </w:p>
    <w:p>
      <w:r>
        <w:t>B5 was run with ext 6c first (engine 1/40 false, CKD 9/18); ext 6d results (0/40, 15/18) are therefore **in-sample</w:t>
      </w:r>
    </w:p>
    <w:p>
      <w:r>
        <w:t>for B5** and are reported next to the pre-fix numbers. Regression: 606 pytest, all five batteries 100 %.</w:t>
      </w:r>
    </w:p>
    <w:p>
      <w:r>
        <w:t xml:space="preserve">Test anchors B5–B7 results are in </w:t>
      </w:r>
      <w:r>
        <w:rPr>
          <w:rFonts w:ascii="Consolas" w:hAnsi="Consolas"/>
        </w:rPr>
        <w:t>eval/results/nhanes_2017/</w:t>
      </w:r>
      <w:r>
        <w:t xml:space="preserve"> and </w:t>
      </w:r>
      <w:r>
        <w:rPr>
          <w:rFonts w:ascii="Consolas" w:hAnsi="Consolas"/>
        </w:rPr>
        <w:t>eval/results/eicu_demo/b7_critical_values.md</w:t>
      </w:r>
      <w:r>
        <w:t>; the LLM reader in all of</w:t>
      </w:r>
    </w:p>
    <w:p>
      <w:r>
        <w:t>them is the Arena agent (disclosed).</w:t>
      </w:r>
    </w:p>
    <w:p>
      <w:pPr>
        <w:pStyle w:val="Heading2"/>
      </w:pPr>
      <w:r>
        <w:rPr>
          <w:color w:val="303030"/>
        </w:rPr>
        <w:t>Amendment 4 (2026-10-22) — engine v4 (ESL extension 7/7b) and evaluation-mapping clarification</w:t>
      </w:r>
    </w:p>
    <w:p>
      <w:r>
        <w:rPr>
          <w:b/>
        </w:rPr>
        <w:t>Scope.</w:t>
      </w:r>
      <w:r>
        <w:t xml:space="preserve"> All changes were motivated by inspection of eICU-demo stays 0–1200 (development split) and the NHANES T8 healthy-adult audit; stays 1200–2314 were not inspected before the clean-split check. No parameter was fitted to outcome labels. Fusion weights were </w:t>
      </w:r>
      <w:r>
        <w:rPr>
          <w:i/>
        </w:rPr>
        <w:t>not</w:t>
      </w:r>
      <w:r>
        <w:t xml:space="preserve"> changed: a five-configuration sweep on 300 development stays (</w:t>
      </w:r>
      <w:r>
        <w:rPr>
          <w:rFonts w:ascii="Consolas" w:hAnsi="Consolas"/>
        </w:rPr>
        <w:t>eval/results/run_20261022_v4/weight_sweep_n300.md</w:t>
      </w:r>
      <w:r>
        <w:t>) spanned recall@5 69.6–70.8 % and mean AUROC .841–.845, i.e. the weight vector is not a lever and the pre-specified default was retained.</w:t>
      </w:r>
    </w:p>
    <w:p>
      <w:r>
        <w:rPr>
          <w:b/>
        </w:rPr>
        <w:t>Engine changes (v3 → v4), all guideline-backed and mirrored in `eval/patches/esl_ext7_20261022.py`:</w:t>
      </w:r>
      <w:r>
        <w:t xml:space="preserve"> liver R-ratio requires ALT or ALP above ULN; nephrotic/HHS/DKA definition guards; non-specific-only ceiling (.35); CKD chronicity logic (KDIGO 2024: eGFR &lt;60 with ≥2 chronicity markers or single-value G3b/G4 → CKD listed alongside AKI when chronicity is undetermined; AKI no longer capped beneath an anchored CKD); </w:t>
      </w:r>
      <w:r>
        <w:rPr>
          <w:rFonts w:ascii="Consolas" w:hAnsi="Consolas"/>
        </w:rPr>
        <w:t>ckd_anemia</w:t>
      </w:r>
      <w:r>
        <w:t xml:space="preserve"> requires normocytic indices and excludes rhabdomyolysis/lactic acidosis; fuzzy defining-feature gate for measured-but-normal defining analytes (7b). Regression gate: pytest 620, scripted batteries 489/489, healthy sweep 200 → 0 false assertions.</w:t>
      </w:r>
    </w:p>
    <w:p>
      <w:r>
        <w:rPr>
          <w:b/>
        </w:rPr>
        <w:t>Pre-specified vs post-hoc reporting.</w:t>
      </w:r>
      <w:r>
        <w:t xml:space="preserve"> Paper tables report v1 (frozen 2026-10-21, pre-specified) and v4 side by side on every dataset; v4 numbers on eICU-demo are development-set numbers and are labelled as such. Clean-split delta (stays 1200–1800, not inspected): recall@5 62.6 % → 63.7 %; CKD recall@5 5/26 → 16/26; diabetes 34/68 → 30/68 (displaced from rank 5 by CKD, documented).</w:t>
      </w:r>
    </w:p>
    <w:p>
      <w:r>
        <w:rPr>
          <w:b/>
        </w:rPr>
        <w:t>UCI thyroid H2 mapping.</w:t>
      </w:r>
      <w:r>
        <w:t xml:space="preserve"> The pre-specified positive set for H2 counted every entity whose id contains "hyperthyroid", including </w:t>
      </w:r>
      <w:r>
        <w:rPr>
          <w:rFonts w:ascii="Consolas" w:hAnsi="Consolas"/>
        </w:rPr>
        <w:t>subclinical_hyperthyroidism</w:t>
      </w:r>
      <w:r>
        <w:t xml:space="preserve">. The thyroid0387 classes A–D denote overt hyperthyroidism; suppressed TSH with normal FT4/T3 in "no comment" records is therefore scored as a false positive under that mapping. H2 is retained unchanged; an additional row </w:t>
      </w:r>
      <w:r>
        <w:rPr>
          <w:b/>
        </w:rPr>
        <w:t>H2c (overt entities only)</w:t>
      </w:r>
      <w:r>
        <w:t xml:space="preserve"> is reported, with the subclinical-rate shown separately as a label-semantics note. The v1 archive (</w:t>
      </w:r>
      <w:r>
        <w:rPr>
          <w:rFonts w:ascii="Consolas" w:hAnsi="Consolas"/>
        </w:rPr>
        <w:t>eval/results/frozen_v1_20261021/</w:t>
      </w:r>
      <w:r>
        <w:t xml:space="preserve">) stores only </w:t>
      </w:r>
      <w:r>
        <w:rPr>
          <w:rFonts w:ascii="Consolas" w:hAnsi="Consolas"/>
        </w:rPr>
        <w:t>top3</w:t>
      </w:r>
      <w:r>
        <w:t xml:space="preserve"> per record, so v1 H2c is approximated from </w:t>
      </w:r>
      <w:r>
        <w:rPr>
          <w:rFonts w:ascii="Consolas" w:hAnsi="Consolas"/>
        </w:rPr>
        <w:t>top3</w:t>
      </w:r>
      <w:r>
        <w:t xml:space="preserve"> and flagged as such.</w:t>
      </w:r>
    </w:p>
    <w:p>
      <w:pPr>
        <w:pStyle w:val="Heading2"/>
      </w:pPr>
      <w:r>
        <w:rPr>
          <w:color w:val="303030"/>
        </w:rPr>
        <w:t>Amendment 5 (2026-10-22) — structured error audit and subgroup analysis (added post hoc, taxonomy fixed before execution)</w:t>
      </w:r>
    </w:p>
    <w:p>
      <w:r>
        <w:rPr>
          <w:b/>
        </w:rPr>
        <w:t>Error audit.</w:t>
      </w:r>
      <w:r>
        <w:t xml:space="preserve"> Population = all (stay, clinician-listed group) pairs on eICU-CRD demo with the key analyte measured and the group absent from the top-5. Sample = 200 pairs, </w:t>
      </w:r>
      <w:r>
        <w:rPr>
          <w:rFonts w:ascii="Consolas" w:hAnsi="Consolas"/>
        </w:rPr>
        <w:t>random.Random(20261022)</w:t>
      </w:r>
      <w:r>
        <w:t xml:space="preserve">. Taxonomy (deterministic, coded in </w:t>
      </w:r>
      <w:r>
        <w:rPr>
          <w:rFonts w:ascii="Consolas" w:hAnsi="Consolas"/>
        </w:rPr>
        <w:t>eval/error_audit.py</w:t>
      </w:r>
      <w:r>
        <w:t>, written before the first run and not changed after seeing results): A no laboratory signature (SAP guideline thresholds per group); B listed with p ≥ 0.5, rank 6–25; C1 signature present, entity absent; C2 signature present, entity present with p &lt; 0.5; D synonymous entity in top-5 not in SAP id list (reported, never credited). Run on v3 (ext6c) outputs and repeated unchanged on v4 outputs.</w:t>
      </w:r>
    </w:p>
    <w:p>
      <w:r>
        <w:rPr>
          <w:b/>
        </w:rPr>
        <w:t>Subgroups (TRIPOD+AI 19).</w:t>
      </w:r>
      <w:r>
        <w:t xml:space="preserve"> Strata: sex, age band (&lt;45, 45–64, 65–79, ≥80), eICU </w:t>
      </w:r>
      <w:r>
        <w:rPr>
          <w:rFonts w:ascii="Consolas" w:hAnsi="Consolas"/>
        </w:rPr>
        <w:t>ethnicity</w:t>
      </w:r>
      <w:r>
        <w:t xml:space="preserve">, </w:t>
      </w:r>
      <w:r>
        <w:rPr>
          <w:rFonts w:ascii="Consolas" w:hAnsi="Consolas"/>
        </w:rPr>
        <w:t>unittype</w:t>
      </w:r>
      <w:r>
        <w:t xml:space="preserve">, hospital (top 8), panel size (≤10, 11–20, &gt;20 analytes). Metrics: pooled recall@5 (1,000 stay-level bootstrap CI), recall@10, chart support at p ≥ 0.7, AUROC for the four largest groups. A stratum with ≥ 40 stays deviating by &gt; 10 percentage points in recall@5 is flagged and discussed; no stratum-specific tuning is permitted. Script </w:t>
      </w:r>
      <w:r>
        <w:rPr>
          <w:rFonts w:ascii="Consolas" w:hAnsi="Consolas"/>
        </w:rPr>
        <w:t>eval/subgroup_fairness.py</w:t>
      </w:r>
      <w:r>
        <w:t>.</w:t>
      </w:r>
    </w:p>
    <w:p>
      <w:pPr>
        <w:pStyle w:val="Heading2"/>
      </w:pPr>
      <w:r>
        <w:rPr>
          <w:color w:val="303030"/>
        </w:rPr>
        <w:t>Amendment 6 (2026-10-22) — next-test layer (ESL extension 8) and the next-test-utility metric (post hoc, exploratory)</w:t>
      </w:r>
    </w:p>
    <w:p>
      <w:r>
        <w:t xml:space="preserve">Motivation: 60 % of top-5 misses carry no laboratory signature of the listed condition (Amendment 5, category A). For those, a laboratory-only engine should name the test that would settle the question rather than guess. Extension 8 adds a cited confirmatory-test library (SSC 2021, ADA 2024, KDIGO 2012/2024, ESC HF 2021, BSH, ISTH, ACG 2017/2024, Spasovski 2014, Fourth UDMI) keyed by entities already in the differential plus one value-level trigger (random glucose 140–199 mg/dL → HbA1c). It changes no probability or ranking. Metric: among category-A misses whose discriminating test is distinct from the measured key analyte, the proportion for which </w:t>
      </w:r>
      <w:r>
        <w:rPr>
          <w:rFonts w:ascii="Consolas" w:hAnsi="Consolas"/>
        </w:rPr>
        <w:t>next_tests</w:t>
      </w:r>
      <w:r>
        <w:t xml:space="preserve"> or per-entity </w:t>
      </w:r>
      <w:r>
        <w:rPr>
          <w:rFonts w:ascii="Consolas" w:hAnsi="Consolas"/>
        </w:rPr>
        <w:t>recommended_tests</w:t>
      </w:r>
      <w:r>
        <w:t xml:space="preserve"> names that test. Reported as exploratory; not part of the pre-specified endpoints.</w:t>
      </w:r>
    </w:p>
    <w:p>
      <w:pPr>
        <w:pStyle w:val="Heading2"/>
      </w:pPr>
      <w:r>
        <w:rPr>
          <w:color w:val="303030"/>
        </w:rPr>
        <w:t>Amendment 7 (2026-10-23) — ranking-hygiene layer (ESL ext 9) and scoring-map synonyms</w:t>
      </w:r>
    </w:p>
    <w:p>
      <w:r>
        <w:rPr>
          <w:i/>
        </w:rPr>
        <w:t>Post hoc, after the v4 error audit.</w:t>
      </w:r>
      <w:r>
        <w:t xml:space="preserve"> (1) Engine: three display-order rules (synonym families; aetiology-beneath-finding when its confirmatory marker is unmeasured and it does not out-score the finding; organising-diagnosis precedence for creatinine-defined renal failure, DKA and HHS) — probabilities and all threshold-based metrics (AUROC, sensitivity/specificity at 0.5, calibration) are unchanged by construction; only rank-based metrics (recall@k) can move. (2) Scoring map: </w:t>
      </w:r>
      <w:r>
        <w:rPr>
          <w:rFonts w:ascii="Consolas" w:hAnsi="Consolas"/>
        </w:rPr>
        <w:t>alcoholic_liver_disease</w:t>
      </w:r>
      <w:r>
        <w:t xml:space="preserve">, </w:t>
      </w:r>
      <w:r>
        <w:rPr>
          <w:rFonts w:ascii="Consolas" w:hAnsi="Consolas"/>
        </w:rPr>
        <w:t>alcoholic_liver_pattern</w:t>
      </w:r>
      <w:r>
        <w:t xml:space="preserve"> (alcohol / cirrhosis groups) and </w:t>
      </w:r>
      <w:r>
        <w:rPr>
          <w:rFonts w:ascii="Consolas" w:hAnsi="Consolas"/>
        </w:rPr>
        <w:t>septic_shock_support_pattern</w:t>
      </w:r>
      <w:r>
        <w:t xml:space="preserve">, </w:t>
      </w:r>
      <w:r>
        <w:rPr>
          <w:rFonts w:ascii="Consolas" w:hAnsi="Consolas"/>
        </w:rPr>
        <w:t>septic_shock_severe_lactic_acidosis</w:t>
      </w:r>
      <w:r>
        <w:t xml:space="preserve"> (sepsis) added as synonyms found in the D-category audit. Frozen v1/v3/v4 result files are not re-scored; v5 is reported alongside them. Pre-registered v1 remains the primary analysis.</w:t>
      </w:r>
    </w:p>
    <w:p>
      <w:pPr>
        <w:pStyle w:val="Heading2"/>
      </w:pPr>
      <w:r>
        <w:rPr>
          <w:color w:val="303030"/>
        </w:rPr>
        <w:t>Amendment 8 (2026-10-23) — two additional eICU input arms (ESL extension 11: temporal module and clinical-context layer)</w:t>
      </w:r>
    </w:p>
    <w:p>
      <w:r>
        <w:rPr>
          <w:i/>
        </w:rPr>
        <w:t>Post hoc; added after the v5.1 scorecard. The primary labs-only protocol (Section 4) is unchanged and remains the headline result.</w:t>
      </w:r>
    </w:p>
    <w:p>
      <w:r>
        <w:rPr>
          <w:b/>
        </w:rPr>
        <w:t>Motivation.</w:t>
      </w:r>
      <w:r>
        <w:t xml:space="preserve"> 67 % of residual top-5 misses on eICU v5.1 are category A (no laboratory signature of the listed condition); the two largest remediable sources are (i) chronicity / trajectory information discarded by the "first value per analyte" protocol and (ii) documented comorbidity that the labs-only arm never sees.</w:t>
      </w:r>
    </w:p>
    <w:p>
      <w:r>
        <w:rPr>
          <w:b/>
        </w:rPr>
        <w:t>Engine (ext 11, optional, inert when the data are absent).</w:t>
      </w:r>
      <w:r>
        <w:t xml:space="preserve"> (T) An observation may carry </w:t>
      </w:r>
      <w:r>
        <w:rPr>
          <w:rFonts w:ascii="Consolas" w:hAnsi="Consolas"/>
        </w:rPr>
        <w:t>series: [{t_hours, value}]</w:t>
      </w:r>
      <w:r>
        <w:t xml:space="preserve">; the ESL reduces each series to trajectory keys and ten constellations implement KDIGO 2012 dynamic AKI criteria (≥ 0.3 mg/dL / 48 h or ≥ 1.5×, with peak ≥ 1.0 mg/dL), 4th-UDMI acute (≥ 20 %/≥ 50 % delta with a value &gt; 99th percentile) vs chronic (flat) myocardial injury, lactate clearance (Jones 2010), Hb fall ≥ 2 g/dL / 24 h, &gt; 50 % platelet fall (HIT only with documented heparin; DIC with a coagulation abnormality), and the ESE 2014 sodium over-correction warning (guard, no diagnosis). (C) </w:t>
      </w:r>
      <w:r>
        <w:rPr>
          <w:rFonts w:ascii="Consolas" w:hAnsi="Consolas"/>
        </w:rPr>
        <w:t>known_conditions</w:t>
      </w:r>
      <w:r>
        <w:t xml:space="preserve"> / </w:t>
      </w:r>
      <w:r>
        <w:rPr>
          <w:rFonts w:ascii="Consolas" w:hAnsi="Consolas"/>
        </w:rPr>
        <w:t>current_medications</w:t>
      </w:r>
      <w:r>
        <w:t xml:space="preserve"> map to registry entities by a fixed, conservative phrase table; a documented diagnosis with laboratory support on the panel is listed as established (0.80), without support at 0.49 (</w:t>
      </w:r>
      <w:r>
        <w:rPr>
          <w:rFonts w:ascii="Consolas" w:hAnsi="Consolas"/>
        </w:rPr>
        <w:t>documented_history</w:t>
      </w:r>
      <w:r>
        <w:t>, below the operating point); documented CKD resolves renal chronicity; warfarin, metformin and statin constellations are ordinary ESL entries gated on the medication. No prior is injected.</w:t>
      </w:r>
    </w:p>
    <w:p>
      <w:r>
        <w:rPr>
          <w:b/>
        </w:rPr>
        <w:t>Evaluation arms (eICU-CRD demo, same 2,314 stays, same labels, same scoring map).</w:t>
      </w:r>
      <w:r>
        <w:t xml:space="preserve"> Arm A = labs only (primary). Arm B = labs + </w:t>
      </w:r>
      <w:r>
        <w:rPr>
          <w:rFonts w:ascii="Consolas" w:hAnsi="Consolas"/>
        </w:rPr>
        <w:t>pastHistory</w:t>
      </w:r>
      <w:r>
        <w:t xml:space="preserve"> (all entries except "Performed"/"Not Obtainable"/"No Health Problems", organ-system path retained) + </w:t>
      </w:r>
      <w:r>
        <w:rPr>
          <w:rFonts w:ascii="Consolas" w:hAnsi="Consolas"/>
        </w:rPr>
        <w:t>medication</w:t>
      </w:r>
      <w:r>
        <w:t xml:space="preserve"> rows with </w:t>
      </w:r>
      <w:r>
        <w:rPr>
          <w:rFonts w:ascii="Consolas" w:hAnsi="Consolas"/>
        </w:rPr>
        <w:t>drugstartoffset ≤ 0</w:t>
      </w:r>
      <w:r>
        <w:t xml:space="preserve"> (started at or before ICU admission). </w:t>
      </w:r>
      <w:r>
        <w:rPr>
          <w:rFonts w:ascii="Consolas" w:hAnsi="Consolas"/>
        </w:rPr>
        <w:t>admissionDx</w:t>
      </w:r>
      <w:r>
        <w:t xml:space="preserve"> is excluded as label leakage. Arm C = labs + all values of each analyte within −6 h…+24 h as a series (scalar = first value, as in Arm A). Arm B+C combined.</w:t>
      </w:r>
    </w:p>
    <w:p>
      <w:r>
        <w:rPr>
          <w:b/>
        </w:rPr>
        <w:t>Pre-specified reporting for Arm B.</w:t>
      </w:r>
      <w:r>
        <w:t xml:space="preserve"> Recall is reported separately for labels whose group is already </w:t>
      </w:r>
      <w:r>
        <w:rPr>
          <w:i/>
        </w:rPr>
        <w:t>named</w:t>
      </w:r>
      <w:r>
        <w:t xml:space="preserve"> in the supplied history/medications (context echo) and for labels that are not; only the latter is interpretable as diagnostic gain. For Arm C the count of stays with ≥ 1 series and the firing count per temporal constellation are reported.</w:t>
      </w:r>
    </w:p>
    <w:p>
      <w:r>
        <w:rPr>
          <w:b/>
        </w:rPr>
        <w:t>Outputs.</w:t>
      </w:r>
      <w:r>
        <w:t xml:space="preserve"> </w:t>
      </w:r>
      <w:r>
        <w:rPr>
          <w:rFonts w:ascii="Consolas" w:hAnsi="Consolas"/>
        </w:rPr>
        <w:t>eval/results/run_20261023_v5/eicu_report_v5_2_{ctx,tmp,ctx_tmp}.md</w:t>
      </w:r>
      <w:r>
        <w:t xml:space="preserve">, per-stay JSONs, </w:t>
      </w:r>
      <w:r>
        <w:rPr>
          <w:rFonts w:ascii="Consolas" w:hAnsi="Consolas"/>
        </w:rPr>
        <w:t>gate_ext11.txt</w:t>
      </w:r>
      <w:r>
        <w:t xml:space="preserve">; tests </w:t>
      </w:r>
      <w:r>
        <w:rPr>
          <w:rFonts w:ascii="Consolas" w:hAnsi="Consolas"/>
        </w:rPr>
        <w:t>tests/test_esl_ext11_20261023.py</w:t>
      </w:r>
      <w:r>
        <w:t xml:space="preserve"> (22); patcher </w:t>
      </w:r>
      <w:r>
        <w:rPr>
          <w:rFonts w:ascii="Consolas" w:hAnsi="Consolas"/>
        </w:rPr>
        <w:t>eval/patches/esl_ext11_20261023.py</w:t>
      </w:r>
      <w:r>
        <w:t>.</w:t>
      </w:r>
    </w:p>
    <w:p>
      <w:pPr>
        <w:pStyle w:val="Heading2"/>
      </w:pPr>
      <w:r>
        <w:rPr>
          <w:color w:val="303030"/>
        </w:rPr>
        <w:t>Amendment 9 (2026-10-23) — reporting additions, label-map audit, human-validation instruments, provenance inputs</w:t>
      </w:r>
    </w:p>
    <w:p>
      <w:r>
        <w:rPr>
          <w:i/>
        </w:rPr>
        <w:t>Post hoc additions motivated by the literature review of CDSS-vs-LLM comparisons (Riches 2024/2025; Bhasuran 2025; Bond 2012). None changes the primary endpoint or the label map used for v5.x.</w:t>
      </w:r>
    </w:p>
    <w:p>
      <w:r>
        <w:t xml:space="preserve">1. </w:t>
      </w:r>
      <w:r>
        <w:rPr>
          <w:b/>
        </w:rPr>
        <w:t>Rank-based secondary metrics</w:t>
      </w:r>
      <w:r>
        <w:t xml:space="preserve"> for the blinded LLM comparison: recall@1/3/10, mean reciprocal rank, rank-bin distribution, "not listed" rate; bootstrap CI of the MRR difference (</w:t>
      </w:r>
      <w:r>
        <w:rPr>
          <w:rFonts w:ascii="Consolas" w:hAnsi="Consolas"/>
        </w:rPr>
        <w:t>eval/baselines/b8_rank_metrics.py</w:t>
      </w:r>
      <w:r>
        <w:t xml:space="preserve"> → </w:t>
      </w:r>
      <w:r>
        <w:rPr>
          <w:rFonts w:ascii="Consolas" w:hAnsi="Consolas"/>
        </w:rPr>
        <w:t>rank_metrics_n400.md</w:t>
      </w:r>
      <w:r>
        <w:t>). Pre-specified interpretation: recall@5 remains primary; recall@10 and "absent" structurally favour the engine (25 vs 10 slots) and are reported with that caveat.</w:t>
      </w:r>
    </w:p>
    <w:p>
      <w:r>
        <w:t xml:space="preserve">2. </w:t>
      </w:r>
      <w:r>
        <w:rPr>
          <w:b/>
        </w:rPr>
        <w:t>LLM test–retest</w:t>
      </w:r>
      <w:r>
        <w:t>: 40 of the 240 B8 panels (seed 20261024) re-read blind by the same agent model class; agreement reported as label-level κ, Jaccard of top-5 group sets, Spearman ρ of shared group ranks. Engine determinism is reported as 100 % by construction (byte-identical per-stay files across freezes).</w:t>
      </w:r>
    </w:p>
    <w:p>
      <w:r>
        <w:t xml:space="preserve">3. </w:t>
      </w:r>
      <w:r>
        <w:rPr>
          <w:b/>
        </w:rPr>
        <w:t>Label-map audit</w:t>
      </w:r>
      <w:r>
        <w:t xml:space="preserve"> (</w:t>
      </w:r>
      <w:r>
        <w:rPr>
          <w:rFonts w:ascii="Consolas" w:hAnsi="Consolas"/>
        </w:rPr>
        <w:t>eval/results/eicu_demo/label_audit_n100.md</w:t>
      </w:r>
      <w:r>
        <w:t xml:space="preserve">): 100 random held-out stays, 3,100 stay×group cells; study regex vs a deliberately liberal second coder; all 23 disagreements adjudicated by reading the diagnosis strings. Result: 0 false-positive labels, 2 definite misses (sensitivity 98.7 %), 2 ambiguous. The two missed patterns ("hematological effect of infection|thrombocytopenia", "drug withdrawal|alcohol withdrawal") are </w:t>
      </w:r>
      <w:r>
        <w:rPr>
          <w:b/>
        </w:rPr>
        <w:t>not</w:t>
      </w:r>
      <w:r>
        <w:t xml:space="preserve"> changed for v5.2 so that all v5.x arms share one map; they are scheduled for the next protocol version.</w:t>
      </w:r>
    </w:p>
    <w:p>
      <w:r>
        <w:t xml:space="preserve">4. </w:t>
      </w:r>
      <w:r>
        <w:rPr>
          <w:b/>
        </w:rPr>
        <w:t>Human-validation instruments</w:t>
      </w:r>
      <w:r>
        <w:t xml:space="preserve"> (to be completed by an independent physician; results reported whatever they show): Form A1 — 100 executable rules, 60 from the operational set (186 diseases surfaced in any eICU top-5) + 40 from the whole registry, stratified by rule type, 3-level verdict + severity A–D; error rate with Wilson CI by stratum. Form B1 — the same 40 B8 panels as item 2, read blind with labs + age/sex only, ≤10 ranked diagnoses, scored with the identical keyword map → three-arm physician/LLM/engine comparison. Files in </w:t>
      </w:r>
      <w:r>
        <w:rPr>
          <w:rFonts w:ascii="Consolas" w:hAnsi="Consolas"/>
        </w:rPr>
        <w:t>eval/human/</w:t>
      </w:r>
      <w:r>
        <w:t xml:space="preserve">; scorer </w:t>
      </w:r>
      <w:r>
        <w:rPr>
          <w:rFonts w:ascii="Consolas" w:hAnsi="Consolas"/>
        </w:rPr>
        <w:t>eval/human/score_forms.py</w:t>
      </w:r>
      <w:r>
        <w:t>.</w:t>
      </w:r>
    </w:p>
    <w:p>
      <w:r>
        <w:t xml:space="preserve">5. </w:t>
      </w:r>
      <w:r>
        <w:rPr>
          <w:b/>
        </w:rPr>
        <w:t>Participant flow</w:t>
      </w:r>
      <w:r>
        <w:t xml:space="preserve"> (TRIPOD+AI 14) regenerated from raw files: </w:t>
      </w:r>
      <w:r>
        <w:rPr>
          <w:rFonts w:ascii="Consolas" w:hAnsi="Consolas"/>
        </w:rPr>
        <w:t>supplement/TABLE_S1_cohort_flow.md</w:t>
      </w:r>
      <w:r>
        <w:t xml:space="preserve">, </w:t>
      </w:r>
      <w:r>
        <w:rPr>
          <w:rFonts w:ascii="Consolas" w:hAnsi="Consolas"/>
        </w:rPr>
        <w:t>figures/figS1_participant_flow.png</w:t>
      </w:r>
      <w:r>
        <w:t>. eICU: 2,520 stays → 2,512 adults → 2,314 with ≥8 mapped analytes; 2,707 coded labels of which 2,432 scorable.</w:t>
      </w:r>
    </w:p>
    <w:p>
      <w:r>
        <w:t xml:space="preserve">6. </w:t>
      </w:r>
      <w:r>
        <w:rPr>
          <w:b/>
        </w:rPr>
        <w:t>Input provenance</w:t>
      </w:r>
      <w:r>
        <w:t>: OCR-detected specimen flags (haemolysis / lipaemia / icterus, clotted, recollect; EN+FA with negation handling), specimen type, collection time and smear-morphology comments are now extracted (</w:t>
      </w:r>
      <w:r>
        <w:rPr>
          <w:rFonts w:ascii="Consolas" w:hAnsi="Consolas"/>
        </w:rPr>
        <w:t>ocr.detect_preanalytical</w:t>
      </w:r>
      <w:r>
        <w:t xml:space="preserve">) and passed to the engine's existing </w:t>
      </w:r>
      <w:r>
        <w:rPr>
          <w:rFonts w:ascii="Consolas" w:hAnsi="Consolas"/>
        </w:rPr>
        <w:t>preanalytical_gate</w:t>
      </w:r>
      <w:r>
        <w:t xml:space="preserve"> through the clinical context (</w:t>
      </w:r>
      <w:r>
        <w:rPr>
          <w:rFonts w:ascii="Consolas" w:hAnsi="Consolas"/>
        </w:rPr>
        <w:t>AnalysisService._merge_preanalytical</w:t>
      </w:r>
      <w:r>
        <w:t xml:space="preserve">); clinician entries override. Covered by </w:t>
      </w:r>
      <w:r>
        <w:rPr>
          <w:rFonts w:ascii="Consolas" w:hAnsi="Consolas"/>
        </w:rPr>
        <w:t>tests/test_preanalytical_provenance.py</w:t>
      </w:r>
      <w:r>
        <w:t xml:space="preserve"> (9 tests). This affects the application path only; evaluation cohorts carry no specimen flags, so no evaluation number changes. Documented in </w:t>
      </w:r>
      <w:r>
        <w:rPr>
          <w:rFonts w:ascii="Consolas" w:hAnsi="Consolas"/>
        </w:rPr>
        <w:t>supplement/INPUT_SCHEMA_v1.md</w:t>
      </w:r>
      <w:r>
        <w:t>.</w:t>
      </w:r>
    </w:p>
    <w:p>
      <w:r>
        <w:t xml:space="preserve">7. </w:t>
      </w:r>
      <w:r>
        <w:rPr>
          <w:b/>
        </w:rPr>
        <w:t>Engineering</w:t>
      </w:r>
      <w:r>
        <w:t xml:space="preserve">: </w:t>
      </w:r>
      <w:r>
        <w:rPr>
          <w:rFonts w:ascii="Consolas" w:hAnsi="Consolas"/>
        </w:rPr>
        <w:t>eval_eicu.py</w:t>
      </w:r>
      <w:r>
        <w:t xml:space="preserve"> now checkpoints every 200 stays and resumes (deterministic engine → identical results); Sepsis-2019 subsample fetched in 10 resumable parts.</w:t>
      </w:r>
    </w:p>
    <w:p>
      <w:r>
        <w:t xml:space="preserve">8. </w:t>
      </w:r>
      <w:r>
        <w:rPr>
          <w:b/>
        </w:rPr>
        <w:t>External case-vignette probe (B6, exploratory, pre-specified key)</w:t>
      </w:r>
      <w:r>
        <w:t xml:space="preserve">: the 50 PMC-Patients case reports of Bhasuran et al. (npj Digit Med 2025;8:159; GitHub </w:t>
      </w:r>
      <w:r>
        <w:rPr>
          <w:rFonts w:ascii="Consolas" w:hAnsi="Consolas"/>
        </w:rPr>
        <w:t>balubhasuran/DDx_CaseReports</w:t>
      </w:r>
      <w:r>
        <w:t xml:space="preserve">, ESM </w:t>
      </w:r>
      <w:r>
        <w:rPr>
          <w:rFonts w:ascii="Consolas" w:hAnsi="Consolas"/>
        </w:rPr>
        <w:t>sd_1.xlsx</w:t>
      </w:r>
      <w:r>
        <w:t>). Only the "Lab Tests" paragraph plus age/sex is given to the engine; the Symptoms and Case Report columns are never used. Scoring key (</w:t>
      </w:r>
      <w:r>
        <w:rPr>
          <w:rFonts w:ascii="Consolas" w:hAnsi="Consolas"/>
        </w:rPr>
        <w:t>eval/realdata/pmc_cases/scoring_key_prespecified.json</w:t>
      </w:r>
      <w:r>
        <w:t xml:space="preserve">) was written per case </w:t>
      </w:r>
      <w:r>
        <w:rPr>
          <w:b/>
        </w:rPr>
        <w:t>before</w:t>
      </w:r>
      <w:r>
        <w:t xml:space="preserve"> any run: </w:t>
      </w:r>
      <w:r>
        <w:rPr>
          <w:i/>
        </w:rPr>
        <w:t>specific</w:t>
      </w:r>
      <w:r>
        <w:t xml:space="preserve"> = the published final diagnosis; </w:t>
      </w:r>
      <w:r>
        <w:rPr>
          <w:i/>
        </w:rPr>
        <w:t>syndrome</w:t>
      </w:r>
      <w:r>
        <w:t xml:space="preserve"> = the laboratory syndrome that contains it; </w:t>
      </w:r>
      <w:r>
        <w:rPr>
          <w:rFonts w:ascii="Consolas" w:hAnsi="Consolas"/>
        </w:rPr>
        <w:t>lab_detectable=false</w:t>
      </w:r>
      <w:r>
        <w:t xml:space="preserve"> for 3 cases (thallium poisoning, AMAN-GBS, lymphomatoid papulosis). Two arms, same key: (a) </w:t>
      </w:r>
      <w:r>
        <w:rPr>
          <w:b/>
        </w:rPr>
        <w:t>parser arm</w:t>
      </w:r>
      <w:r>
        <w:t xml:space="preserve">, free text → Hemoglyph prose parser → engine, no human in the loop; (b) </w:t>
      </w:r>
      <w:r>
        <w:rPr>
          <w:b/>
        </w:rPr>
        <w:t>manual arm</w:t>
      </w:r>
      <w:r>
        <w:t>, the author transcribed each paragraph into analyte/value/unit before seeing engine output (</w:t>
      </w:r>
      <w:r>
        <w:rPr>
          <w:rFonts w:ascii="Consolas" w:hAnsi="Consolas"/>
        </w:rPr>
        <w:t>panel_overrides.json</w:t>
      </w:r>
      <w:r>
        <w:t xml:space="preserve">, every imputation flagged in </w:t>
      </w:r>
      <w:r>
        <w:rPr>
          <w:rFonts w:ascii="Consolas" w:hAnsi="Consolas"/>
        </w:rPr>
        <w:t>_note</w:t>
      </w:r>
      <w:r>
        <w:t>; 2 cases have 0 numeric analytes and are scored as misses). Results (</w:t>
      </w:r>
      <w:r>
        <w:rPr>
          <w:rFonts w:ascii="Consolas" w:hAnsi="Consolas"/>
        </w:rPr>
        <w:t>eval/results/pmc_cases/report.md</w:t>
      </w:r>
      <w:r>
        <w:t xml:space="preserve">): parser arm, all 50 — specific top‑1/5/10 = 2/10/12 %, syndrome 28/44/46 %; manual arm — specific 16/26/26 %, syndrome </w:t>
      </w:r>
      <w:r>
        <w:rPr>
          <w:b/>
        </w:rPr>
        <w:t>40/68/70 %</w:t>
      </w:r>
      <w:r>
        <w:t xml:space="preserve"> (lab‑detectable n=47: 43/72/72 %). Pre-specified interpretation: the manual arm bounds what the laboratory paragraph alone carries; the parser arm shows that the application's prose parser (built for tabular reports) is the weakest link on narrative input, not the reasoning engine. The published GPT‑4 figures on the same 50 cases (top‑1 60 %, top‑5 81 %, top‑10 83 %) used the </w:t>
      </w:r>
      <w:r>
        <w:rPr>
          <w:b/>
        </w:rPr>
        <w:t>full vignette</w:t>
      </w:r>
      <w:r>
        <w:t xml:space="preserve"> with lenient clinician scoring and are reported as context, not as a head‑to‑head comparison. Error-audit items opened from this probe: </w:t>
      </w:r>
      <w:r>
        <w:rPr>
          <w:rFonts w:ascii="Consolas" w:hAnsi="Consolas"/>
        </w:rPr>
        <w:t>ebola</w:t>
      </w:r>
      <w:r>
        <w:t>/</w:t>
      </w:r>
      <w:r>
        <w:rPr>
          <w:rFonts w:ascii="Consolas" w:hAnsi="Consolas"/>
        </w:rPr>
        <w:t>lassa_fever</w:t>
      </w:r>
      <w:r>
        <w:t xml:space="preserve"> surfacing in top‑3 of two mild-transaminitis cases with negative viral serology (33365209, 30235756); apixaban INR 27 case (35844332) not mapped to an anticoagulant-effect syndrome (no drug context given); DILI entity never surfaces without drug context (expected by design — drug exposure is a context field, see Amendment 8).</w:t>
      </w:r>
    </w:p>
    <w:p>
      <w:pPr>
        <w:pStyle w:val="Heading2"/>
      </w:pPr>
      <w:r>
        <w:rPr>
          <w:color w:val="303030"/>
        </w:rPr>
        <w:t>Amendment 10 (2026-10-23) — registry patch 13.2.0: pathogen-specific entities gated on exposure context</w:t>
      </w:r>
    </w:p>
    <w:p>
      <w:r>
        <w:rPr>
          <w:b/>
        </w:rPr>
        <w:t>Trigger.</w:t>
      </w:r>
      <w:r>
        <w:t xml:space="preserve"> B6 error audit (Amendment 9, item 8): </w:t>
      </w:r>
      <w:r>
        <w:rPr>
          <w:rFonts w:ascii="Consolas" w:hAnsi="Consolas"/>
        </w:rPr>
        <w:t>ebola</w:t>
      </w:r>
      <w:r>
        <w:t xml:space="preserve"> and </w:t>
      </w:r>
      <w:r>
        <w:rPr>
          <w:rFonts w:ascii="Consolas" w:hAnsi="Consolas"/>
        </w:rPr>
        <w:t>lassa_fever</w:t>
      </w:r>
      <w:r>
        <w:t xml:space="preserve"> in the top-3 of two mild-transaminitis vignettes with negative viral serology. Root cause: their only proposing rules were AST &gt; 40 / ALT &gt; 50 (/ platelets &lt; 150), weight 0.3 — demoted in registry passes 9.3/9.4 but still surfacing whenever competition is thin. A registry scan (</w:t>
      </w:r>
      <w:r>
        <w:rPr>
          <w:rFonts w:ascii="Consolas" w:hAnsi="Consolas"/>
        </w:rPr>
        <w:t>eval/patches/registry_v13_2_0_exposure_gate.py</w:t>
      </w:r>
      <w:r>
        <w:t xml:space="preserve">, </w:t>
      </w:r>
      <w:r>
        <w:rPr>
          <w:rFonts w:ascii="Consolas" w:hAnsi="Consolas"/>
        </w:rPr>
        <w:t>ROUTINE</w:t>
      </w:r>
      <w:r>
        <w:t xml:space="preserve"> set) found </w:t>
      </w:r>
      <w:r>
        <w:rPr>
          <w:b/>
        </w:rPr>
        <w:t>76 infectious clinical entities whose screening/diagnostic rules use only routine chemistry/CBC analytes</w:t>
      </w:r>
      <w:r>
        <w:t xml:space="preserve"> — the same defect class.</w:t>
      </w:r>
    </w:p>
    <w:p>
      <w:r>
        <w:rPr>
          <w:b/>
        </w:rPr>
        <w:t>Change (registry content only; `analyse_gidlines.py` untouched).</w:t>
      </w:r>
      <w:r>
        <w:t xml:space="preserve"> (i) 53 pathogen-specific entities (viral haemorrhagic fevers, rickettsioses, zoonoses, helminths, endemic mycoses, organism-named bacterial infections): every leaf of their routine-only proposing rules gains </w:t>
      </w:r>
      <w:r>
        <w:rPr>
          <w:rFonts w:ascii="Consolas" w:hAnsi="Consolas"/>
        </w:rPr>
        <w:t>context: {exposure_history: true}</w:t>
      </w:r>
      <w:r>
        <w:t xml:space="preserve"> (135 rules). Through the engine's existing context mechanism the rule is </w:t>
      </w:r>
      <w:r>
        <w:rPr>
          <w:i/>
        </w:rPr>
        <w:t>unknown</w:t>
      </w:r>
      <w:r>
        <w:t xml:space="preserve"> (not proposing) unless the clinician supplies </w:t>
      </w:r>
      <w:r>
        <w:rPr>
          <w:rFonts w:ascii="Consolas" w:hAnsi="Consolas"/>
        </w:rPr>
        <w:t>exposure_history: true</w:t>
      </w:r>
      <w:r>
        <w:t xml:space="preserve"> (travel / vector / animal / outbreak / occupational exposure) — a new optional context field documented in </w:t>
      </w:r>
      <w:r>
        <w:rPr>
          <w:rFonts w:ascii="Consolas" w:hAnsi="Consolas"/>
        </w:rPr>
        <w:t>INPUT_SCHEMA_v1.md</w:t>
      </w:r>
      <w:r>
        <w:t>. (ii) 9 "*_pattern" entities whose only rule was CRP: rule retired (</w:t>
      </w:r>
      <w:r>
        <w:rPr>
          <w:rFonts w:ascii="Consolas" w:hAnsi="Consolas"/>
        </w:rPr>
        <w:t>retired_v13_2_nonspecific_single_marker</w:t>
      </w:r>
      <w:r>
        <w:t xml:space="preserve">). (iii) 23 qualitative-positive specific-marker rules added where the feature registry already had an unambiguous test (PCR / antigen / IgM / culture → diagnostic_criterion weight 6; IgG-only serology or KOH → screening weight 3, </w:t>
      </w:r>
      <w:r>
        <w:rPr>
          <w:rFonts w:ascii="Consolas" w:hAnsi="Consolas"/>
        </w:rPr>
        <w:t>diagnosis_allowed: false</w:t>
      </w:r>
      <w:r>
        <w:t>); no numeric threshold invented. Syndromic entities (sepsis patterns, pneumonia, cellulitis, osteomyelitis, cholangitis, gastroenteritis, tuberculosis) and ESL-driven, engine-guarded entities (leptospirosis, scrub typhus, PCP) are not gated.</w:t>
      </w:r>
    </w:p>
    <w:p>
      <w:r>
        <w:rPr>
          <w:b/>
        </w:rPr>
        <w:t>Pre-activation verification</w:t>
      </w:r>
      <w:r>
        <w:t xml:space="preserve"> (</w:t>
      </w:r>
      <w:r>
        <w:rPr>
          <w:rFonts w:ascii="Consolas" w:hAnsi="Consolas"/>
        </w:rPr>
        <w:t>eval/patches/test_registry_v13_2_0.py</w:t>
      </w:r>
      <w:r>
        <w:t xml:space="preserve"> → </w:t>
      </w:r>
      <w:r>
        <w:rPr>
          <w:rFonts w:ascii="Consolas" w:hAnsi="Consolas"/>
        </w:rPr>
        <w:t>eval/patches/cand/test_registry_v13_2_0.md</w:t>
      </w:r>
      <w:r>
        <w:t xml:space="preserve">; </w:t>
      </w:r>
      <w:r>
        <w:rPr>
          <w:rFonts w:ascii="Consolas" w:hAnsi="Consolas"/>
        </w:rPr>
        <w:t>tests/test_registry_v13_2_exposure_gate.py</w:t>
      </w:r>
      <w:r>
        <w:t xml:space="preserve">, 5 tests): target vignettes clean; gate opens with </w:t>
      </w:r>
      <w:r>
        <w:rPr>
          <w:rFonts w:ascii="Consolas" w:hAnsi="Consolas"/>
        </w:rPr>
        <w:t>exposure_history: true</w:t>
      </w:r>
      <w:r>
        <w:t xml:space="preserve">; hantavirus IgM still proposes hantavirus at rank 2; healthy panel empty; </w:t>
      </w:r>
      <w:r>
        <w:rPr>
          <w:b/>
        </w:rPr>
        <w:t>B8 240 blind panels: recall@5 293/456 before and after, 0 label-level changes</w:t>
      </w:r>
      <w:r>
        <w:t>; PMC manual arm 34/50 before and after, 0 rank changes; pathogen entities in any eICU/PMC top-10 after patch: 0 (one legitimate strongyloidiasis with IgE 3770 + eosinophilia remains).</w:t>
      </w:r>
    </w:p>
    <w:p>
      <w:r>
        <w:rPr>
          <w:b/>
        </w:rPr>
        <w:t>Activation rule.</w:t>
      </w:r>
      <w:r>
        <w:t xml:space="preserve"> The patch is </w:t>
      </w:r>
      <w:r>
        <w:rPr>
          <w:b/>
        </w:rPr>
        <w:t>not</w:t>
      </w:r>
      <w:r>
        <w:t xml:space="preserve"> applied while the v5.2 three-arm eICU chain is running (all v5.x arms must share registry 13.1.0). It is applied immediately after </w:t>
      </w:r>
      <w:r>
        <w:rPr>
          <w:rFonts w:ascii="Consolas" w:hAnsi="Consolas"/>
        </w:rPr>
        <w:t>FREEZE_v5.2</w:t>
      </w:r>
      <w:r>
        <w:t xml:space="preserve"> is written, becomes registry 13.2.0, and the affected evaluations are re-run as v5.3 with the 13.2.0 hash in a separate freeze file; the paper reports v5.2 (13.1.0) as primary and v5.3 as the post-audit correction, with this amendment cited. This is the first worked example of the "errors found by audit are corrected in the next registry release with a changelog" policy stated in the Limitations.</w:t>
      </w:r>
    </w:p>
    <w:p>
      <w:pPr>
        <w:pStyle w:val="Heading2"/>
      </w:pPr>
      <w:r>
        <w:rPr>
          <w:color w:val="303030"/>
        </w:rPr>
        <w:t>Amendment 11 (2026-10-23) — pre-registered findings from the v5.2 context-arm review and sex-gap anatomy</w:t>
      </w:r>
    </w:p>
    <w:p>
      <w:r>
        <w:t xml:space="preserve">Source: </w:t>
      </w:r>
      <w:r>
        <w:rPr>
          <w:rFonts w:ascii="Consolas" w:hAnsi="Consolas"/>
        </w:rPr>
        <w:t>eval/results/eicu_demo/deep_review_20261023.md</w:t>
      </w:r>
      <w:r>
        <w:t>, written before the v5.2 freeze; no code or registry changed.</w:t>
      </w:r>
    </w:p>
    <w:p>
      <w:r>
        <w:t xml:space="preserve">1. </w:t>
      </w:r>
      <w:r>
        <w:rPr>
          <w:b/>
        </w:rPr>
        <w:t>Context arm is largely a context echo.</w:t>
      </w:r>
      <w:r>
        <w:t xml:space="preserve"> Same labels, ctx vs labs-only: NOT named in history (n=2,467) +0.9 points recall@5; named in history (n=240) +23.3 points. Documented-only entries consume ranking slots and reduce recall for AKI (−5.0), hyperkalaemia (−6.1), coagulopathy (−6.1). </w:t>
      </w:r>
      <w:r>
        <w:rPr>
          <w:b/>
        </w:rPr>
        <w:t>Reporting rule:</w:t>
      </w:r>
      <w:r>
        <w:t xml:space="preserve"> the context arm's headline number in the paper is recall@5 on NOT-named labels; the all-label number is given with the echo decomposition. </w:t>
      </w:r>
      <w:r>
        <w:rPr>
          <w:b/>
        </w:rPr>
        <w:t>v5.3 design change (pre-registered):</w:t>
      </w:r>
      <w:r>
        <w:t xml:space="preserve"> </w:t>
      </w:r>
      <w:r>
        <w:rPr>
          <w:rFonts w:ascii="Consolas" w:hAnsi="Consolas"/>
        </w:rPr>
        <w:t>listed_documented</w:t>
      </w:r>
      <w:r>
        <w:t xml:space="preserve"> entities are shown in a separate "documented problems" block and excluded from the ranked differential that recall@k is computed on.</w:t>
      </w:r>
    </w:p>
    <w:p>
      <w:r>
        <w:t xml:space="preserve">2. </w:t>
      </w:r>
      <w:r>
        <w:rPr>
          <w:b/>
        </w:rPr>
        <w:t>Sex gap is within-group, not case-mix.</w:t>
      </w:r>
      <w:r>
        <w:t xml:space="preserve"> Direct standardisation: female label mix at male per-group rates = 57.9 % vs observed 55.7 % (male 58.5 %). Largest female deficits: AKI −14, GI bleeding −13, AMI −12, renal impairment −9 points. Root cause located in the registry: AKI screening uses creatinine &gt; 1.3 mg/dL for all sexes while the feature registry carries sex-specific ranges (F 0.5–1.1); troponin I has a single cut-off (0.04 ng/mL) without sex-specific 99th percentiles. </w:t>
      </w:r>
      <w:r>
        <w:rPr>
          <w:b/>
        </w:rPr>
        <w:t>v13.3 corrections (pre-registered):</w:t>
      </w:r>
      <w:r>
        <w:t xml:space="preserve"> sex-specific creatinine thresholds in AKI/CKD screening rules; sex-specific troponin limits for hs-assays (ESC 2020 / 4th UDMI); before/after reported on the same frozen cohorts and in the fairness table.</w:t>
      </w:r>
    </w:p>
    <w:p>
      <w:r>
        <w:t xml:space="preserve">3. </w:t>
      </w:r>
      <w:r>
        <w:rPr>
          <w:b/>
        </w:rPr>
        <w:t>Mislabelled rule class:</w:t>
      </w:r>
      <w:r>
        <w:t xml:space="preserve"> </w:t>
      </w:r>
      <w:r>
        <w:rPr>
          <w:rFonts w:ascii="Consolas" w:hAnsi="Consolas"/>
        </w:rPr>
        <w:t>acute_myocardial_infarction</w:t>
      </w:r>
      <w:r>
        <w:t xml:space="preserve"> carries risk-factor rules (total cholesterol ≥ 200, LDL ≥ 115, hs-CRP &gt; 3) typed as screening for an acute event. These will be re-homed to risk entities in v13.3 and are added to the A1 physician audit sample as a "wrong entity" exemplar.</w:t>
      </w:r>
    </w:p>
    <w:p>
      <w:pPr>
        <w:pStyle w:val="Heading2"/>
      </w:pPr>
      <w:r>
        <w:rPr>
          <w:color w:val="303030"/>
        </w:rPr>
        <w:t>Amendment 12 (2026-10-23) — registry patch 13.3.0: systematic defect-class repair (pre-registered before any evaluation on the patched registry)</w:t>
      </w:r>
    </w:p>
    <w:p>
      <w:r>
        <w:rPr>
          <w:b/>
        </w:rPr>
        <w:t>Trigger.</w:t>
      </w:r>
      <w:r>
        <w:t xml:space="preserve"> A read-only defect scanner (</w:t>
      </w:r>
      <w:r>
        <w:rPr>
          <w:rFonts w:ascii="Consolas" w:hAnsi="Consolas"/>
        </w:rPr>
        <w:t>eval/registry_defect_scan.py</w:t>
      </w:r>
      <w:r>
        <w:t xml:space="preserve">, ten classes D1–D10) was run on registry 13.1.0 (34,005 executable rules, 6,750 entities) after the Amendment-11 review. Output: </w:t>
      </w:r>
      <w:r>
        <w:rPr>
          <w:rFonts w:ascii="Consolas" w:hAnsi="Consolas"/>
        </w:rPr>
        <w:t>eval/results/registry_defect_scan_13.1.0.md/.json</w:t>
      </w:r>
      <w:r>
        <w:t>.</w:t>
      </w:r>
    </w:p>
    <w:p>
      <w:r>
        <w:rPr>
          <w:b/>
        </w:rPr>
        <w:t>Findings (13.1.0, after manual triage of scanner output).</w:t>
      </w:r>
      <w:r>
        <w:t xml:space="preserve"> D1 sex-blind thresholds on sex-dimorphic analytes: 800 flagged, of which 197 rules carried </w:t>
      </w:r>
      <w:r>
        <w:rPr>
          <w:rFonts w:ascii="Consolas" w:hAnsi="Consolas"/>
        </w:rPr>
        <w:t>_male_</w:t>
      </w:r>
      <w:r>
        <w:t>/</w:t>
      </w:r>
      <w:r>
        <w:rPr>
          <w:rFonts w:ascii="Consolas" w:hAnsi="Consolas"/>
        </w:rPr>
        <w:t>_female_</w:t>
      </w:r>
      <w:r>
        <w:t xml:space="preserve"> in their id but </w:t>
      </w:r>
      <w:r>
        <w:rPr>
          <w:rFonts w:ascii="Consolas" w:hAnsi="Consolas"/>
        </w:rPr>
        <w:t>population.sex = all</w:t>
      </w:r>
      <w:r>
        <w:t xml:space="preserve">, and ≈350 proposing rules on creatinine/Hb/Hct/RBC/ALT/AST/urate used the male or mixed limit for both sexes (ferritin and serum iron flags are false positives: WHO cut-offs are sex-independent). D2 unit/scale: hs-troponin I/T leaves declared in ng/mL with values 14–50 (ng/L values mislabelled; 67 leaves) and 13 sperm-morphology leaves &gt; 100 %. D3: six risk-factor rules (lipids, hs-CRP) typed as screening for acute entities (AMI ×3, ischaemic stroke, acute pericarditis ×2). D5: 100 etiologic clinical entities proposable from routine analytes alone, of which 63 are non-syndromic (sarcomas, lymphomas, vasculitides, ALS, aortic dissection, upper-respiratory infections, 30+ infections not covered by 13.2.0) and 18 are genuine laboratory syndromes kept unchanged (DIC, TMA, warfarin over-anticoagulation, biliary obstruction, cholecystitis, contrast nephropathy, kwashiorkor, NEC, GSD-1, hypophosphatasia, lymphangiectasia, chylomicronaemia, pyloric stenosis, PROM, biliary atresia, hypothermia, heat stroke, pattern 026). D7: 511 rules applied adult thresholds (creatinine ≥ 1.0, Hb ≤ 11, ALP ≥ 130, bilirubin ≥ 1.2, eGFR ≤ 60, urate ≥ 6) to neonates/infants. D8: 57 single-routine-analyte diagnostic rules on clinical entities claimed </w:t>
      </w:r>
      <w:r>
        <w:rPr>
          <w:rFonts w:ascii="Consolas" w:hAnsi="Consolas"/>
        </w:rPr>
        <w:t>specificity: specific</w:t>
      </w:r>
      <w:r>
        <w:t xml:space="preserve"> (e.g. procalcitonin → appendicitis). D4/D6/D9/D10 (impossible values, undefined features, dangling sources, single-analyte diagnosis_allowed): 0.</w:t>
      </w:r>
    </w:p>
    <w:p>
      <w:r>
        <w:rPr>
          <w:b/>
        </w:rPr>
        <w:t>Repair (`eval/patches/registry_v13_3_0_quality.py`, stacked on the 13.2.0 candidate; registry content only, engine untouched).</w:t>
      </w:r>
      <w:r>
        <w:t xml:space="preserve"> D1a: </w:t>
      </w:r>
      <w:r>
        <w:rPr>
          <w:rFonts w:ascii="Consolas" w:hAnsi="Consolas"/>
        </w:rPr>
        <w:t>population.sex</w:t>
      </w:r>
      <w:r>
        <w:t xml:space="preserve"> set from the rule id (197). D1b: 350 rules split into a male rule (original threshold) and a female rule </w:t>
      </w:r>
      <w:r>
        <w:rPr>
          <w:rFonts w:ascii="Consolas" w:hAnsi="Consolas"/>
        </w:rPr>
        <w:t>&lt;id&gt;_f13_3</w:t>
      </w:r>
      <w:r>
        <w:t xml:space="preserve"> whose threshold is the female reference limit from the feature registry (Tietz/KDIGO/WHO) when the original equalled the male limit, otherwise scaled by the limit ratio; urate thresholds &lt; 7.0 (solubility limit 6.8) are not split; with sex unknown both variants are evaluated (the more sensitive one governs — documented behaviour). D2: 67 troponin leaves relabelled ng/L; 13 sperm-morphology rules retired. D3: six rules re-homed to </w:t>
      </w:r>
      <w:r>
        <w:rPr>
          <w:rFonts w:ascii="Consolas" w:hAnsi="Consolas"/>
        </w:rPr>
        <w:t>atherosclerotic_cardiovascular_risk_lipid_pattern</w:t>
      </w:r>
      <w:r>
        <w:t xml:space="preserve"> as non-specific screening, </w:t>
      </w:r>
      <w:r>
        <w:rPr>
          <w:rFonts w:ascii="Consolas" w:hAnsi="Consolas"/>
        </w:rPr>
        <w:t>diagnosis_allowed: false</w:t>
      </w:r>
      <w:r>
        <w:t xml:space="preserve">. D5: 63 entities gated — infectious ones on </w:t>
      </w:r>
      <w:r>
        <w:rPr>
          <w:rFonts w:ascii="Consolas" w:hAnsi="Consolas"/>
        </w:rPr>
        <w:t>exposure_history: true</w:t>
      </w:r>
      <w:r>
        <w:t xml:space="preserve">, all others on a new optional context key </w:t>
      </w:r>
      <w:r>
        <w:rPr>
          <w:rFonts w:ascii="Consolas" w:hAnsi="Consolas"/>
        </w:rPr>
        <w:t>clinical_suspicion: true</w:t>
      </w:r>
      <w:r>
        <w:t xml:space="preserve"> (same engine mechanism; entity is never proposed from routine analytes without it). D7: neonate/infant (and child for ALP) removed from the population of 511 rules; no paediatric thresholds invented; neonatal entities untouched. D8: 57 rules downgraded to </w:t>
      </w:r>
      <w:r>
        <w:rPr>
          <w:rFonts w:ascii="Consolas" w:hAnsi="Consolas"/>
        </w:rPr>
        <w:t>non_specific</w:t>
      </w:r>
      <w:r>
        <w:t xml:space="preserve">, </w:t>
      </w:r>
      <w:r>
        <w:rPr>
          <w:rFonts w:ascii="Consolas" w:hAnsi="Consolas"/>
        </w:rPr>
        <w:t>diagnosis_allowed: false</w:t>
      </w:r>
      <w:r>
        <w:t>. Executable rules after patch: 34,356 (+350 female variants, −13 retired).</w:t>
      </w:r>
    </w:p>
    <w:p>
      <w:r>
        <w:rPr>
          <w:b/>
        </w:rPr>
        <w:t>Verification.</w:t>
      </w:r>
      <w:r>
        <w:t xml:space="preserve"> Scanner re-run on the candidate: D3/D4/D6/D7/D8/D9/D10 = 0; D1 residue = ferritin/iron (documented), staging/component rules and one dengue Hct warning-sign rule; D5 residue = the KEEP list exactly. Structural tests </w:t>
      </w:r>
      <w:r>
        <w:rPr>
          <w:rFonts w:ascii="Consolas" w:hAnsi="Consolas"/>
        </w:rPr>
        <w:t>tests/test_registry_v13_3_quality.py</w:t>
      </w:r>
      <w:r>
        <w:t xml:space="preserve"> (9) pass. Functional regression (</w:t>
      </w:r>
      <w:r>
        <w:rPr>
          <w:rFonts w:ascii="Consolas" w:hAnsi="Consolas"/>
        </w:rPr>
        <w:t>eval/patches/test_registry_v13_3_0.py</w:t>
      </w:r>
      <w:r>
        <w:t xml:space="preserve">, B8 240 panels and PMC manual arm, plus sex-specific probes) is reported in </w:t>
      </w:r>
      <w:r>
        <w:rPr>
          <w:rFonts w:ascii="Consolas" w:hAnsi="Consolas"/>
        </w:rPr>
        <w:t>eval/patches/cand/test_registry_v13_3_0.md</w:t>
      </w:r>
      <w:r>
        <w:t>.</w:t>
      </w:r>
    </w:p>
    <w:p>
      <w:r>
        <w:rPr>
          <w:b/>
        </w:rPr>
        <w:t>Pre-registered expectations and reporting rule.</w:t>
      </w:r>
      <w:r>
        <w:t xml:space="preserve"> 13.2.0 + 13.3.0 are activated together after the v5.2 freeze and produce v5.3. Primary pre-registered hypotheses: (H1) female−male recall@5 gap on the eICU held-out cohort narrows from −2.8 points (v5.1) to within ±1.5; (H2) no decrease &gt; 1 point in overall recall@5; (H3) B8 recall@5 ≥ 293/456 − 5. v5.3 is reported next to v5.2 on the same cohort with per-group deltas; failure of H2/H3 leads to reverting the specific class responsible, not to silent re-tuning. The residual limitation stands: the repair was AI-executed from reference-range tables, logged per rule, and remains subject to the A1 physician audit.</w:t>
      </w:r>
    </w:p>
    <w:p>
      <w:r>
        <w:rPr>
          <w:b/>
        </w:rPr>
        <w:t>Amendment 12, addendum (same day, second scanner wave, before any v5.3 evaluation).</w:t>
      </w:r>
      <w:r>
        <w:t xml:space="preserve"> Four further classes were found and folded into the same 13.3.0 candidate: D12 — 282 rules applied adult creatinine/eGFR/ALP thresholds to the </w:t>
      </w:r>
      <w:r>
        <w:rPr>
          <w:i/>
        </w:rPr>
        <w:t>child</w:t>
      </w:r>
      <w:r>
        <w:t xml:space="preserve"> age group (child creatinine ULN ≈ 0.3–0.7 mg/dL; CKD-EPI is adult-only): child removed from their population. D13 — 6 exact duplicate executable rules (same entity, type and expression; evidence counted twice): older copy retired. </w:t>
      </w:r>
      <w:r>
        <w:rPr>
          <w:b/>
        </w:rPr>
        <w:t>D17 — domain-template broadcast:</w:t>
      </w:r>
      <w:r>
        <w:t xml:space="preserve"> five haematology screening rules (platelets ≥ 450, Hb &lt; 13, platelets &lt; 100, ferritin &lt; 15, TSAT &lt; 20) had been attached to </w:t>
      </w:r>
      <w:r>
        <w:rPr>
          <w:i/>
        </w:rPr>
        <w:t>every</w:t>
      </w:r>
      <w:r>
        <w:t xml:space="preserve"> haematology entity (195 entities, including thrombophilias, haemophilia, PE/DVT, ITP, polycythaemia), six endocrine screens (low/high fT4, hypo/hyper-TSH, glucose &lt; 55, morning cortisol) to all 31 endocrine entities (e.g. PCOS, Paget's, pheochromocytoma) and three renal screens to 24–36 renal entities; 940 of these 1,192 rules were retired using a per-template compatibility pattern recorded in </w:t>
      </w:r>
      <w:r>
        <w:rPr>
          <w:rFonts w:ascii="Consolas" w:hAnsi="Consolas"/>
        </w:rPr>
        <w:t>TEMPLATE_COMPAT</w:t>
      </w:r>
      <w:r>
        <w:t xml:space="preserve"> (kept only where the analyte change is part of the entity's known laboratory picture). </w:t>
      </w:r>
      <w:r>
        <w:rPr>
          <w:b/>
        </w:rPr>
        <w:t>D18 — placeholder entities:</w:t>
      </w:r>
      <w:r>
        <w:t xml:space="preserve"> 90 entities named "Expanded laboratory pattern 001–090" carry no clinical identity (templated rules plus one "analyte &gt; 0" rule); all their rules were retired and the entities flagged </w:t>
      </w:r>
      <w:r>
        <w:rPr>
          <w:rFonts w:ascii="Consolas" w:hAnsi="Consolas"/>
        </w:rPr>
        <w:t>placeholder_retired_v13_3_0</w:t>
      </w:r>
      <w:r>
        <w:t xml:space="preserve">. Consequently the registry entity count quoted in the manuscript (6,750) must be reported as 6,660 clinically named entities (+90 retired placeholders), and a number of alias entities (e.g. </w:t>
      </w:r>
      <w:r>
        <w:rPr>
          <w:rFonts w:ascii="Consolas" w:hAnsi="Consolas"/>
        </w:rPr>
        <w:t>acute_myeloid_leukemia</w:t>
      </w:r>
      <w:r>
        <w:t xml:space="preserve"> / </w:t>
      </w:r>
      <w:r>
        <w:rPr>
          <w:rFonts w:ascii="Consolas" w:hAnsi="Consolas"/>
        </w:rPr>
        <w:t>acute_myeloid_leukemia_aml</w:t>
      </w:r>
      <w:r>
        <w:t xml:space="preserve">) are now gated on </w:t>
      </w:r>
      <w:r>
        <w:rPr>
          <w:rFonts w:ascii="Consolas" w:hAnsi="Consolas"/>
        </w:rPr>
        <w:t>clinical_suspicion</w:t>
      </w:r>
      <w:r>
        <w:t xml:space="preserve"> because their only remaining rules are routine-analyte templates (D5 re-run after D17: 87 entities gated in total). Executable rules after the full patch: 33,230 (from 34,005). The pre-registered hypotheses H1–H3 above apply unchanged; D17 is the class most likely to move overall recall and is therefore reported separately (ablation: 13.3.0 with and without D17) if H2 fails.</w:t>
      </w:r>
    </w:p>
    <w:p>
      <w:r>
        <w:rPr>
          <w:b/>
        </w:rPr>
        <w:t>Amendment 12, activation record (2026-10-23 21:03–21:25 UTC).</w:t>
      </w:r>
      <w:r>
        <w:t xml:space="preserve"> Activation requires copying the candidate to </w:t>
      </w:r>
      <w:r>
        <w:rPr>
          <w:i/>
        </w:rPr>
        <w:t>both</w:t>
      </w:r>
      <w:r>
        <w:t xml:space="preserve"> </w:t>
      </w:r>
      <w:r>
        <w:rPr>
          <w:rFonts w:ascii="Consolas" w:hAnsi="Consolas"/>
        </w:rPr>
        <w:t>HEMOGLYPH_GUIDELINE_REGISTRY.json.br</w:t>
      </w:r>
      <w:r>
        <w:t xml:space="preserve"> and the engine default </w:t>
      </w:r>
      <w:r>
        <w:rPr>
          <w:rFonts w:ascii="Consolas" w:hAnsi="Consolas"/>
        </w:rPr>
        <w:t>HEMOGLYPH_DISEASE_GUIDELINE_REGISTRY.json.br</w:t>
      </w:r>
      <w:r>
        <w:t>; the first attempt updated only the former, so the runs produced 19:43–21:00 UTC are void (</w:t>
      </w:r>
      <w:r>
        <w:rPr>
          <w:rFonts w:ascii="Consolas" w:hAnsi="Consolas"/>
        </w:rPr>
        <w:t>run_20261023_v53/invalid_ran_on_13_1_0/</w:t>
      </w:r>
      <w:r>
        <w:t>). Two corrections were made on the real 13.3.0 gate, both recorded here before any held-out result was examined: (i) D8 had wrongly downgraded single-analyte diagnostic rules of laboratory-finding entities (</w:t>
      </w:r>
      <w:r>
        <w:rPr>
          <w:rFonts w:ascii="Consolas" w:hAnsi="Consolas"/>
        </w:rPr>
        <w:t>*_pattern</w:t>
      </w:r>
      <w:r>
        <w:t xml:space="preserve">, -emia/-penia/-cytosis/-uria) — e.g. </w:t>
      </w:r>
      <w:r>
        <w:rPr>
          <w:rFonts w:ascii="Consolas" w:hAnsi="Consolas"/>
        </w:rPr>
        <w:t>hypertriglyceridemia_pattern</w:t>
      </w:r>
      <w:r>
        <w:t xml:space="preserve"> — which the engine merges into the parent entity; D8 now excludes finding entities (57 → 12 downgrades) and the engine battery returned to 50/50. (ii) </w:t>
      </w:r>
      <w:r>
        <w:rPr>
          <w:rFonts w:ascii="Consolas" w:hAnsi="Consolas"/>
        </w:rPr>
        <w:t>test_profound_neutropenia_named_and_cultures_requested</w:t>
      </w:r>
      <w:r>
        <w:t xml:space="preserve"> previously required </w:t>
      </w:r>
      <w:r>
        <w:rPr>
          <w:rFonts w:ascii="Consolas" w:hAnsi="Consolas"/>
        </w:rPr>
        <w:t>severe_neutropenia</w:t>
      </w:r>
      <w:r>
        <w:t xml:space="preserve"> at rank 1 for a pancytopenic panel (WBC 0.2, platelets 19, Hb 6.7); that rank depended on the D17 template rules (Hb &lt; 13, platelets &lt; 100 voting for neutropenia entities), which are clinically unjustified. The test now requires severe_neutropenia within the top 4 with p ≥ 0.6 plus cultures/lactate in next tests; the ranking among three co-true findings is reported as a known behavioural change, not corrected by re-adding rules.</w:t>
      </w:r>
    </w:p>
    <w:p>
      <w:pPr>
        <w:pStyle w:val="Heading2"/>
      </w:pPr>
      <w:r>
        <w:rPr>
          <w:color w:val="303030"/>
        </w:rPr>
        <w:t>Amendment 13 (2026-10-24, 11:40 UTC) — POST-HOC concurrent-diagnosis analysis of Sepsis-2019 (declared after the pre-registered result was known)</w:t>
      </w:r>
    </w:p>
    <w:p>
      <w:r>
        <w:rPr>
          <w:b/>
        </w:rPr>
        <w:t>Status.</w:t>
      </w:r>
      <w:r>
        <w:t xml:space="preserve"> Exploratory. The pre-registered Sepsis-2019 analysis (prediction of Sepsis-3 onset at any hour from the first-24-h laboratory panel; </w:t>
      </w:r>
      <w:r>
        <w:rPr>
          <w:rFonts w:ascii="Consolas" w:hAnsi="Consolas"/>
        </w:rPr>
        <w:t>eval/realdata/eval_sepsis2019.py</w:t>
      </w:r>
      <w:r>
        <w:t xml:space="preserve">) was run on registry 13.3.0 and gave AUROC 0.593 (0.570–0.617) against a supervised logistic baseline of 0.689. </w:t>
      </w:r>
      <w:r>
        <w:rPr>
          <w:b/>
        </w:rPr>
        <w:t>That result is final and is reported unchanged in the main text.</w:t>
      </w:r>
      <w:r>
        <w:t xml:space="preserve"> This amendment adds a second analysis of the same file that matches the task the engine was designed for (recognition of a concurrent diagnosis, as in eICU) and tests the optional vital-signs context; it was written and dated </w:t>
      </w:r>
      <w:r>
        <w:rPr>
          <w:i/>
        </w:rPr>
        <w:t>before</w:t>
      </w:r>
      <w:r>
        <w:t xml:space="preserve"> the new analysis was run, but </w:t>
      </w:r>
      <w:r>
        <w:rPr>
          <w:i/>
        </w:rPr>
        <w:t>after</w:t>
      </w:r>
      <w:r>
        <w:t xml:space="preserve"> the pre-registered result was known, and is therefore labelled post-hoc wherever it is reported.</w:t>
      </w:r>
    </w:p>
    <w:p>
      <w:r>
        <w:rPr>
          <w:b/>
        </w:rPr>
        <w:t>Design (fixed; engine and registry unchanged — registry 13.3.0 is loaded explicitly although 13.4.2 is live).</w:t>
      </w:r>
      <w:r>
        <w:t xml:space="preserve"> Cases: all sepsis patients; window ICULOS ∈ [t_L, t_L + 12] where t_L is the first labelled hour (the challenge label precedes clinical onset by 6 h, so the window is ≈ onset − 6 … + 6 h). Controls: 1,500 non-sepsis patients drawn with seed 20261024, each given a 12-h window whose start is drawn (same seed) from the empirical distribution of case t_L and clipped to the stay, so ICU dwell time is matched. Inclusion ≥ 3 laboratory analytes in the window (vitals and temperature do not count). Arm A: labs + temperature (as pre-registered). Arm B: labs + HR, SBP, MAP, respiratory rate, temperature as observations and as patient context. Score, metrics, bootstrap and supervised baseline exactly as in the pre-registered analysis; baseline B adds the vitals.</w:t>
      </w:r>
    </w:p>
    <w:p>
      <w:r>
        <w:rPr>
          <w:b/>
        </w:rPr>
        <w:t>Pre-stated interpretation rules.</w:t>
      </w:r>
      <w:r>
        <w:t xml:space="preserve"> (i) Neither arm replaces the pre-registered number; both are tabulated with it. (ii) An engine AUROC in arm A of ≥ 0.70 would support the claim that the 0.59 reflects the prediction framing rather than an inability to recognise the septic panel; &lt; 0.65 would indicate the engine's sepsis group is genuinely weak and this is stated in Limitations. (iii) Arm B − arm A is reported as the contribution of vital signs; no threshold is attached because the context module is optional. (iv) Known biases stated with the result: label-anchored windows are not operational; cases are sampled more densely around onset (the ≥ 3-lab filter retains a larger share of cases than controls); Sepsis-3 labels are themselves algorithmic.</w:t>
      </w:r>
    </w:p>
    <w:p>
      <w:r>
        <w:rPr>
          <w:b/>
        </w:rPr>
        <w:t>Outputs.</w:t>
      </w:r>
      <w:r>
        <w:t xml:space="preserve"> </w:t>
      </w:r>
      <w:r>
        <w:rPr>
          <w:rFonts w:ascii="Consolas" w:hAnsi="Consolas"/>
        </w:rPr>
        <w:t>eval/results/sepsis2019/concurrent_report.md</w:t>
      </w:r>
      <w:r>
        <w:t xml:space="preserve">, </w:t>
      </w:r>
      <w:r>
        <w:rPr>
          <w:rFonts w:ascii="Consolas" w:hAnsi="Consolas"/>
        </w:rPr>
        <w:t>concurrent_summary.json</w:t>
      </w:r>
      <w:r>
        <w:t xml:space="preserve">, </w:t>
      </w:r>
      <w:r>
        <w:rPr>
          <w:rFonts w:ascii="Consolas" w:hAnsi="Consolas"/>
        </w:rPr>
        <w:t>concurrent_per_patient.json</w:t>
      </w:r>
      <w:r>
        <w:t>; reported in the Supplement (Table S-Sepsis) and one sentence of the Results paragraph, flagged post-hoc.</w:t>
      </w:r>
    </w:p>
    <w:p>
      <w:r>
        <w:rPr>
          <w:b/>
        </w:rPr>
        <w:t>Outcome (recorded 2026-10-24 after execution).</w:t>
      </w:r>
      <w:r>
        <w:t xml:space="preserve"> 388 cases / 772 controls. Arm A AUROC 0.534 (0.508–0.561); arm B 0.534 (identical in all 1,160 windows — no 13.3.0 sepsis rule consumes vital signs); logistic baseline 0.667 / 0.703; recall@5 21.6 %; flag rate 14.8 %. Rule (iii) applies: &lt; 0.65 → the laboratory-only sepsis group is genuinely weak on real ICU data; stated in Results and Limitations; Supplementary Table S12. Mechanism: no PCT/CRP in the file, lactate in 37 % / 22 % of windows, sepsis probability 0 in 74 % of cases. No rule or weight changed.</w:t>
      </w:r>
    </w:p>
    <w:p>
      <w:r>
        <w:t>---</w:t>
      </w:r>
    </w:p>
    <w:p>
      <w:pPr>
        <w:pStyle w:val="Heading2"/>
      </w:pPr>
      <w:r>
        <w:rPr>
          <w:color w:val="303030"/>
        </w:rPr>
        <w:t>Amendment 14 — Registry 14.0 / engine v6 development with a quarantined external validation (dated 2026-10-24, written BEFORE any change)</w:t>
      </w:r>
    </w:p>
    <w:p>
      <w:r>
        <w:rPr>
          <w:b/>
        </w:rPr>
        <w:t>Why.</w:t>
      </w:r>
      <w:r>
        <w:t xml:space="preserve"> Pre-registered and post-hoc analyses (Amendments 1–13) exposed four mechanistic weaknesses: (a) laboratory findings displace causal diagnoses from the top ranks; (b) the sepsis group is anchored on PCT/CRP and ignores clinical signs; (c) CKD is asserted from a single creatinine (KDIGO requires chronicity); (d) </w:t>
      </w:r>
      <w:r>
        <w:rPr>
          <w:rFonts w:ascii="Consolas" w:hAnsi="Consolas"/>
        </w:rPr>
        <w:t>all</w:t>
      </w:r>
      <w:r>
        <w:t xml:space="preserve">-type criteria are silenced by one unmeasured analyte. We now fix these </w:t>
      </w:r>
      <w:r>
        <w:rPr>
          <w:b/>
        </w:rPr>
        <w:t>by design, from guideline sources</w:t>
      </w:r>
      <w:r>
        <w:t>, not by fitting to outcomes.</w:t>
      </w:r>
    </w:p>
    <w:p>
      <w:r>
        <w:rPr>
          <w:b/>
        </w:rPr>
        <w:t>Data roles (fixed now).</w:t>
      </w:r>
      <w:r>
        <w:t xml:space="preserve"> </w:t>
      </w:r>
      <w:r>
        <w:rPr>
          <w:i/>
        </w:rPr>
        <w:t>Development (may be inspected freely):</w:t>
      </w:r>
      <w:r>
        <w:t xml:space="preserve"> eICU-CRD demo, Sepsis-2019 set A, NHANES 2017–18 (J), the existing PMC case set, UCI/ILPD. </w:t>
      </w:r>
      <w:r>
        <w:rPr>
          <w:i/>
        </w:rPr>
        <w:t>Quarantined validation (`eval/quarantine/`, not opened by any script or person until FREEZE_v14):</w:t>
      </w:r>
      <w:r>
        <w:t xml:space="preserve"> Sepsis-2019 </w:t>
      </w:r>
      <w:r>
        <w:rPr>
          <w:b/>
        </w:rPr>
        <w:t>set B (hospital B)</w:t>
      </w:r>
      <w:r>
        <w:t xml:space="preserve">, NHANES </w:t>
      </w:r>
      <w:r>
        <w:rPr>
          <w:b/>
        </w:rPr>
        <w:t>2013–14 (H)</w:t>
      </w:r>
      <w:r>
        <w:t xml:space="preserve">, </w:t>
      </w:r>
      <w:r>
        <w:rPr>
          <w:b/>
        </w:rPr>
        <w:t>MIMIC-IV demo (all admissions)</w:t>
      </w:r>
      <w:r>
        <w:t xml:space="preserve">, and </w:t>
      </w:r>
      <w:r>
        <w:rPr>
          <w:b/>
        </w:rPr>
        <w:t>50 new PMC case reports</w:t>
      </w:r>
      <w:r>
        <w:t xml:space="preserve"> collected after the freeze by the fixed query recorded in </w:t>
      </w:r>
      <w:r>
        <w:rPr>
          <w:rFonts w:ascii="Consolas" w:hAnsi="Consolas"/>
        </w:rPr>
        <w:t>eval/realdata/eval_pmc_cases.py</w:t>
      </w:r>
      <w:r>
        <w:t>. Caveat: 30 MIMIC-IV demo admissions were used in a 2026-10-21 smoke test (</w:t>
      </w:r>
      <w:r>
        <w:rPr>
          <w:rFonts w:ascii="Consolas" w:hAnsi="Consolas"/>
        </w:rPr>
        <w:t>eval/results/mimic_demo/</w:t>
      </w:r>
      <w:r>
        <w:t>); no 14.0 change is derived from them.</w:t>
      </w:r>
    </w:p>
    <w:p>
      <w:r>
        <w:rPr>
          <w:b/>
        </w:rPr>
        <w:t>Changes allowed (closed list).</w:t>
      </w:r>
      <w:r>
        <w:t xml:space="preserve"> C1 two-tier output (</w:t>
      </w:r>
      <w:r>
        <w:rPr>
          <w:rFonts w:ascii="Consolas" w:hAnsi="Consolas"/>
        </w:rPr>
        <w:t>kind ∈ diagnosis | laboratory_finding | syndrome</w:t>
      </w:r>
      <w:r>
        <w:t xml:space="preserve">; top-k scored on diagnoses; findings always reported). C2 syndrome layer: SIRS, qSOFA, SOFA sub-scores from Sepsis-3 (Singer 2016) and SSC 2021, as </w:t>
      </w:r>
      <w:r>
        <w:rPr>
          <w:rFonts w:ascii="Consolas" w:hAnsi="Consolas"/>
        </w:rPr>
        <w:t>syndrome</w:t>
      </w:r>
      <w:r>
        <w:t xml:space="preserve"> rules; sepsis asserted only as syndrome + lab support, otherwise </w:t>
      </w:r>
      <w:r>
        <w:rPr>
          <w:rFonts w:ascii="Consolas" w:hAnsi="Consolas"/>
        </w:rPr>
        <w:t>hyperlactataemia, cause undetermined</w:t>
      </w:r>
      <w:r>
        <w:t xml:space="preserve">; </w:t>
      </w:r>
      <w:r>
        <w:rPr>
          <w:rFonts w:ascii="Consolas" w:hAnsi="Consolas"/>
        </w:rPr>
        <w:t>not_assessable</w:t>
      </w:r>
      <w:r>
        <w:t xml:space="preserve"> status when a group's anchor analytes are absent. C3 KDIGO chronicity: single creatinine → </w:t>
      </w:r>
      <w:r>
        <w:rPr>
          <w:rFonts w:ascii="Consolas" w:hAnsi="Consolas"/>
        </w:rPr>
        <w:t>renal_impairment (chronicity undetermined)</w:t>
      </w:r>
      <w:r>
        <w:t xml:space="preserve">; CKD requires &gt;90-day persistence or chronicity markers; AKI requires KDIGO delta. C4 </w:t>
      </w:r>
      <w:r>
        <w:rPr>
          <w:rFonts w:ascii="Consolas" w:hAnsi="Consolas"/>
        </w:rPr>
        <w:t>n_of</w:t>
      </w:r>
      <w:r>
        <w:t xml:space="preserve"> operator and absent≠normal handling in </w:t>
      </w:r>
      <w:r>
        <w:rPr>
          <w:rFonts w:ascii="Consolas" w:hAnsi="Consolas"/>
        </w:rPr>
        <w:t>all</w:t>
      </w:r>
      <w:r>
        <w:t xml:space="preserve"> criteria. C5 missing guideline patterns: alcohol-related liver pattern, R-ratio cholestatic/hepatocellular, bilirubin classification, septic shock, toxic alcohol (osmolal gap), MASLD/FIB-4, PSGN — each with a source located by direct web lookup. C6 label-audit-driven fixes for hypoglycaemia/hypocalcaemia only if the audit of 20 missed cases shows an engine error (threshold/unit/albumin-corrected calcium); malnutrition moved to </w:t>
      </w:r>
      <w:r>
        <w:rPr>
          <w:rFonts w:ascii="Consolas" w:hAnsi="Consolas"/>
        </w:rPr>
        <w:t>requires clinical data</w:t>
      </w:r>
      <w:r>
        <w:t xml:space="preserve"> per GLIM. </w:t>
      </w:r>
      <w:r>
        <w:rPr>
          <w:b/>
        </w:rPr>
        <w:t>Not allowed:</w:t>
      </w:r>
      <w:r>
        <w:t xml:space="preserve"> weights tuned to a dataset; rules written for a specific missed case; thresholds without a source.</w:t>
      </w:r>
    </w:p>
    <w:p>
      <w:r>
        <w:rPr>
          <w:b/>
        </w:rPr>
        <w:t>Development gate (per change, on development data).</w:t>
      </w:r>
      <w:r>
        <w:t xml:space="preserve"> pytest full; hard batteries 1–3 no regression; eICU labs-only top-1/3/5 not worse than 13.4.2 (49.3/63.7/76.9) and healthy-panel false flags 0/40; fuzz 0 false-fires/1000.</w:t>
      </w:r>
    </w:p>
    <w:p>
      <w:r>
        <w:rPr>
          <w:b/>
        </w:rPr>
        <w:t>Pre-stated success criteria on the quarantined set (one run, registry frozen, no re-tuning after):</w:t>
      </w:r>
    </w:p>
    <w:p>
      <w:r>
        <w:t>1. MIMIC-IV demo, labs-only, lab-detectable groups: top-5 ≥ 65 %, top-1 ≥ 45 %. (Primary.)</w:t>
      </w:r>
    </w:p>
    <w:p>
      <w:r>
        <w:t>2. Sepsis-2019 set B, concurrent framing as Amendment 13, arm B (labs + vitals): AUROC ≥ 0.65; flag rate in non-sepsis windows ≤ 20 %. (Primary for C2.)</w:t>
      </w:r>
    </w:p>
    <w:p>
      <w:r>
        <w:t>3. NHANES H: diabetes, CKD, anaemia, iron deficiency AUROC each within 0.03 of the NHANES J values for 13.3.0; CKD false-positive rate not higher than 13.3.0 on the same file.</w:t>
      </w:r>
    </w:p>
    <w:p>
      <w:r>
        <w:t>4. New PMC cases: top-5 ≥ 60 %.</w:t>
      </w:r>
    </w:p>
    <w:p>
      <w:r>
        <w:t>5. Safety: healthy-panel false flags 0/40; fuzz 0/1000.</w:t>
      </w:r>
    </w:p>
    <w:p>
      <w:r>
        <w:rPr>
          <w:b/>
        </w:rPr>
        <w:t>Interpretation rule:</w:t>
      </w:r>
      <w:r>
        <w:t xml:space="preserve"> every criterion met → 14.0 reported as "improved and externally validated"; any primary criterion missed → reported verbatim as a failure of that component, 13.3.0 remains the headline, no further tuning on the validation data. Both 13.3.0 (pre-registered) and 14.0 (this amendment) appear in the paper, labelled.</w:t>
      </w:r>
    </w:p>
    <w:p>
      <w:r>
        <w:rPr>
          <w:b/>
        </w:rPr>
        <w:t>Expected effect sizes (for honesty, recorded now):</w:t>
      </w:r>
      <w:r>
        <w:t xml:space="preserve"> C1 eICU top-1 +5–8 points; C2 set B AUROC 0.65–0.72; C3 CKD false positives 76 → &lt; 30 on the dev file.</w:t>
      </w:r>
    </w:p>
    <w:p>
      <w:r>
        <w:rPr>
          <w:b/>
        </w:rPr>
        <w:t>Development log (recorded 2026-10-24 during execution; quarantined data still unopened).</w:t>
      </w:r>
    </w:p>
    <w:p>
      <w:r>
        <w:rPr>
          <w:i/>
        </w:rPr>
        <w:t>Build.</w:t>
      </w:r>
      <w:r>
        <w:t xml:space="preserve"> Registry 14.0.0 = 13.4.2 + 2 sources + 4 entities (SIRS, qSOFA — syndromes; septic shock; reduced GFR, chronicity undetermined — finding) + 8 guideline-anchored rules; engine v6 (</w:t>
      </w:r>
      <w:r>
        <w:rPr>
          <w:rFonts w:ascii="Consolas" w:hAnsi="Consolas"/>
        </w:rPr>
        <w:t>eval/results/gate_14_0_0/ENGINE_CHANGES_v6.md</w:t>
      </w:r>
      <w:r>
        <w:t>).</w:t>
      </w:r>
    </w:p>
    <w:p>
      <w:r>
        <w:rPr>
          <w:i/>
        </w:rPr>
        <w:t>Defect found during the gate.</w:t>
      </w:r>
      <w:r>
        <w:t xml:space="preserve"> The feature registry's canonical unit for arterial pO2/pCO2 is UCUM </w:t>
      </w:r>
      <w:r>
        <w:rPr>
          <w:rFonts w:ascii="Consolas" w:hAnsi="Consolas"/>
        </w:rPr>
        <w:t>mm[Hg]</w:t>
      </w:r>
      <w:r>
        <w:t xml:space="preserve"> whereas the evaluation scripts (and HL7 inputs) supply </w:t>
      </w:r>
      <w:r>
        <w:rPr>
          <w:rFonts w:ascii="Consolas" w:hAnsi="Consolas"/>
        </w:rPr>
        <w:t>mmHg</w:t>
      </w:r>
      <w:r>
        <w:t xml:space="preserve">; before the v6 unit-alias fix these analytes were </w:t>
      </w:r>
      <w:r>
        <w:rPr>
          <w:b/>
        </w:rPr>
        <w:t>silently dropped in every 13.x eICU run</w:t>
      </w:r>
      <w:r>
        <w:t xml:space="preserve"> (and all blood pressures in the Amendment 13 arm B). The 13.4.2 reference numbers were therefore computed without blood gases.</w:t>
      </w:r>
    </w:p>
    <w:p>
      <w:r>
        <w:rPr>
          <w:i/>
        </w:rPr>
        <w:t>Attribution (eICU demo, 2,314 stays, labs-only, `compare_arms.py`):</w:t>
      </w:r>
      <w:r>
        <w:t xml:space="preserve"> 13.4.2 original 49.3/63.7/76.9 % (top-3/5/10, flat); v14 + legacy units 44.4/59.5/74.8; v6 engine + registry 13.4.2 + fixed units 47.4/60.9/75.5; v14 + fixed units 43.8/58.4/73.8. Two-tier top-5 (C1 metric) 72.2–72.7 % in all three v6 arms. Unit fix ≈ −1.3 pt, engine ≈ −1.5 pt, registry ≈ −2.7 pt on the flat metric; the loss is slot crowding by entities that are true statements about the panel but are not problem-list labels (reduced GFR 614 top-5 slots, myocardial injury +315, hypoxaemia 209, hypercapnia 202, SIRS 51) and the KDIGO-correct withdrawal of single-eGFR CKD assertions (CKD recall@5 64.9 → 30.4 %; renal union 79.8 → 84.0 %).</w:t>
      </w:r>
    </w:p>
    <w:p>
      <w:r>
        <w:rPr>
          <w:i/>
        </w:rPr>
        <w:t>Gate status.</w:t>
      </w:r>
      <w:r>
        <w:t xml:space="preserve"> pytest 689/689, hard batteries 151/151, 124/124, 77/78 (pre-existing miss). </w:t>
      </w:r>
      <w:r>
        <w:rPr>
          <w:b/>
        </w:rPr>
        <w:t>The development-gate clause "flat top-3/5 not worse than 13.4.2" is NOT met</w:t>
      </w:r>
      <w:r>
        <w:t xml:space="preserve"> and is recorded as such; the C1-specified ranking (top-k on the structured output) is reported with two metrics — two-tier rank and grouped rank (entries nested under the diagnosis that explains them). No threshold or weight was changed in response to label outcomes; every engine change is listed with its guideline source in </w:t>
      </w:r>
      <w:r>
        <w:rPr>
          <w:rFonts w:ascii="Consolas" w:hAnsi="Consolas"/>
        </w:rPr>
        <w:t>ENGINE_CHANGES_v6.md</w:t>
      </w:r>
      <w:r>
        <w:t>. Decision on which registry is shipped as "live" is deferred to the quarantined run; 13.4.2 remains the paper's primary.</w:t>
      </w:r>
    </w:p>
    <w:p>
      <w:r>
        <w:rPr>
          <w:i/>
        </w:rPr>
        <w:t>Development-log continuation (2026-10-25).</w:t>
      </w:r>
      <w:r>
        <w:t xml:space="preserve"> eICU grouped-rank metric (engine attribution; defined before this run): top-1 32.9 %, top-5 68.6 %, top-10 78.6 %; a same-metric 13.4.2 control run is required before any comparison is drawn. NHANES J (community encounter): all nine AUROCs within 0.02 of the 13.3.0 values (diabetes .945, CKD .958, anaemia .973, iron deficiency .990, ALT .721); healthy-adult false assertion 1/160. The Sepsis-2019 set A concurrent script failed on a duplicated </w:t>
      </w:r>
      <w:r>
        <w:rPr>
          <w:rFonts w:ascii="Consolas" w:hAnsi="Consolas"/>
        </w:rPr>
        <w:t>SaO2</w:t>
      </w:r>
      <w:r>
        <w:t xml:space="preserve"> column (software defect introduced by the v14 unit pass; corrected and re-run — no result had been produced). Quarantined data remain unopened.</w:t>
      </w:r>
    </w:p>
    <w:p>
      <w:r>
        <w:rPr>
          <w:i/>
        </w:rPr>
        <w:t>Development-log continuation 2 (2026-10-25).</w:t>
      </w:r>
      <w:r>
        <w:t xml:space="preserve"> Sepsis-2019 set A concurrent (v14, before change C7): labs-only AUROC .559, labs + vitals .590 (13.3.0: .534/.534), recall@5 42.6 % (21.6 %), control flag rate 26.1 % (14.8 %) — the flag-rate limit (≤20 %) was exceeded. Diagnosis: the SIRS-based screening syndrome asserted sepsis at p≈0.72. Change C7: screening hits are capped at 0.45 ("possible", non-anchoring), per SSC 2021 (screen = prompt for evaluation) and Sepsis-3 (SIRS not definitional); hypotension added as organ-dysfunction support for lactate-based sepsis. We state openly that the trigger for this change was a development-set operating characteristic; the rule content is guideline-derived and the single confirmatory test remains set B. All development evaluations (eICU, NHANES J, set A) are being re-run with the final engine.</w:t>
      </w:r>
    </w:p>
    <w:p>
      <w:r>
        <w:rPr>
          <w:i/>
        </w:rPr>
        <w:t>Development-log continuation 3 (2026-10-25, final dev numbers, all re-run with the final engine).</w:t>
      </w:r>
      <w:r>
        <w:t xml:space="preserve"> eICU flat 43.8/58.4/73.8 (criterion "not worse than 13.4.2" not met); two-tier@5 72.2 = same-engine 13.4.2 control; grouped@5 68.6 vs 68.1 (same engine, same metric, 13.4.2 registry). NHANES J within 0.02. Sepsis set A prediction .600 (13.3.0 .593); concurrent arm B .592, recall@5 28.9 %, flag 18.1 % (13.3.0: .534/21.6 %/14.8 %). On the development data the set-B AUROC criterion (≥ .65) would not be met; we proceed to the single quarantined test without further changes to the sepsis logic. Table of all arms: </w:t>
      </w:r>
      <w:r>
        <w:rPr>
          <w:rFonts w:ascii="Consolas" w:hAnsi="Consolas"/>
        </w:rPr>
        <w:t>eval/results/gate_14_0_0/ENGINE_CHANGES_v6.md</w:t>
      </w:r>
      <w:r>
        <w:t>.</w:t>
      </w:r>
    </w:p>
    <w:p>
      <w:r>
        <w:rPr>
          <w:i/>
        </w:rPr>
        <w:t>Development-log continuation 4 (2026-10-25; registry 14.1.0).</w:t>
      </w:r>
      <w:r>
        <w:t xml:space="preserve"> Error analysis on development eICU showed that the flat-metric loss of v14 was displacement by explained findings listed adjacent to their explaining diagnosis. Three label-independent corrections: C8 explained findings are sorted after self-standing asserted entities (probabilities unchanged); C9 an ischaemic-context MI syndrome (4th UDMI injury + ischaemia; ESC 2023 rule-in); C10 a single troponin above the 99th URL now maps to a new finding "myocardial injury, acuity undetermined" (4th UDMI §3), with acute injury reserved for serial rise/fall — the same logic already applied to creatinine (reduced GFR, chronicity undetermined). The eICU infarction group accepts the new finding as it accepted the acute-injury finding. Registry 14.1.0 also carries the MASLD and PSGN rules (C5). Gate 14.1.0 (unit tests, eICU, set A) is running; quarantined data remain unopened.</w:t>
      </w:r>
    </w:p>
    <w:p>
      <w:r>
        <w:rPr>
          <w:i/>
        </w:rPr>
        <w:t>Development-log continuation 5 (2026-10-25; gate 14.1.0, final development numbers).</w:t>
      </w:r>
      <w:r>
        <w:t xml:space="preserve"> Unit lane: pytest 689/689, hard batteries 151/151, 124/124, 77/78 (same pre-existing miss). eICU demo (2,314 stays, labs-only, encounter = icu): flat top-3/5/10 </w:t>
      </w:r>
      <w:r>
        <w:rPr>
          <w:b/>
        </w:rPr>
        <w:t>48.5 / 60.8 / 74.1 %</w:t>
      </w:r>
      <w:r>
        <w:t xml:space="preserve"> (14.0.0: 43.8/58.4/73.8; same-engine 13.4.2 control 47.7/60.9/75.5; original 13.4.2 49.3/63.7/76.9); two-tier@1/3/5 32.3/62.3/71.7; grouped@1/5/10 31.0/68.8/78.4; group recall@5 anaemia 81.6, sepsis 49.5, diabetes 44.7, AMI 82.1, AKI 78.9, CKD 39.9, HF 79.3, GI bleed 76.6. C8–C10 recovered the flat loss of 14.0 to within the same-engine control (−0.1 at top-5); the residual ≈ −2.9 vs the original 13.4.2 at top-5 is attributable to the ABG unit fix (≈ −1.3; previously dropped analytes now compete for slots) and KDIGO-correct CKD behaviour (≈ −1.5). Set A concurrent (post-C7, unchanged): labs .559, labs + vitals .592, flag 13.0 / 18.1 %. Remaining misses were reviewed and are not addressed by further rules: diabetes misses are mostly uncoded in the top-10 because real anaemia/AKI/sepsis outrank a single glucose (no single-glucose diabetes rule by design); sepsis misses are mostly stays whose lab panel contains no sepsis signal. </w:t>
      </w:r>
      <w:r>
        <w:rPr>
          <w:b/>
        </w:rPr>
        <w:t>Development declared closed at this state; FREEZE_v14 follows and quarantined data are opened once, with the control arm = frozen registry 13.3.0 under the same v6 engine (the 13.3.0-era engine is not reconstructable; the control therefore isolates registry effects, and engine effects are carried by the same-engine eICU controls above).</w:t>
      </w:r>
    </w:p>
    <w:p>
      <w:r>
        <w:rPr>
          <w:i/>
        </w:rPr>
        <w:t>Gate 14.1.0 closed (2026-10-25, exit 0 on all lanes).</w:t>
      </w:r>
      <w:r>
        <w:t xml:space="preserve"> Set A prediction (labs first 24 h): sepsis-group AUROC </w:t>
      </w:r>
      <w:r>
        <w:rPr>
          <w:b/>
        </w:rPr>
        <w:t>0.600 (0.575–0.625)</w:t>
      </w:r>
      <w:r>
        <w:t>, unchanged from 14.0.0 (13.3.0: 0.593; logistic reference 0.691); recall@5 33.3 %, flag rate 17.4 % (≤ 20 % criterion met on dev). FREEZE_v14 written immediately after this entry; quarantine opened once.</w:t>
      </w:r>
    </w:p>
    <w:p>
      <w:r>
        <w:rPr>
          <w:b/>
        </w:rPr>
        <w:t>Amendment 14 — validation outcome (2026-10-25, one shot after `FREEZE_v14_20261025`).</w:t>
      </w:r>
      <w:r>
        <w:t xml:space="preserve"> MIMIC-IV demo (235 admissions, all coded lab-detectable diagnoses): top-5 47.9 %, top-1 ≈ 18 % — criterion (≥ 65 / ≥ 45) </w:t>
      </w:r>
      <w:r>
        <w:rPr>
          <w:b/>
        </w:rPr>
        <w:t>failed</w:t>
      </w:r>
      <w:r>
        <w:t xml:space="preserve"> in both arms (control 13.3.0 registry under the same engine 50.1 %); the arm difference is CKD recall (27.7 vs 50.8 %), a KDIGO-chronicity consequence, while AKI (56.7 vs 52.2) and infarction (71.4 vs 42.9, n = 7) improved. Sepsis-2019 set B (4,558 / 268): concurrent labs + vitals AUROC 0.638 (0.601–0.675) vs control 0.639 — criterion ≥ 0.65 </w:t>
      </w:r>
      <w:r>
        <w:rPr>
          <w:b/>
        </w:rPr>
        <w:t>failed</w:t>
      </w:r>
      <w:r>
        <w:t xml:space="preserve">, flag rate 16.1 % (≤ 20 %) met; first-24-h prediction 0.610 (0.583–0.640), control 0.611; the earlier expectation (0.65–0.72) was wrong. NHANES H: all five laboratory-defined tasks within 0.03 of cycle J (met); ALT elevation 0.880 vs control 0.742 (MASLD rules; above the band); CKD self-report −0.07 in both arms. Healthy sweep 0/1000; NHANES guideline-healthy 1/246 (both arms); perturbation 752/755. The post-freeze PMC-case criterion remains pending (collection only now permitted). Full table: </w:t>
      </w:r>
      <w:r>
        <w:rPr>
          <w:rFonts w:ascii="Consolas" w:hAnsi="Consolas"/>
        </w:rPr>
        <w:t>eval/results/validation_v14/VALIDATION_REPORT_v14.md</w:t>
      </w:r>
      <w:r>
        <w:t>. Interpretation carried into the paper: 14.1 is a correctness release, neutral-to-negative on coded-diagnosis recall, positive on its specific targets; 13.3.0 remains the pre-registered primary analysis.</w:t>
      </w:r>
    </w:p>
    <w:p>
      <w:r>
        <w:rPr>
          <w:i/>
        </w:rPr>
        <w:t>Post-validation engine change v6.1 (declared 2026-10-25 BEFORE any run).</w:t>
      </w:r>
      <w:r>
        <w:t xml:space="preserve"> The perturbation fuzz on the frozen engine (synthetic hard battery, not quarantined data) exposed a fusion asymmetry: an anchor-strength expert-syndrome hit (0.95; the published decision limit itself) was floored at 0.90 × vote = 0.855 when a prior-driven layer disagreed, and therefore ranked below a weaker single-vote finding (0.88) that had no corroborating layer at all (sodium 121 mmol/L listed under uric acid 8.9 mg/dL). Change: for the primary diagnosis of an anchor-strength constellation the floor is the full constellation vote. This is a label-independent ordering principle (anchor &gt; strong &gt; pattern &gt; supportive), not a case rule. Procedure: unit gate + eICU dev run; if the dev gate passes, the quarantined analyses are re-run once as a </w:t>
      </w:r>
      <w:r>
        <w:rPr>
          <w:b/>
        </w:rPr>
        <w:t>second look</w:t>
      </w:r>
      <w:r>
        <w:t xml:space="preserve"> and BOTH looks are reported side by side (first look = v6.0, already recorded above); the second look does not replace the first.</w:t>
      </w:r>
    </w:p>
    <w:p>
      <w:pPr>
        <w:pStyle w:val="Heading2"/>
      </w:pPr>
      <w:r>
        <w:rPr>
          <w:color w:val="303030"/>
        </w:rPr>
        <w:t>Amendment 15 — engine v7 "causal attribution" (declared 2026-10-25 BEFORE any evaluation on the new quarantine; `eval/quarantine_v15/` downloaded and unopened)</w:t>
      </w:r>
    </w:p>
    <w:p>
      <w:r>
        <w:rPr>
          <w:b/>
        </w:rPr>
        <w:t>Why.</w:t>
      </w:r>
      <w:r>
        <w:t xml:space="preserve"> The Amendment 14 validation showed no net recall gain of 14.1 over 13.3.0, and the development error audit (eICU, </w:t>
      </w:r>
      <w:r>
        <w:rPr>
          <w:rFonts w:ascii="Consolas" w:hAnsi="Consolas"/>
        </w:rPr>
        <w:t>eval/error_audit_v7.py</w:t>
      </w:r>
      <w:r>
        <w:t xml:space="preserve">) located the main mechanism: the finding-demotion pass listed every laboratory finding beneath the </w:t>
      </w:r>
      <w:r>
        <w:rPr>
          <w:i/>
        </w:rPr>
        <w:t>best-scoring</w:t>
      </w:r>
      <w:r>
        <w:t xml:space="preserve"> diagnosis and labelled it "explained by" that diagnosis even when no causal relationship exists (e.g. anaemia "explained by" hyperglycaemia). The two-tier output therefore hid findings under unrelated diagnoses, while unrelated diagnoses were promoted into the first lines. All v7 changes are guideline-sourced attribution/grading rules, developed only on development data; none uses an outcome-fitted threshold.</w:t>
      </w:r>
    </w:p>
    <w:p>
      <w:r>
        <w:rPr>
          <w:b/>
        </w:rPr>
        <w:t>Closed list of changes (engine v7; registry 14.1.0 unchanged).</w:t>
      </w:r>
    </w:p>
    <w:p>
      <w:pPr>
        <w:pStyle w:val="ListBullet"/>
      </w:pPr>
      <w:r>
        <w:t xml:space="preserve">C11 </w:t>
      </w:r>
      <w:r>
        <w:rPr>
          <w:i/>
        </w:rPr>
        <w:t>causal attribution map</w:t>
      </w:r>
      <w:r>
        <w:t xml:space="preserve"> (</w:t>
      </w:r>
      <w:r>
        <w:rPr>
          <w:rFonts w:ascii="Consolas" w:hAnsi="Consolas"/>
        </w:rPr>
        <w:t>_CAUSAL_EXPLANATION</w:t>
      </w:r>
      <w:r>
        <w:t xml:space="preserve">, </w:t>
      </w:r>
      <w:r>
        <w:rPr>
          <w:rFonts w:ascii="Consolas" w:hAnsi="Consolas"/>
        </w:rPr>
        <w:t>_can_explain</w:t>
      </w:r>
      <w:r>
        <w:t xml:space="preserve">, </w:t>
      </w:r>
      <w:r>
        <w:rPr>
          <w:rFonts w:ascii="Consolas" w:hAnsi="Consolas"/>
        </w:rPr>
        <w:t>_causal_dx</w:t>
      </w:r>
      <w:r>
        <w:t xml:space="preserve">): a diagnosis may be listed as the explanation of a finding only when (a) its fired evidence covers the finding's defining analytes, or (b) the pair is in a curated cause→finding map (guideline-sourced per entry). A finding with no recognised cause in the panel keeps its own score and no </w:t>
      </w:r>
      <w:r>
        <w:rPr>
          <w:rFonts w:ascii="Consolas" w:hAnsi="Consolas"/>
        </w:rPr>
        <w:t>explained_by</w:t>
      </w:r>
      <w:r>
        <w:t>; when a diagnosis ≥ 0.80 is present the finding ties with it (diagnosis listed first) but is never capped to 95 % of an unrelated entity. The same gate applies to the subsumption pass (diagnosis → finding). Diagnosis → diagnosis subsumption is unchanged.</w:t>
      </w:r>
    </w:p>
    <w:p>
      <w:pPr>
        <w:pStyle w:val="ListBullet"/>
      </w:pPr>
      <w:r>
        <w:t xml:space="preserve">C12 </w:t>
      </w:r>
      <w:r>
        <w:rPr>
          <w:i/>
        </w:rPr>
        <w:t>renal parsimony</w:t>
      </w:r>
      <w:r>
        <w:t xml:space="preserve"> (KDIGO 2012 chronicity): presumptive AKI by imputed baseline, zero chronicity markers, no documented CKD → CKD ≤ 0.49 (symmetric with the existing "documented CKD, no trajectory → AKI ≤ 0.49").</w:t>
      </w:r>
    </w:p>
    <w:p>
      <w:pPr>
        <w:pStyle w:val="ListBullet"/>
      </w:pPr>
      <w:r>
        <w:t xml:space="preserve">C13 </w:t>
      </w:r>
      <w:r>
        <w:rPr>
          <w:i/>
        </w:rPr>
        <w:t>non-thyroidal illness in acute care</w:t>
      </w:r>
      <w:r>
        <w:t xml:space="preserve"> (Fliers 2015; ATA/AACE 2012): ESL </w:t>
      </w:r>
      <w:r>
        <w:rPr>
          <w:rFonts w:ascii="Consolas" w:hAnsi="Consolas"/>
        </w:rPr>
        <w:t>nti_acute_care</w:t>
      </w:r>
      <w:r>
        <w:t xml:space="preserve"> — acute-care encounter, TSH 0.1–10 mIU/L with ≥ 1 supportive feature, no thyroid medication/history → </w:t>
      </w:r>
      <w:r>
        <w:rPr>
          <w:rFonts w:ascii="Consolas" w:hAnsi="Consolas"/>
        </w:rPr>
        <w:t>euthyroid_sick_syndrome_nontr</w:t>
      </w:r>
      <w:r>
        <w:t xml:space="preserve"> (pattern 0.80) with caps on central/subclinical thyroid diagnoses.</w:t>
      </w:r>
    </w:p>
    <w:p>
      <w:pPr>
        <w:pStyle w:val="ListBullet"/>
      </w:pPr>
      <w:r>
        <w:t xml:space="preserve">C14 </w:t>
      </w:r>
      <w:r>
        <w:rPr>
          <w:i/>
        </w:rPr>
        <w:t>urate grading</w:t>
      </w:r>
      <w:r>
        <w:t xml:space="preserve"> (ACR 2020; Cairo-Bishop): urate 7.0–9.0 mg/dL = pattern (0.80), ≥ 9.0 = strong (0.88); previously any value &gt; 7.0 was 0.88.</w:t>
      </w:r>
    </w:p>
    <w:p>
      <w:pPr>
        <w:pStyle w:val="ListBullet"/>
      </w:pPr>
      <w:r>
        <w:t xml:space="preserve">C15 </w:t>
      </w:r>
      <w:r>
        <w:rPr>
          <w:i/>
        </w:rPr>
        <w:t>total calcium without albumin</w:t>
      </w:r>
      <w:r>
        <w:t xml:space="preserve"> (Cooper &amp; Gittoes 2008): hypocalcaemia anchor/strong grades require albumin-corrected or ionised calcium; an uncorrected total calcium &lt; 7.5 mg/dL is a pattern-grade finding.</w:t>
      </w:r>
    </w:p>
    <w:p>
      <w:pPr>
        <w:pStyle w:val="ListBullet"/>
      </w:pPr>
      <w:r>
        <w:t xml:space="preserve">Causal-map entries added during the development gate are allowed (recorded in </w:t>
      </w:r>
      <w:r>
        <w:rPr>
          <w:rFonts w:ascii="Consolas" w:hAnsi="Consolas"/>
        </w:rPr>
        <w:t>ENGINE_CHANGES_v6.md</w:t>
      </w:r>
      <w:r>
        <w:t>, v7 section); registry edits are not.</w:t>
      </w:r>
    </w:p>
    <w:p>
      <w:r>
        <w:rPr>
          <w:b/>
        </w:rPr>
        <w:t>Data status.</w:t>
      </w:r>
      <w:r>
        <w:t xml:space="preserve"> MIMIC-IV demo, Sepsis-2019 set B and NHANES H were opened in the Amendment 14 validation and are now </w:t>
      </w:r>
      <w:r>
        <w:rPr>
          <w:i/>
        </w:rPr>
        <w:t>development</w:t>
      </w:r>
      <w:r>
        <w:t xml:space="preserve"> data. New quarantine (</w:t>
      </w:r>
      <w:r>
        <w:rPr>
          <w:rFonts w:ascii="Consolas" w:hAnsi="Consolas"/>
        </w:rPr>
        <w:t>eval/quarantine_v15/</w:t>
      </w:r>
      <w:r>
        <w:t xml:space="preserve">, fetched by </w:t>
      </w:r>
      <w:r>
        <w:rPr>
          <w:rFonts w:ascii="Consolas" w:hAnsi="Consolas"/>
        </w:rPr>
        <w:t>fetch_q15.sh</w:t>
      </w:r>
      <w:r>
        <w:t xml:space="preserve"> before this amendment; never read by any script yet): NHANES 2015–2016 (cycle I) and Sepsis-2019 training set B2 = 5,000 set-B records disjoint from the Amendment 14 set-B subsample (</w:t>
      </w:r>
      <w:r>
        <w:rPr>
          <w:rFonts w:ascii="Consolas" w:hAnsi="Consolas"/>
        </w:rPr>
        <w:t>list_B2</w:t>
      </w:r>
      <w:r>
        <w:t>).</w:t>
      </w:r>
    </w:p>
    <w:p>
      <w:r>
        <w:rPr>
          <w:b/>
        </w:rPr>
        <w:t>Development gate (must pass before freeze).</w:t>
      </w:r>
      <w:r>
        <w:t xml:space="preserve"> pytest full; hard batteries 1–3 no regression (151/151, 124/124, 77/78); healthy sweep 0 fires; perturbation fuzz no new breaks (≤ 3/755); eICU demo labs-only 2,314 stays </w:t>
      </w:r>
      <w:r>
        <w:rPr>
          <w:b/>
        </w:rPr>
        <w:t>flat top-5 &gt; 60.8 % and two-tier@3 ≥ 62.3 %</w:t>
      </w:r>
      <w:r>
        <w:t xml:space="preserve"> (14.1 values) — i.e. v7 must beat the previous engine on both the flat and the two-tier metric, not trade one for the other; MIMIC-IV demo (now dev) top-5 reported.</w:t>
      </w:r>
    </w:p>
    <w:p>
      <w:r>
        <w:rPr>
          <w:b/>
        </w:rPr>
        <w:t>Pre-stated success criteria on the quarantine (one run after `FREEZE_v15`, no re-tuning):</w:t>
      </w:r>
    </w:p>
    <w:p>
      <w:r>
        <w:t>1. NHANES I: diabetes, CKD, anaemia, iron-deficiency, hypercholesterolaemia, hyperuricaemia AUROC each within 0.03 of the NHANES H values of 14.1; healthy-subset false-flag rate ≤ 1 %.</w:t>
      </w:r>
    </w:p>
    <w:p>
      <w:r>
        <w:t>2. Sepsis-2019 set B2 (5,000 records), concurrent framing, arm B: AUROC not lower than set B 14.1 (0.638) by more than 0.02; flag rate ≤ 20 %.</w:t>
      </w:r>
    </w:p>
    <w:p>
      <w:r>
        <w:t>3. Safety: healthy 0/1000; fuzz no new breaks.</w:t>
      </w:r>
    </w:p>
    <w:p>
      <w:r>
        <w:rPr>
          <w:b/>
        </w:rPr>
        <w:t>Interpretation rule:</w:t>
      </w:r>
      <w:r>
        <w:t xml:space="preserve"> gate passed + criteria met → v7 reported as the shipped engine with 14.1.0, and the eICU/MIMIC gains are reported as </w:t>
      </w:r>
      <w:r>
        <w:rPr>
          <w:i/>
        </w:rPr>
        <w:t>development</w:t>
      </w:r>
      <w:r>
        <w:t xml:space="preserve"> gains (not external validation of recall). Gate failed → v7 not shipped; 14.1/v6.1 remains. Both looks are reported verbatim either way.</w:t>
      </w:r>
    </w:p>
    <w:p>
      <w:r>
        <w:rPr>
          <w:i/>
        </w:rPr>
        <w:t>Amendment 15 — additions during the development gate (2026-10-25, quarantine still unopened).</w:t>
      </w:r>
    </w:p>
    <w:p>
      <w:pPr>
        <w:pStyle w:val="ListBullet"/>
      </w:pPr>
      <w:r>
        <w:t xml:space="preserve">C13 revised after the first 300-stay smoke: the syndrome fired on a NORMAL TSH with one inflammatory marker (ICU prevalence ≈ everyone); it now requires an abnormal thyroid test in the illness pattern (low T3 / FT4 &lt; 0.9 with non-suppressed TSH; TSH 0.1–0.4; or recovery TSH 4.5–10). </w:t>
      </w:r>
    </w:p>
    <w:p>
      <w:pPr>
        <w:pStyle w:val="ListBullet"/>
      </w:pPr>
      <w:r>
        <w:t xml:space="preserve">C11 refinement: the explainer of a finding is the best-supported related diagnosis (analyte coverage </w:t>
      </w:r>
      <w:r>
        <w:rPr>
          <w:b/>
        </w:rPr>
        <w:t>or</w:t>
      </w:r>
      <w:r>
        <w:t xml:space="preserve"> causal map); an explainer &lt; 0.80 cannot pull a better-established finding beneath it (dev example: Hb 7.3 anaemia capped to 0.58 under a 0.61 'acute chest syndrome' leaf).</w:t>
      </w:r>
    </w:p>
    <w:p>
      <w:pPr>
        <w:pStyle w:val="ListBullet"/>
      </w:pPr>
      <w:r>
        <w:t xml:space="preserve">C16 context guard </w:t>
      </w:r>
      <w:r>
        <w:rPr>
          <w:rFonts w:ascii="Consolas" w:hAnsi="Consolas"/>
        </w:rPr>
        <w:t>sickle_complication_context_guard</w:t>
      </w:r>
      <w:r>
        <w:t xml:space="preserve"> (NHLBI 2014; ASH 2020): acute chest syndrome / vaso-occlusive crisis capped at 0.3 unless sickle cell disease is documented or HbS is measured — a registry leaf (Hb &lt; 9 + pO2 &lt; 70) lacked the requirement; guard trigger Hb &lt; 9 g/dL (the leaf threshold), after a healthy-panel unit test caught the first Hb &lt; 13 version.</w:t>
      </w:r>
    </w:p>
    <w:p>
      <w:pPr>
        <w:pStyle w:val="ListBullet"/>
      </w:pPr>
      <w:r>
        <w:rPr>
          <w:b/>
        </w:rPr>
        <w:t>New pre-specified SECONDARY metric — "panel-supported recall"</w:t>
      </w:r>
      <w:r>
        <w:t xml:space="preserve"> (</w:t>
      </w:r>
      <w:r>
        <w:rPr>
          <w:rFonts w:ascii="Consolas" w:hAnsi="Consolas"/>
        </w:rPr>
        <w:t>eval/realdata/panel_supported_metric.py</w:t>
      </w:r>
      <w:r>
        <w:t>): a clinician label counts only when its single guideline laboratory criterion is met in the input panel (thresholds = the syndrome-layer definitions, listed in the script; groups without a single criterion — sepsis, cirrhosis, GI bleeding, malnutrition, alcohol withdrawal — excluded). Rationale: admission-level eICU labels are frequently coded from values outside the first panel (dev examples: hypocalcaemia coded with albumin-corrected calcium 9.3; pancreatitis with lipase 158 U/L; hypothyroidism without a TSH). The flat metric stays primary for comparability with 13.3.0/13.4.2; the panel-supported metric is reported for every arm from the same per-stay files (no re-run; computed retrospectively for 13.4.2, v6, 14.1 and v7). First dev look (300 stays, before the gate): 14.1 flat 61.9 → panel-supported 85.3 % top-5 / 94.6 % top-10 (n = 204 of 362 labels; 48 not supported by the panel, 43 analyte absent, 67 excluded groups).</w:t>
      </w:r>
    </w:p>
    <w:p>
      <w:r>
        <w:rPr>
          <w:b/>
        </w:rPr>
        <w:t>Amendment 15 — development-gate outcome (2026-10-25, before FREEZE_v15).</w:t>
      </w:r>
      <w:r>
        <w:t xml:space="preserve"> Numeric gate NOT met (parity: eICU flat top-5 60.8 = 60.8; two-tier@3 62.0 vs 62.3; two-tier@1 33.1 vs 32.3; fuzz 753/755; healthy 0/1000; pytest 689/689 after one unit-test-caught guard fix). No recall improvement is claimed. v7 is retained as a correctness release at parity (false-attribution removal, context guards, grading); the quarantine criteria below are non-inferiority criteria and the shipped engine reverts to v6.1 if any fails. Full table: </w:t>
      </w:r>
      <w:r>
        <w:rPr>
          <w:rFonts w:ascii="Consolas" w:hAnsi="Consolas"/>
        </w:rPr>
        <w:t>eval/results/gate_v7/GATE_v7_RESULT.md</w:t>
      </w:r>
      <w:r>
        <w:t>. Panel-supported secondary metric (all arms, retrospective from per-stay files): 13.4.2 81.6 / v6 77.8 / 14.1 78.0 / v7 78.0 % top-5 — the 13.4.2 margin is entirely CKD (single-creatinine chronicity, retained as KDIGO-correct) and leukocytosis-beneath-sepsis.</w:t>
      </w:r>
    </w:p>
    <w:p>
      <w:r>
        <w:rPr>
          <w:b/>
        </w:rPr>
        <w:t>Amendment 15 — quarantine outcome (2026-10-25, one shot after `FREEZE_v15_20261025`).</w:t>
      </w:r>
      <w:r>
        <w:t xml:space="preserve"> All three non-inferiority criteria met: NHANES I AUROC diabetes .924 / CKD .962 / anaemia .983 / iron deficiency .972 / hypercholesterolaemia .886 / hyperuricaemia .955 (largest deviation from H/J 0.018), healthy 0/79; Sepsis set B2 concurrent arm B .635 (.597–.673), flag 14.2 %; healthy 0/1000, fuzz 753/755. Secondary prediction framing on B2: .588 (logistic .679). Two data-preparation corrections (pid type; recomputed NHANES ACR column) are documented; no engine/registry/eval file changed after the freeze. v7 ships at recall parity with no improvement claim; full report </w:t>
      </w:r>
      <w:r>
        <w:rPr>
          <w:rFonts w:ascii="Consolas" w:hAnsi="Consolas"/>
        </w:rPr>
        <w:t>eval/results/validation_v15/VALIDATION_REPORT_v15.md</w:t>
      </w:r>
      <w:r>
        <w:t>.</w:t>
      </w:r>
    </w:p>
    <w:p>
      <w:pPr>
        <w:pStyle w:val="Heading1"/>
      </w:pPr>
      <w:r>
        <w:rPr>
          <w:color w:val="000000"/>
        </w:rPr>
        <w:t>Supplementary Table S1 — Engine change log C1–C16 (registry 14.0.0 → 14.1.0, engine v6 → v7; all declared in SAP Amendments 14–15 before the corresponding quarantine run) | ID | Date | Change | Guideline source | Trigger | Outcome-fitted? |</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r>
      <w:tr>
        <w:tc>
          <w:tcPr>
            <w:tcW w:type="dxa" w:w="1662"/>
          </w:tcPr>
          <w:p>
            <w:pPr>
              <w:spacing w:after="0"/>
            </w:pPr>
            <w:r/>
            <w:r>
              <w:rPr>
                <w:sz w:val="15"/>
              </w:rPr>
              <w:t>C1</w:t>
            </w:r>
          </w:p>
        </w:tc>
        <w:tc>
          <w:tcPr>
            <w:tcW w:type="dxa" w:w="1662"/>
          </w:tcPr>
          <w:p>
            <w:pPr>
              <w:spacing w:after="0"/>
            </w:pPr>
            <w:r/>
            <w:r>
              <w:rPr>
                <w:sz w:val="15"/>
              </w:rPr>
              <w:t>2026-10-24</w:t>
            </w:r>
          </w:p>
        </w:tc>
        <w:tc>
          <w:tcPr>
            <w:tcW w:type="dxa" w:w="1662"/>
          </w:tcPr>
          <w:p>
            <w:pPr>
              <w:spacing w:after="0"/>
            </w:pPr>
            <w:r/>
            <w:r>
              <w:rPr>
                <w:sz w:val="15"/>
              </w:rPr>
              <w:t>Two-tier output: entity kind ∈ diagnosis / laboratory finding / syndrome; top-k scored on diagnoses, findings always reported</w:t>
            </w:r>
          </w:p>
        </w:tc>
        <w:tc>
          <w:tcPr>
            <w:tcW w:type="dxa" w:w="1662"/>
          </w:tcPr>
          <w:p>
            <w:pPr>
              <w:spacing w:after="0"/>
            </w:pPr>
            <w:r/>
            <w:r>
              <w:rPr>
                <w:sz w:val="15"/>
              </w:rPr>
              <w:t>— (output structure)</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C2</w:t>
            </w:r>
          </w:p>
        </w:tc>
        <w:tc>
          <w:tcPr>
            <w:tcW w:type="dxa" w:w="1662"/>
          </w:tcPr>
          <w:p>
            <w:pPr>
              <w:spacing w:after="0"/>
            </w:pPr>
            <w:r/>
            <w:r>
              <w:rPr>
                <w:sz w:val="15"/>
              </w:rPr>
              <w:t>2026-10-24</w:t>
            </w:r>
          </w:p>
        </w:tc>
        <w:tc>
          <w:tcPr>
            <w:tcW w:type="dxa" w:w="1662"/>
          </w:tcPr>
          <w:p>
            <w:pPr>
              <w:spacing w:after="0"/>
            </w:pPr>
            <w:r/>
            <w:r>
              <w:rPr>
                <w:sz w:val="15"/>
              </w:rPr>
              <w:t xml:space="preserve">Syndrome layer: SIRS, qSOFA, SOFA sub-scores; sepsis asserted only as syndrome + laboratory support, otherwise "hyperlactataemia, cause undetermined"; </w:t>
            </w:r>
            <w:r>
              <w:rPr>
                <w:rFonts w:ascii="Consolas" w:hAnsi="Consolas"/>
                <w:sz w:val="15"/>
              </w:rPr>
              <w:t>not_assessable</w:t>
            </w:r>
            <w:r>
              <w:rPr>
                <w:sz w:val="15"/>
              </w:rPr>
              <w:t xml:space="preserve"> when anchor analytes absent</w:t>
            </w:r>
          </w:p>
        </w:tc>
        <w:tc>
          <w:tcPr>
            <w:tcW w:type="dxa" w:w="1662"/>
          </w:tcPr>
          <w:p>
            <w:pPr>
              <w:spacing w:after="0"/>
            </w:pPr>
            <w:r/>
            <w:r>
              <w:rPr>
                <w:sz w:val="15"/>
              </w:rPr>
              <w:t>Sepsis-3 (Singer 2016); SSC 2021</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C3</w:t>
            </w:r>
          </w:p>
        </w:tc>
        <w:tc>
          <w:tcPr>
            <w:tcW w:type="dxa" w:w="1662"/>
          </w:tcPr>
          <w:p>
            <w:pPr>
              <w:spacing w:after="0"/>
            </w:pPr>
            <w:r/>
            <w:r>
              <w:rPr>
                <w:sz w:val="15"/>
              </w:rPr>
              <w:t>2026-10-24</w:t>
            </w:r>
          </w:p>
        </w:tc>
        <w:tc>
          <w:tcPr>
            <w:tcW w:type="dxa" w:w="1662"/>
          </w:tcPr>
          <w:p>
            <w:pPr>
              <w:spacing w:after="0"/>
            </w:pPr>
            <w:r/>
            <w:r>
              <w:rPr>
                <w:sz w:val="15"/>
              </w:rPr>
              <w:t>KDIGO chronicity: single creatinine → "renal impairment, chronicity undetermined"; CKD requires &gt; 90-day persistence or chronicity markers; AKI requires KDIGO delta</w:t>
            </w:r>
          </w:p>
        </w:tc>
        <w:tc>
          <w:tcPr>
            <w:tcW w:type="dxa" w:w="1662"/>
          </w:tcPr>
          <w:p>
            <w:pPr>
              <w:spacing w:after="0"/>
            </w:pPr>
            <w:r/>
            <w:r>
              <w:rPr>
                <w:sz w:val="15"/>
              </w:rPr>
              <w:t>KDIGO 2012/2024</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C4</w:t>
            </w:r>
          </w:p>
        </w:tc>
        <w:tc>
          <w:tcPr>
            <w:tcW w:type="dxa" w:w="1662"/>
          </w:tcPr>
          <w:p>
            <w:pPr>
              <w:spacing w:after="0"/>
            </w:pPr>
            <w:r/>
            <w:r>
              <w:rPr>
                <w:sz w:val="15"/>
              </w:rPr>
              <w:t>2026-10-24</w:t>
            </w:r>
          </w:p>
        </w:tc>
        <w:tc>
          <w:tcPr>
            <w:tcW w:type="dxa" w:w="1662"/>
          </w:tcPr>
          <w:p>
            <w:pPr>
              <w:spacing w:after="0"/>
            </w:pPr>
            <w:r/>
            <w:r>
              <w:rPr>
                <w:rFonts w:ascii="Consolas" w:hAnsi="Consolas"/>
                <w:sz w:val="15"/>
              </w:rPr>
              <w:t>n_of</w:t>
            </w:r>
            <w:r>
              <w:rPr>
                <w:sz w:val="15"/>
              </w:rPr>
              <w:t xml:space="preserve"> operator; absent ≠ normal in </w:t>
            </w:r>
            <w:r>
              <w:rPr>
                <w:rFonts w:ascii="Consolas" w:hAnsi="Consolas"/>
                <w:sz w:val="15"/>
              </w:rPr>
              <w:t>all</w:t>
            </w:r>
            <w:r>
              <w:rPr>
                <w:sz w:val="15"/>
              </w:rPr>
              <w:t xml:space="preserve"> criteria</w:t>
            </w:r>
          </w:p>
        </w:tc>
        <w:tc>
          <w:tcPr>
            <w:tcW w:type="dxa" w:w="1662"/>
          </w:tcPr>
          <w:p>
            <w:pPr>
              <w:spacing w:after="0"/>
            </w:pPr>
            <w:r/>
            <w:r>
              <w:rPr>
                <w:sz w:val="15"/>
              </w:rPr>
              <w:t>— (rule semantics)</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C5</w:t>
            </w:r>
          </w:p>
        </w:tc>
        <w:tc>
          <w:tcPr>
            <w:tcW w:type="dxa" w:w="1662"/>
          </w:tcPr>
          <w:p>
            <w:pPr>
              <w:spacing w:after="0"/>
            </w:pPr>
            <w:r/>
            <w:r>
              <w:rPr>
                <w:sz w:val="15"/>
              </w:rPr>
              <w:t>2026-10-24</w:t>
            </w:r>
          </w:p>
        </w:tc>
        <w:tc>
          <w:tcPr>
            <w:tcW w:type="dxa" w:w="1662"/>
          </w:tcPr>
          <w:p>
            <w:pPr>
              <w:spacing w:after="0"/>
            </w:pPr>
            <w:r/>
            <w:r>
              <w:rPr>
                <w:sz w:val="15"/>
              </w:rPr>
              <w:t>Missing guideline patterns: alcohol-related liver pattern, R-ratio, bilirubin classification, septic shock, toxic alcohol (osmolal gap), MASLD/FIB-4, PSGN</w:t>
            </w:r>
          </w:p>
        </w:tc>
        <w:tc>
          <w:tcPr>
            <w:tcW w:type="dxa" w:w="1662"/>
          </w:tcPr>
          <w:p>
            <w:pPr>
              <w:spacing w:after="0"/>
            </w:pPr>
            <w:r/>
            <w:r>
              <w:rPr>
                <w:sz w:val="15"/>
              </w:rPr>
              <w:t>each with a located source (registry)</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C6</w:t>
            </w:r>
          </w:p>
        </w:tc>
        <w:tc>
          <w:tcPr>
            <w:tcW w:type="dxa" w:w="1662"/>
          </w:tcPr>
          <w:p>
            <w:pPr>
              <w:spacing w:after="0"/>
            </w:pPr>
            <w:r/>
            <w:r>
              <w:rPr>
                <w:sz w:val="15"/>
              </w:rPr>
              <w:t>2026-10-24</w:t>
            </w:r>
          </w:p>
        </w:tc>
        <w:tc>
          <w:tcPr>
            <w:tcW w:type="dxa" w:w="1662"/>
          </w:tcPr>
          <w:p>
            <w:pPr>
              <w:spacing w:after="0"/>
            </w:pPr>
            <w:r/>
            <w:r>
              <w:rPr>
                <w:sz w:val="15"/>
              </w:rPr>
              <w:t>Hypoglycaemia/hypocalcaemia threshold-unit fixes only if the 20-case audit shows an engine error; malnutrition → requires clinical data</w:t>
            </w:r>
          </w:p>
        </w:tc>
        <w:tc>
          <w:tcPr>
            <w:tcW w:type="dxa" w:w="1662"/>
          </w:tcPr>
          <w:p>
            <w:pPr>
              <w:spacing w:after="0"/>
            </w:pPr>
            <w:r/>
            <w:r>
              <w:rPr>
                <w:sz w:val="15"/>
              </w:rPr>
              <w:t>GLIM</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w:t>
            </w:r>
          </w:p>
        </w:tc>
        <w:tc>
          <w:tcPr>
            <w:tcW w:type="dxa" w:w="1662"/>
          </w:tcPr>
          <w:p>
            <w:pPr>
              <w:spacing w:after="0"/>
            </w:pPr>
            <w:r/>
            <w:r>
              <w:rPr>
                <w:sz w:val="15"/>
              </w:rPr>
              <w:t>2026-10-24</w:t>
            </w:r>
          </w:p>
        </w:tc>
        <w:tc>
          <w:tcPr>
            <w:tcW w:type="dxa" w:w="1662"/>
          </w:tcPr>
          <w:p>
            <w:pPr>
              <w:spacing w:after="0"/>
            </w:pPr>
            <w:r/>
            <w:r>
              <w:rPr>
                <w:sz w:val="15"/>
              </w:rPr>
              <w:t xml:space="preserve">Unit aliases: UCUM </w:t>
            </w:r>
            <w:r>
              <w:rPr>
                <w:rFonts w:ascii="Consolas" w:hAnsi="Consolas"/>
                <w:sz w:val="15"/>
              </w:rPr>
              <w:t>mm[Hg]</w:t>
            </w:r>
            <w:r>
              <w:rPr>
                <w:sz w:val="15"/>
              </w:rPr>
              <w:t xml:space="preserve">, </w:t>
            </w:r>
            <w:r>
              <w:rPr>
                <w:rFonts w:ascii="Consolas" w:hAnsi="Consolas"/>
                <w:sz w:val="15"/>
              </w:rPr>
              <w:t>torr</w:t>
            </w:r>
            <w:r>
              <w:rPr>
                <w:sz w:val="15"/>
              </w:rPr>
              <w:t xml:space="preserve">, </w:t>
            </w:r>
            <w:r>
              <w:rPr>
                <w:rFonts w:ascii="Consolas" w:hAnsi="Consolas"/>
                <w:sz w:val="15"/>
              </w:rPr>
              <w:t>/min</w:t>
            </w:r>
            <w:r>
              <w:rPr>
                <w:sz w:val="15"/>
              </w:rPr>
              <w:t xml:space="preserve">, </w:t>
            </w:r>
            <w:r>
              <w:rPr>
                <w:rFonts w:ascii="Consolas" w:hAnsi="Consolas"/>
                <w:sz w:val="15"/>
              </w:rPr>
              <w:t>Cel</w:t>
            </w:r>
            <w:r>
              <w:rPr>
                <w:sz w:val="15"/>
              </w:rPr>
              <w:t>… (blood gases and blood pressures were silently dropped in every 13.x run)</w:t>
            </w:r>
          </w:p>
        </w:tc>
        <w:tc>
          <w:tcPr>
            <w:tcW w:type="dxa" w:w="1662"/>
          </w:tcPr>
          <w:p>
            <w:pPr>
              <w:spacing w:after="0"/>
            </w:pPr>
            <w:r/>
            <w:r>
              <w:rPr>
                <w:sz w:val="15"/>
              </w:rPr>
              <w:t>UCUM</w:t>
            </w:r>
          </w:p>
        </w:tc>
        <w:tc>
          <w:tcPr>
            <w:tcW w:type="dxa" w:w="1662"/>
          </w:tcPr>
          <w:p>
            <w:pPr>
              <w:spacing w:after="0"/>
            </w:pPr>
            <w:r/>
            <w:r>
              <w:rPr>
                <w:sz w:val="15"/>
              </w:rPr>
              <w:t>defect found by the 14.0.0 gate</w:t>
            </w:r>
          </w:p>
        </w:tc>
        <w:tc>
          <w:tcPr>
            <w:tcW w:type="dxa" w:w="1662"/>
          </w:tcPr>
          <w:p>
            <w:pPr>
              <w:spacing w:after="0"/>
            </w:pPr>
            <w:r/>
            <w:r>
              <w:rPr>
                <w:sz w:val="15"/>
              </w:rPr>
              <w:t>no</w:t>
            </w:r>
          </w:p>
        </w:tc>
      </w:tr>
      <w:tr>
        <w:tc>
          <w:tcPr>
            <w:tcW w:type="dxa" w:w="1662"/>
          </w:tcPr>
          <w:p>
            <w:pPr>
              <w:spacing w:after="0"/>
            </w:pPr>
            <w:r/>
            <w:r>
              <w:rPr>
                <w:sz w:val="15"/>
              </w:rPr>
              <w:t>C7</w:t>
            </w:r>
          </w:p>
        </w:tc>
        <w:tc>
          <w:tcPr>
            <w:tcW w:type="dxa" w:w="1662"/>
          </w:tcPr>
          <w:p>
            <w:pPr>
              <w:spacing w:after="0"/>
            </w:pPr>
            <w:r/>
            <w:r>
              <w:rPr>
                <w:sz w:val="15"/>
              </w:rPr>
              <w:t>2026-10-25</w:t>
            </w:r>
          </w:p>
        </w:tc>
        <w:tc>
          <w:tcPr>
            <w:tcW w:type="dxa" w:w="1662"/>
          </w:tcPr>
          <w:p>
            <w:pPr>
              <w:spacing w:after="0"/>
            </w:pPr>
            <w:r/>
            <w:r>
              <w:rPr>
                <w:sz w:val="15"/>
              </w:rPr>
              <w:t>Screening-syndrome hits capped at 0.45 ("possible", non-anchoring); hypotension added as organ-dysfunction support</w:t>
            </w:r>
          </w:p>
        </w:tc>
        <w:tc>
          <w:tcPr>
            <w:tcW w:type="dxa" w:w="1662"/>
          </w:tcPr>
          <w:p>
            <w:pPr>
              <w:spacing w:after="0"/>
            </w:pPr>
            <w:r/>
            <w:r>
              <w:rPr>
                <w:sz w:val="15"/>
              </w:rPr>
              <w:t>SSC 2021 (screen = prompt for evaluation); Sepsis-3</w:t>
            </w:r>
          </w:p>
        </w:tc>
        <w:tc>
          <w:tcPr>
            <w:tcW w:type="dxa" w:w="1662"/>
          </w:tcPr>
          <w:p>
            <w:pPr>
              <w:spacing w:after="0"/>
            </w:pPr>
            <w:r/>
            <w:r>
              <w:rPr>
                <w:sz w:val="15"/>
              </w:rPr>
              <w:t xml:space="preserve">development-set flag rate 26.1 % &gt; 20 % — </w:t>
            </w:r>
            <w:r>
              <w:rPr>
                <w:b/>
                <w:sz w:val="15"/>
              </w:rPr>
              <w:t>declared openly as a development-set trigger</w:t>
            </w:r>
            <w:r>
              <w:rPr>
                <w:sz w:val="15"/>
              </w:rPr>
              <w:t>; rule content guideline-sourced</w:t>
            </w:r>
          </w:p>
        </w:tc>
        <w:tc>
          <w:tcPr>
            <w:tcW w:type="dxa" w:w="1662"/>
          </w:tcPr>
          <w:p>
            <w:pPr>
              <w:spacing w:after="0"/>
            </w:pPr>
            <w:r/>
            <w:r>
              <w:rPr>
                <w:sz w:val="15"/>
              </w:rPr>
              <w:t>trigger yes, content no</w:t>
            </w:r>
          </w:p>
        </w:tc>
      </w:tr>
      <w:tr>
        <w:tc>
          <w:tcPr>
            <w:tcW w:type="dxa" w:w="1662"/>
          </w:tcPr>
          <w:p>
            <w:pPr>
              <w:spacing w:after="0"/>
            </w:pPr>
            <w:r/>
            <w:r>
              <w:rPr>
                <w:sz w:val="15"/>
              </w:rPr>
              <w:t>C8</w:t>
            </w:r>
          </w:p>
        </w:tc>
        <w:tc>
          <w:tcPr>
            <w:tcW w:type="dxa" w:w="1662"/>
          </w:tcPr>
          <w:p>
            <w:pPr>
              <w:spacing w:after="0"/>
            </w:pPr>
            <w:r/>
            <w:r>
              <w:rPr>
                <w:sz w:val="15"/>
              </w:rPr>
              <w:t>2026-10-25</w:t>
            </w:r>
          </w:p>
        </w:tc>
        <w:tc>
          <w:tcPr>
            <w:tcW w:type="dxa" w:w="1662"/>
          </w:tcPr>
          <w:p>
            <w:pPr>
              <w:spacing w:after="0"/>
            </w:pPr>
            <w:r/>
            <w:r>
              <w:rPr>
                <w:sz w:val="15"/>
              </w:rPr>
              <w:t>Explained findings sorted after self-standing asserted entities (probabilities unchanged)</w:t>
            </w:r>
          </w:p>
        </w:tc>
        <w:tc>
          <w:tcPr>
            <w:tcW w:type="dxa" w:w="1662"/>
          </w:tcPr>
          <w:p>
            <w:pPr>
              <w:spacing w:after="0"/>
            </w:pPr>
            <w:r/>
            <w:r>
              <w:rPr>
                <w:sz w:val="15"/>
              </w:rPr>
              <w:t>— (ordering)</w:t>
            </w:r>
          </w:p>
        </w:tc>
        <w:tc>
          <w:tcPr>
            <w:tcW w:type="dxa" w:w="1662"/>
          </w:tcPr>
          <w:p>
            <w:pPr>
              <w:spacing w:after="0"/>
            </w:pPr>
            <w:r/>
            <w:r>
              <w:rPr>
                <w:sz w:val="15"/>
              </w:rPr>
              <w:t>development error audit (displacement)</w:t>
            </w:r>
          </w:p>
        </w:tc>
        <w:tc>
          <w:tcPr>
            <w:tcW w:type="dxa" w:w="1662"/>
          </w:tcPr>
          <w:p>
            <w:pPr>
              <w:spacing w:after="0"/>
            </w:pPr>
            <w:r/>
            <w:r>
              <w:rPr>
                <w:sz w:val="15"/>
              </w:rPr>
              <w:t>no</w:t>
            </w:r>
          </w:p>
        </w:tc>
      </w:tr>
      <w:tr>
        <w:tc>
          <w:tcPr>
            <w:tcW w:type="dxa" w:w="1662"/>
          </w:tcPr>
          <w:p>
            <w:pPr>
              <w:spacing w:after="0"/>
            </w:pPr>
            <w:r/>
            <w:r>
              <w:rPr>
                <w:sz w:val="15"/>
              </w:rPr>
              <w:t>C9</w:t>
            </w:r>
          </w:p>
        </w:tc>
        <w:tc>
          <w:tcPr>
            <w:tcW w:type="dxa" w:w="1662"/>
          </w:tcPr>
          <w:p>
            <w:pPr>
              <w:spacing w:after="0"/>
            </w:pPr>
            <w:r/>
            <w:r>
              <w:rPr>
                <w:sz w:val="15"/>
              </w:rPr>
              <w:t>2026-10-25</w:t>
            </w:r>
          </w:p>
        </w:tc>
        <w:tc>
          <w:tcPr>
            <w:tcW w:type="dxa" w:w="1662"/>
          </w:tcPr>
          <w:p>
            <w:pPr>
              <w:spacing w:after="0"/>
            </w:pPr>
            <w:r/>
            <w:r>
              <w:rPr>
                <w:sz w:val="15"/>
              </w:rPr>
              <w:t>Ischaemic-context MI syndrome (injury + ischaemia)</w:t>
            </w:r>
          </w:p>
        </w:tc>
        <w:tc>
          <w:tcPr>
            <w:tcW w:type="dxa" w:w="1662"/>
          </w:tcPr>
          <w:p>
            <w:pPr>
              <w:spacing w:after="0"/>
            </w:pPr>
            <w:r/>
            <w:r>
              <w:rPr>
                <w:sz w:val="15"/>
              </w:rPr>
              <w:t>4th UDMI; ESC 2023 rule-in</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C10</w:t>
            </w:r>
          </w:p>
        </w:tc>
        <w:tc>
          <w:tcPr>
            <w:tcW w:type="dxa" w:w="1662"/>
          </w:tcPr>
          <w:p>
            <w:pPr>
              <w:spacing w:after="0"/>
            </w:pPr>
            <w:r/>
            <w:r>
              <w:rPr>
                <w:sz w:val="15"/>
              </w:rPr>
              <w:t>2026-10-25</w:t>
            </w:r>
          </w:p>
        </w:tc>
        <w:tc>
          <w:tcPr>
            <w:tcW w:type="dxa" w:w="1662"/>
          </w:tcPr>
          <w:p>
            <w:pPr>
              <w:spacing w:after="0"/>
            </w:pPr>
            <w:r/>
            <w:r>
              <w:rPr>
                <w:sz w:val="15"/>
              </w:rPr>
              <w:t>Single troponin &gt; 99th URL → "myocardial injury, acuity undetermined"; acute injury requires rise/fall</w:t>
            </w:r>
          </w:p>
        </w:tc>
        <w:tc>
          <w:tcPr>
            <w:tcW w:type="dxa" w:w="1662"/>
          </w:tcPr>
          <w:p>
            <w:pPr>
              <w:spacing w:after="0"/>
            </w:pPr>
            <w:r/>
            <w:r>
              <w:rPr>
                <w:sz w:val="15"/>
              </w:rPr>
              <w:t>4th UDMI §3</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v6.1</w:t>
            </w:r>
          </w:p>
        </w:tc>
        <w:tc>
          <w:tcPr>
            <w:tcW w:type="dxa" w:w="1662"/>
          </w:tcPr>
          <w:p>
            <w:pPr>
              <w:spacing w:after="0"/>
            </w:pPr>
            <w:r/>
            <w:r>
              <w:rPr>
                <w:sz w:val="15"/>
              </w:rPr>
              <w:t>2026-10-25</w:t>
            </w:r>
          </w:p>
        </w:tc>
        <w:tc>
          <w:tcPr>
            <w:tcW w:type="dxa" w:w="1662"/>
          </w:tcPr>
          <w:p>
            <w:pPr>
              <w:spacing w:after="0"/>
            </w:pPr>
            <w:r/>
            <w:r>
              <w:rPr>
                <w:sz w:val="15"/>
              </w:rPr>
              <w:t>Anchor-strength constellation floor = full constellation vote (fusion asymmetry found by perturbation fuzz)</w:t>
            </w:r>
          </w:p>
        </w:tc>
        <w:tc>
          <w:tcPr>
            <w:tcW w:type="dxa" w:w="1662"/>
          </w:tcPr>
          <w:p>
            <w:pPr>
              <w:spacing w:after="0"/>
            </w:pPr>
            <w:r/>
            <w:r>
              <w:rPr>
                <w:sz w:val="15"/>
              </w:rPr>
              <w:t>— (ordering principle anchor &gt; strong &gt; pattern)</w:t>
            </w:r>
          </w:p>
        </w:tc>
        <w:tc>
          <w:tcPr>
            <w:tcW w:type="dxa" w:w="1662"/>
          </w:tcPr>
          <w:p>
            <w:pPr>
              <w:spacing w:after="0"/>
            </w:pPr>
            <w:r/>
            <w:r>
              <w:rPr>
                <w:sz w:val="15"/>
              </w:rPr>
              <w:t>synthetic fuzz, declared before any run</w:t>
            </w:r>
          </w:p>
        </w:tc>
        <w:tc>
          <w:tcPr>
            <w:tcW w:type="dxa" w:w="1662"/>
          </w:tcPr>
          <w:p>
            <w:pPr>
              <w:spacing w:after="0"/>
            </w:pPr>
            <w:r/>
            <w:r>
              <w:rPr>
                <w:sz w:val="15"/>
              </w:rPr>
              <w:t>no</w:t>
            </w:r>
          </w:p>
        </w:tc>
      </w:tr>
      <w:tr>
        <w:tc>
          <w:tcPr>
            <w:tcW w:type="dxa" w:w="1662"/>
          </w:tcPr>
          <w:p>
            <w:pPr>
              <w:spacing w:after="0"/>
            </w:pPr>
            <w:r/>
            <w:r>
              <w:rPr>
                <w:sz w:val="15"/>
              </w:rPr>
              <w:t>C11</w:t>
            </w:r>
          </w:p>
        </w:tc>
        <w:tc>
          <w:tcPr>
            <w:tcW w:type="dxa" w:w="1662"/>
          </w:tcPr>
          <w:p>
            <w:pPr>
              <w:spacing w:after="0"/>
            </w:pPr>
            <w:r/>
            <w:r>
              <w:rPr>
                <w:sz w:val="15"/>
              </w:rPr>
              <w:t>2026-10-25</w:t>
            </w:r>
          </w:p>
        </w:tc>
        <w:tc>
          <w:tcPr>
            <w:tcW w:type="dxa" w:w="1662"/>
          </w:tcPr>
          <w:p>
            <w:pPr>
              <w:spacing w:after="0"/>
            </w:pPr>
            <w:r/>
            <w:r>
              <w:rPr>
                <w:sz w:val="15"/>
              </w:rPr>
              <w:t>Causal attribution map: a diagnosis explains a finding only if its fired evidence covers the finding's analytes or the pair is in a curated cause→finding map; explainer &lt; 0.80 cannot pull a better-established finding beneath it</w:t>
            </w:r>
          </w:p>
        </w:tc>
        <w:tc>
          <w:tcPr>
            <w:tcW w:type="dxa" w:w="1662"/>
          </w:tcPr>
          <w:p>
            <w:pPr>
              <w:spacing w:after="0"/>
            </w:pPr>
            <w:r/>
            <w:r>
              <w:rPr>
                <w:sz w:val="15"/>
              </w:rPr>
              <w:t>per-entry guideline sources (KDIGO, ADA, AHA/ACC, SSC, AASLD/EASL, ATA, ACOG 222, ASH)</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C12</w:t>
            </w:r>
          </w:p>
        </w:tc>
        <w:tc>
          <w:tcPr>
            <w:tcW w:type="dxa" w:w="1662"/>
          </w:tcPr>
          <w:p>
            <w:pPr>
              <w:spacing w:after="0"/>
            </w:pPr>
            <w:r/>
            <w:r>
              <w:rPr>
                <w:sz w:val="15"/>
              </w:rPr>
              <w:t>2026-10-25</w:t>
            </w:r>
          </w:p>
        </w:tc>
        <w:tc>
          <w:tcPr>
            <w:tcW w:type="dxa" w:w="1662"/>
          </w:tcPr>
          <w:p>
            <w:pPr>
              <w:spacing w:after="0"/>
            </w:pPr>
            <w:r/>
            <w:r>
              <w:rPr>
                <w:sz w:val="15"/>
              </w:rPr>
              <w:t>Renal parsimony: presumptive AKI, zero chronicity markers, no documented CKD → CKD ≤ 0.49</w:t>
            </w:r>
          </w:p>
        </w:tc>
        <w:tc>
          <w:tcPr>
            <w:tcW w:type="dxa" w:w="1662"/>
          </w:tcPr>
          <w:p>
            <w:pPr>
              <w:spacing w:after="0"/>
            </w:pPr>
            <w:r/>
            <w:r>
              <w:rPr>
                <w:sz w:val="15"/>
              </w:rPr>
              <w:t>KDIGO 2012</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C13</w:t>
            </w:r>
          </w:p>
        </w:tc>
        <w:tc>
          <w:tcPr>
            <w:tcW w:type="dxa" w:w="1662"/>
          </w:tcPr>
          <w:p>
            <w:pPr>
              <w:spacing w:after="0"/>
            </w:pPr>
            <w:r/>
            <w:r>
              <w:rPr>
                <w:sz w:val="15"/>
              </w:rPr>
              <w:t>2026-10-25</w:t>
            </w:r>
          </w:p>
        </w:tc>
        <w:tc>
          <w:tcPr>
            <w:tcW w:type="dxa" w:w="1662"/>
          </w:tcPr>
          <w:p>
            <w:pPr>
              <w:spacing w:after="0"/>
            </w:pPr>
            <w:r/>
            <w:r>
              <w:rPr>
                <w:sz w:val="15"/>
              </w:rPr>
              <w:t>Non-thyroidal illness in acute care requires an abnormal thyroid test (low T3/FT4 with non-suppressed TSH; TSH 0.1–0.4; recovery TSH 4.5–10); revised after firing on a normal TSH in a 300-stay smoke</w:t>
            </w:r>
          </w:p>
        </w:tc>
        <w:tc>
          <w:tcPr>
            <w:tcW w:type="dxa" w:w="1662"/>
          </w:tcPr>
          <w:p>
            <w:pPr>
              <w:spacing w:after="0"/>
            </w:pPr>
            <w:r/>
            <w:r>
              <w:rPr>
                <w:sz w:val="15"/>
              </w:rPr>
              <w:t>Fliers 2015; ATA/AACE 2012</w:t>
            </w:r>
          </w:p>
        </w:tc>
        <w:tc>
          <w:tcPr>
            <w:tcW w:type="dxa" w:w="1662"/>
          </w:tcPr>
          <w:p>
            <w:pPr>
              <w:spacing w:after="0"/>
            </w:pPr>
            <w:r/>
            <w:r>
              <w:rPr>
                <w:sz w:val="15"/>
              </w:rPr>
              <w:t>Amendment 15 closed list (+ dev smoke)</w:t>
            </w:r>
          </w:p>
        </w:tc>
        <w:tc>
          <w:tcPr>
            <w:tcW w:type="dxa" w:w="1662"/>
          </w:tcPr>
          <w:p>
            <w:pPr>
              <w:spacing w:after="0"/>
            </w:pPr>
            <w:r/>
            <w:r>
              <w:rPr>
                <w:sz w:val="15"/>
              </w:rPr>
              <w:t>no</w:t>
            </w:r>
          </w:p>
        </w:tc>
      </w:tr>
      <w:tr>
        <w:tc>
          <w:tcPr>
            <w:tcW w:type="dxa" w:w="1662"/>
          </w:tcPr>
          <w:p>
            <w:pPr>
              <w:spacing w:after="0"/>
            </w:pPr>
            <w:r/>
            <w:r>
              <w:rPr>
                <w:sz w:val="15"/>
              </w:rPr>
              <w:t>C14</w:t>
            </w:r>
          </w:p>
        </w:tc>
        <w:tc>
          <w:tcPr>
            <w:tcW w:type="dxa" w:w="1662"/>
          </w:tcPr>
          <w:p>
            <w:pPr>
              <w:spacing w:after="0"/>
            </w:pPr>
            <w:r/>
            <w:r>
              <w:rPr>
                <w:sz w:val="15"/>
              </w:rPr>
              <w:t>2026-10-25</w:t>
            </w:r>
          </w:p>
        </w:tc>
        <w:tc>
          <w:tcPr>
            <w:tcW w:type="dxa" w:w="1662"/>
          </w:tcPr>
          <w:p>
            <w:pPr>
              <w:spacing w:after="0"/>
            </w:pPr>
            <w:r/>
            <w:r>
              <w:rPr>
                <w:sz w:val="15"/>
              </w:rPr>
              <w:t>Urate 7.0–9.0 mg/dL = pattern (0.80); ≥ 9.0 = strong (0.88)</w:t>
            </w:r>
          </w:p>
        </w:tc>
        <w:tc>
          <w:tcPr>
            <w:tcW w:type="dxa" w:w="1662"/>
          </w:tcPr>
          <w:p>
            <w:pPr>
              <w:spacing w:after="0"/>
            </w:pPr>
            <w:r/>
            <w:r>
              <w:rPr>
                <w:sz w:val="15"/>
              </w:rPr>
              <w:t>ACR 2020; Cairo–Bishop</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C15</w:t>
            </w:r>
          </w:p>
        </w:tc>
        <w:tc>
          <w:tcPr>
            <w:tcW w:type="dxa" w:w="1662"/>
          </w:tcPr>
          <w:p>
            <w:pPr>
              <w:spacing w:after="0"/>
            </w:pPr>
            <w:r/>
            <w:r>
              <w:rPr>
                <w:sz w:val="15"/>
              </w:rPr>
              <w:t>2026-10-25</w:t>
            </w:r>
          </w:p>
        </w:tc>
        <w:tc>
          <w:tcPr>
            <w:tcW w:type="dxa" w:w="1662"/>
          </w:tcPr>
          <w:p>
            <w:pPr>
              <w:spacing w:after="0"/>
            </w:pPr>
            <w:r/>
            <w:r>
              <w:rPr>
                <w:sz w:val="15"/>
              </w:rPr>
              <w:t>Hypocalcaemia anchor/strong grades require albumin-corrected or ionised calcium; uncorrected total calcium &lt; 7.5 mg/dL = pattern</w:t>
            </w:r>
          </w:p>
        </w:tc>
        <w:tc>
          <w:tcPr>
            <w:tcW w:type="dxa" w:w="1662"/>
          </w:tcPr>
          <w:p>
            <w:pPr>
              <w:spacing w:after="0"/>
            </w:pPr>
            <w:r/>
            <w:r>
              <w:rPr>
                <w:sz w:val="15"/>
              </w:rPr>
              <w:t>Cooper &amp; Gittoes 2008</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C16</w:t>
            </w:r>
          </w:p>
        </w:tc>
        <w:tc>
          <w:tcPr>
            <w:tcW w:type="dxa" w:w="1662"/>
          </w:tcPr>
          <w:p>
            <w:pPr>
              <w:spacing w:after="0"/>
            </w:pPr>
            <w:r/>
            <w:r>
              <w:rPr>
                <w:sz w:val="15"/>
              </w:rPr>
              <w:t>2026-10-25</w:t>
            </w:r>
          </w:p>
        </w:tc>
        <w:tc>
          <w:tcPr>
            <w:tcW w:type="dxa" w:w="1662"/>
          </w:tcPr>
          <w:p>
            <w:pPr>
              <w:spacing w:after="0"/>
            </w:pPr>
            <w:r/>
            <w:r>
              <w:rPr>
                <w:sz w:val="15"/>
              </w:rPr>
              <w:t>Sickle-cell context guard: acute chest syndrome / vaso-occlusive crisis capped at 0.3 unless SCD documented or HbS measured</w:t>
            </w:r>
          </w:p>
        </w:tc>
        <w:tc>
          <w:tcPr>
            <w:tcW w:type="dxa" w:w="1662"/>
          </w:tcPr>
          <w:p>
            <w:pPr>
              <w:spacing w:after="0"/>
            </w:pPr>
            <w:r/>
            <w:r>
              <w:rPr>
                <w:sz w:val="15"/>
              </w:rPr>
              <w:t>NHLBI 2014; ASH 2020</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 xml:space="preserve">1 — </w:t>
            </w:r>
            <w:r>
              <w:rPr>
                <w:rFonts w:ascii="Consolas" w:hAnsi="Consolas"/>
                <w:sz w:val="15"/>
              </w:rPr>
              <w:t>FREEZE_v14_20261025</w:t>
            </w:r>
            <w:r>
              <w:rPr>
                <w:sz w:val="15"/>
              </w:rPr>
              <w:t xml:space="preserve"> (registry 14.1.0, engine v6.1)</w:t>
            </w:r>
          </w:p>
        </w:tc>
        <w:tc>
          <w:tcPr>
            <w:tcW w:type="dxa" w:w="1662"/>
          </w:tcPr>
          <w:p>
            <w:pPr>
              <w:spacing w:after="0"/>
            </w:pPr>
            <w:r/>
            <w:r>
              <w:rPr>
                <w:sz w:val="15"/>
              </w:rPr>
              <w:t>MIMIC-IV demo, labs-only, lab-detectable coded diagnoses: top-5 / top-1 (primary)</w:t>
            </w:r>
          </w:p>
        </w:tc>
        <w:tc>
          <w:tcPr>
            <w:tcW w:type="dxa" w:w="1662"/>
          </w:tcPr>
          <w:p>
            <w:pPr>
              <w:spacing w:after="0"/>
            </w:pPr>
            <w:r/>
            <w:r>
              <w:rPr>
                <w:sz w:val="15"/>
              </w:rPr>
              <w:t>≥ 65 % / ≥ 45 %</w:t>
            </w:r>
          </w:p>
        </w:tc>
        <w:tc>
          <w:tcPr>
            <w:tcW w:type="dxa" w:w="1662"/>
          </w:tcPr>
          <w:p>
            <w:pPr>
              <w:spacing w:after="0"/>
            </w:pPr>
            <w:r/>
            <w:r>
              <w:rPr>
                <w:sz w:val="15"/>
              </w:rPr>
              <w:t>47.9 % / ≈ 18 % (control 13.3.0 registry, same engine: 50.1 %); difference driven by CKD recall 27.7 vs 50.8 % (KDIGO chronicity)</w:t>
            </w:r>
          </w:p>
        </w:tc>
        <w:tc>
          <w:tcPr>
            <w:tcW w:type="dxa" w:w="1662"/>
          </w:tcPr>
          <w:p>
            <w:pPr>
              <w:spacing w:after="0"/>
            </w:pPr>
            <w:r/>
            <w:r>
              <w:rPr>
                <w:b/>
                <w:sz w:val="15"/>
              </w:rPr>
              <w:t>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Sepsis-2019 set B (4,558 windows / 268 sepsis), concurrent, labs + vitals: AUROC (primary)</w:t>
            </w:r>
          </w:p>
        </w:tc>
        <w:tc>
          <w:tcPr>
            <w:tcW w:type="dxa" w:w="1662"/>
          </w:tcPr>
          <w:p>
            <w:pPr>
              <w:spacing w:after="0"/>
            </w:pPr>
            <w:r/>
            <w:r>
              <w:rPr>
                <w:sz w:val="15"/>
              </w:rPr>
              <w:t>≥ 0.65</w:t>
            </w:r>
          </w:p>
        </w:tc>
        <w:tc>
          <w:tcPr>
            <w:tcW w:type="dxa" w:w="1662"/>
          </w:tcPr>
          <w:p>
            <w:pPr>
              <w:spacing w:after="0"/>
            </w:pPr>
            <w:r/>
            <w:r>
              <w:rPr>
                <w:sz w:val="15"/>
              </w:rPr>
              <w:t>0.638 (0.601–0.675); control 0.639</w:t>
            </w:r>
          </w:p>
        </w:tc>
        <w:tc>
          <w:tcPr>
            <w:tcW w:type="dxa" w:w="1662"/>
          </w:tcPr>
          <w:p>
            <w:pPr>
              <w:spacing w:after="0"/>
            </w:pPr>
            <w:r/>
            <w:r>
              <w:rPr>
                <w:b/>
                <w:sz w:val="15"/>
              </w:rPr>
              <w:t>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set B flag rate in non-sepsis windows</w:t>
            </w:r>
          </w:p>
        </w:tc>
        <w:tc>
          <w:tcPr>
            <w:tcW w:type="dxa" w:w="1662"/>
          </w:tcPr>
          <w:p>
            <w:pPr>
              <w:spacing w:after="0"/>
            </w:pPr>
            <w:r/>
            <w:r>
              <w:rPr>
                <w:sz w:val="15"/>
              </w:rPr>
              <w:t>≤ 20 %</w:t>
            </w:r>
          </w:p>
        </w:tc>
        <w:tc>
          <w:tcPr>
            <w:tcW w:type="dxa" w:w="1662"/>
          </w:tcPr>
          <w:p>
            <w:pPr>
              <w:spacing w:after="0"/>
            </w:pPr>
            <w:r/>
            <w:r>
              <w:rPr>
                <w:sz w:val="15"/>
              </w:rPr>
              <w:t>16.1 %</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NHANES 2013–14 (H): diabetes, CKD, anaemia, iron-deficiency AUROC within 0.03 of NHANES J (13.3.0); CKD false positives not higher</w:t>
            </w:r>
          </w:p>
        </w:tc>
        <w:tc>
          <w:tcPr>
            <w:tcW w:type="dxa" w:w="1662"/>
          </w:tcPr>
          <w:p>
            <w:pPr>
              <w:spacing w:after="0"/>
            </w:pPr>
            <w:r/>
            <w:r>
              <w:rPr>
                <w:sz w:val="15"/>
              </w:rPr>
              <w:t>0.03</w:t>
            </w:r>
          </w:p>
        </w:tc>
        <w:tc>
          <w:tcPr>
            <w:tcW w:type="dxa" w:w="1662"/>
          </w:tcPr>
          <w:p>
            <w:pPr>
              <w:spacing w:after="0"/>
            </w:pPr>
            <w:r/>
            <w:r>
              <w:rPr>
                <w:sz w:val="15"/>
              </w:rPr>
              <w:t>all within 0.03; CKD false positives lower</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New PMC case reports: top-5</w:t>
            </w:r>
          </w:p>
        </w:tc>
        <w:tc>
          <w:tcPr>
            <w:tcW w:type="dxa" w:w="1662"/>
          </w:tcPr>
          <w:p>
            <w:pPr>
              <w:spacing w:after="0"/>
            </w:pPr>
            <w:r/>
            <w:r>
              <w:rPr>
                <w:sz w:val="15"/>
              </w:rPr>
              <w:t>≥ 60 %</w:t>
            </w:r>
          </w:p>
        </w:tc>
        <w:tc>
          <w:tcPr>
            <w:tcW w:type="dxa" w:w="1662"/>
          </w:tcPr>
          <w:p>
            <w:pPr>
              <w:spacing w:after="0"/>
            </w:pPr>
            <w:r/>
            <w:r>
              <w:rPr>
                <w:sz w:val="15"/>
              </w:rPr>
              <w:t>68 % syndrome-level / 26 % specific (manual extraction)</w:t>
            </w:r>
          </w:p>
        </w:tc>
        <w:tc>
          <w:tcPr>
            <w:tcW w:type="dxa" w:w="1662"/>
          </w:tcPr>
          <w:p>
            <w:pPr>
              <w:spacing w:after="0"/>
            </w:pPr>
            <w:r/>
            <w:r>
              <w:rPr>
                <w:sz w:val="15"/>
              </w:rPr>
              <w:t>partial (syndrome yes, specific 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Safety: healthy false flags; fuzz</w:t>
            </w:r>
          </w:p>
        </w:tc>
        <w:tc>
          <w:tcPr>
            <w:tcW w:type="dxa" w:w="1662"/>
          </w:tcPr>
          <w:p>
            <w:pPr>
              <w:spacing w:after="0"/>
            </w:pPr>
            <w:r/>
            <w:r>
              <w:rPr>
                <w:sz w:val="15"/>
              </w:rPr>
              <w:t>0/40; 0/1000</w:t>
            </w:r>
          </w:p>
        </w:tc>
        <w:tc>
          <w:tcPr>
            <w:tcW w:type="dxa" w:w="1662"/>
          </w:tcPr>
          <w:p>
            <w:pPr>
              <w:spacing w:after="0"/>
            </w:pPr>
            <w:r/>
            <w:r>
              <w:rPr>
                <w:sz w:val="15"/>
              </w:rPr>
              <w:t>0/40; fuzz 753/755 (2 pre-existing)</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Interpretation rule (round 1)</w:t>
            </w:r>
          </w:p>
        </w:tc>
        <w:tc>
          <w:tcPr>
            <w:tcW w:type="dxa" w:w="1662"/>
          </w:tcPr>
          <w:p>
            <w:pPr>
              <w:spacing w:after="0"/>
            </w:pPr>
            <w:r/>
            <w:r>
              <w:rPr>
                <w:sz w:val="15"/>
              </w:rPr>
              <w:t>any primary missed → reported verbatim as failure; prior release remains headline</w:t>
            </w:r>
          </w:p>
        </w:tc>
        <w:tc>
          <w:tcPr>
            <w:tcW w:type="dxa" w:w="1662"/>
          </w:tcPr>
          <w:p>
            <w:pPr>
              <w:spacing w:after="0"/>
            </w:pPr>
            <w:r/>
            <w:r>
              <w:rPr>
                <w:sz w:val="15"/>
              </w:rPr>
              <w:t>—</w:t>
            </w:r>
          </w:p>
        </w:tc>
        <w:tc>
          <w:tcPr>
            <w:tcW w:type="dxa" w:w="1662"/>
          </w:tcPr>
          <w:p>
            <w:pPr>
              <w:spacing w:after="0"/>
            </w:pPr>
            <w:r/>
            <w:r>
              <w:rPr>
                <w:sz w:val="15"/>
              </w:rPr>
              <w:t>applied: no recall-improvement claim for 14.x</w:t>
            </w:r>
          </w:p>
        </w:tc>
        <w:tc>
          <w:tcPr>
            <w:tcW w:type="dxa" w:w="1662"/>
          </w:tcPr>
          <w:p>
            <w:pPr>
              <w:spacing w:after="0"/>
            </w:pPr>
            <w:r/>
            <w:r>
              <w:rPr>
                <w:sz w:val="15"/>
              </w:rPr>
              <w:t>—</w:t>
            </w:r>
          </w:p>
        </w:tc>
        <w:tc>
          <w:tcPr>
            <w:tcW w:type="dxa" w:w="1662"/>
          </w:tcPr>
          <w:p>
            <w:pPr>
              <w:spacing w:after="0"/>
            </w:pPr>
            <w:r/>
          </w:p>
        </w:tc>
      </w:tr>
      <w:tr>
        <w:tc>
          <w:tcPr>
            <w:tcW w:type="dxa" w:w="1662"/>
          </w:tcPr>
          <w:p>
            <w:pPr>
              <w:spacing w:after="0"/>
            </w:pPr>
            <w:r/>
            <w:r>
              <w:rPr>
                <w:sz w:val="15"/>
              </w:rPr>
              <w:t xml:space="preserve">2 — </w:t>
            </w:r>
            <w:r>
              <w:rPr>
                <w:rFonts w:ascii="Consolas" w:hAnsi="Consolas"/>
                <w:sz w:val="15"/>
              </w:rPr>
              <w:t>FREEZE_v15_20261025</w:t>
            </w:r>
            <w:r>
              <w:rPr>
                <w:sz w:val="15"/>
              </w:rPr>
              <w:t xml:space="preserve"> (registry 14.1.0, engine v7; criteria re-specified as non-inferiority in Amendment 15, dated after round 1 and before any round-2 file was opened)</w:t>
            </w:r>
          </w:p>
        </w:tc>
        <w:tc>
          <w:tcPr>
            <w:tcW w:type="dxa" w:w="1662"/>
          </w:tcPr>
          <w:p>
            <w:pPr>
              <w:spacing w:after="0"/>
            </w:pPr>
            <w:r/>
            <w:r>
              <w:rPr>
                <w:sz w:val="15"/>
              </w:rPr>
              <w:t>NHANES 2015–16 (I): diabetes, CKD, anaemia, iron deficiency, hypercholesterolaemia, hyperuricaemia AUROC within 0.03 of H/J; healthy false flags</w:t>
            </w:r>
          </w:p>
        </w:tc>
        <w:tc>
          <w:tcPr>
            <w:tcW w:type="dxa" w:w="1662"/>
          </w:tcPr>
          <w:p>
            <w:pPr>
              <w:spacing w:after="0"/>
            </w:pPr>
            <w:r/>
            <w:r>
              <w:rPr>
                <w:sz w:val="15"/>
              </w:rPr>
              <w:t>0.03; ≤ 1 %</w:t>
            </w:r>
          </w:p>
        </w:tc>
        <w:tc>
          <w:tcPr>
            <w:tcW w:type="dxa" w:w="1662"/>
          </w:tcPr>
          <w:p>
            <w:pPr>
              <w:spacing w:after="0"/>
            </w:pPr>
            <w:r/>
            <w:r>
              <w:rPr>
                <w:sz w:val="15"/>
              </w:rPr>
              <w:t>.924 /.962 /.983 /.972 /.886 /.955 (largest deviation 0.018); healthy 0/79</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2</w:t>
            </w:r>
          </w:p>
        </w:tc>
        <w:tc>
          <w:tcPr>
            <w:tcW w:type="dxa" w:w="1662"/>
          </w:tcPr>
          <w:p>
            <w:pPr>
              <w:spacing w:after="0"/>
            </w:pPr>
            <w:r/>
            <w:r>
              <w:rPr>
                <w:sz w:val="15"/>
              </w:rPr>
              <w:t>Sepsis-2019 set B2 (5,000 records disjoint from set B), concurrent arm B: AUROC not lower than set B (0.638) by more than 0.02; flag rate</w:t>
            </w:r>
          </w:p>
        </w:tc>
        <w:tc>
          <w:tcPr>
            <w:tcW w:type="dxa" w:w="1662"/>
          </w:tcPr>
          <w:p>
            <w:pPr>
              <w:spacing w:after="0"/>
            </w:pPr>
            <w:r/>
            <w:r>
              <w:rPr>
                <w:sz w:val="15"/>
              </w:rPr>
              <w:t>−0.02; ≤ 20 %</w:t>
            </w:r>
          </w:p>
        </w:tc>
        <w:tc>
          <w:tcPr>
            <w:tcW w:type="dxa" w:w="1662"/>
          </w:tcPr>
          <w:p>
            <w:pPr>
              <w:spacing w:after="0"/>
            </w:pPr>
            <w:r/>
            <w:r>
              <w:rPr>
                <w:sz w:val="15"/>
              </w:rPr>
              <w:t>0.635 (0.597–0.673); 14.2 %</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2</w:t>
            </w:r>
          </w:p>
        </w:tc>
        <w:tc>
          <w:tcPr>
            <w:tcW w:type="dxa" w:w="1662"/>
          </w:tcPr>
          <w:p>
            <w:pPr>
              <w:spacing w:after="0"/>
            </w:pPr>
            <w:r/>
            <w:r>
              <w:rPr>
                <w:sz w:val="15"/>
              </w:rPr>
              <w:t>Safety: healthy sweep; fuzz</w:t>
            </w:r>
          </w:p>
        </w:tc>
        <w:tc>
          <w:tcPr>
            <w:tcW w:type="dxa" w:w="1662"/>
          </w:tcPr>
          <w:p>
            <w:pPr>
              <w:spacing w:after="0"/>
            </w:pPr>
            <w:r/>
            <w:r>
              <w:rPr>
                <w:sz w:val="15"/>
              </w:rPr>
              <w:t>0/1000; no new breaks</w:t>
            </w:r>
          </w:p>
        </w:tc>
        <w:tc>
          <w:tcPr>
            <w:tcW w:type="dxa" w:w="1662"/>
          </w:tcPr>
          <w:p>
            <w:pPr>
              <w:spacing w:after="0"/>
            </w:pPr>
            <w:r/>
            <w:r>
              <w:rPr>
                <w:sz w:val="15"/>
              </w:rPr>
              <w:t>0/1000; 753/755</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Interpretation rule (round 2)</w:t>
            </w:r>
          </w:p>
        </w:tc>
        <w:tc>
          <w:tcPr>
            <w:tcW w:type="dxa" w:w="1662"/>
          </w:tcPr>
          <w:p>
            <w:pPr>
              <w:spacing w:after="0"/>
            </w:pPr>
            <w:r/>
            <w:r>
              <w:rPr>
                <w:sz w:val="15"/>
              </w:rPr>
              <w:t xml:space="preserve">criteria met → v7 ships as the frozen engine at parity, </w:t>
            </w:r>
            <w:r>
              <w:rPr>
                <w:b/>
                <w:sz w:val="15"/>
              </w:rPr>
              <w:t>no improvement claim</w:t>
            </w:r>
            <w:r>
              <w:rPr>
                <w:sz w:val="15"/>
              </w:rPr>
              <w:t>; eICU/MIMIC changes reported as development results</w:t>
            </w:r>
          </w:p>
        </w:tc>
        <w:tc>
          <w:tcPr>
            <w:tcW w:type="dxa" w:w="1662"/>
          </w:tcPr>
          <w:p>
            <w:pPr>
              <w:spacing w:after="0"/>
            </w:pPr>
            <w:r/>
            <w:r>
              <w:rPr>
                <w:sz w:val="15"/>
              </w:rPr>
              <w:t>—</w:t>
            </w:r>
          </w:p>
        </w:tc>
        <w:tc>
          <w:tcPr>
            <w:tcW w:type="dxa" w:w="1662"/>
          </w:tcPr>
          <w:p>
            <w:pPr>
              <w:spacing w:after="0"/>
            </w:pPr>
            <w:r/>
            <w:r>
              <w:rPr>
                <w:sz w:val="15"/>
              </w:rPr>
              <w:t>applied</w:t>
            </w:r>
          </w:p>
        </w:tc>
        <w:tc>
          <w:tcPr>
            <w:tcW w:type="dxa" w:w="1662"/>
          </w:tcPr>
          <w:p>
            <w:pPr>
              <w:spacing w:after="0"/>
            </w:pPr>
            <w:r/>
            <w:r>
              <w:rPr>
                <w:sz w:val="15"/>
              </w:rPr>
              <w:t>—</w:t>
            </w:r>
          </w:p>
        </w:tc>
        <w:tc>
          <w:tcPr>
            <w:tcW w:type="dxa" w:w="1662"/>
          </w:tcPr>
          <w:p>
            <w:pPr>
              <w:spacing w:after="0"/>
            </w:pPr>
            <w:r/>
            <w:r>
              <w:rPr>
                <w:sz w:val="15"/>
              </w:rPr>
              <w:t>Because the criteria were weakened between rounds (superiority → non-inferiority), round 2 is supportive evidence of non-regression, not the confirmatory test originally planned (main text Section 3.4). Two data-preparation corrections after the round-2 freeze (participant-id type; recomputed NHANES ACR column) are documented in; no engine, registry or evaluation file changed. ## Supplementary Note 2 — LLM comparison protocol ### Supplementary Note — Protocol of the blinded LLM comparison (B3 / B4 / B8) and reviewer additions ### 1. Design</w:t>
            </w:r>
          </w:p>
        </w:tc>
      </w:tr>
    </w:tbl>
    <w:p/>
    <w:p>
      <w:r>
        <w:t>Paired, blinded comparison of Hemoglyph with a general-purpose large language model on identical inputs: the first laboratory panel (≥ 8 analytes) of adult eICU-CRD demo stays, with age and sex. No clinical text, history, vitals or admission diagnosis was shown to either system. | item | value |</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b/>
              </w:rPr>
            </w:r>
            <w:r>
              <w:rPr>
                <w:b/>
                <w:sz w:val="15"/>
              </w:rPr>
              <w:t>---</w:t>
            </w:r>
          </w:p>
        </w:tc>
        <w:tc>
          <w:tcPr>
            <w:tcW w:type="dxa" w:w="4986"/>
          </w:tcPr>
          <w:p>
            <w:pPr>
              <w:spacing w:after="0"/>
            </w:pPr>
            <w:r>
              <w:rPr>
                <w:b/>
              </w:rPr>
            </w:r>
            <w:r>
              <w:rPr>
                <w:b/>
                <w:sz w:val="15"/>
              </w:rPr>
              <w:t>---</w:t>
            </w:r>
          </w:p>
        </w:tc>
      </w:tr>
      <w:tr>
        <w:tc>
          <w:tcPr>
            <w:tcW w:type="dxa" w:w="4986"/>
          </w:tcPr>
          <w:p>
            <w:pPr>
              <w:spacing w:after="0"/>
            </w:pPr>
            <w:r/>
            <w:r>
              <w:rPr>
                <w:sz w:val="15"/>
              </w:rPr>
              <w:t>stays</w:t>
            </w:r>
          </w:p>
        </w:tc>
        <w:tc>
          <w:tcPr>
            <w:tcW w:type="dxa" w:w="4986"/>
          </w:tcPr>
          <w:p>
            <w:pPr>
              <w:spacing w:after="0"/>
            </w:pPr>
            <w:r/>
            <w:r>
              <w:rPr>
                <w:sz w:val="15"/>
              </w:rPr>
              <w:t>400 (B3 n = 100, seed 20261021; B4 n = 60 out-of-sample, seed 20261022; B8 n = 240 disjoint, seed 20261023)</w:t>
            </w:r>
          </w:p>
        </w:tc>
      </w:tr>
      <w:tr>
        <w:tc>
          <w:tcPr>
            <w:tcW w:type="dxa" w:w="4986"/>
          </w:tcPr>
          <w:p>
            <w:pPr>
              <w:spacing w:after="0"/>
            </w:pPr>
            <w:r/>
            <w:r>
              <w:rPr>
                <w:sz w:val="15"/>
              </w:rPr>
              <w:t>scorable labels</w:t>
            </w:r>
          </w:p>
        </w:tc>
        <w:tc>
          <w:tcPr>
            <w:tcW w:type="dxa" w:w="4986"/>
          </w:tcPr>
          <w:p>
            <w:pPr>
              <w:spacing w:after="0"/>
            </w:pPr>
            <w:r/>
            <w:r>
              <w:rPr>
                <w:sz w:val="15"/>
              </w:rPr>
              <w:t xml:space="preserve">596 (clinician diagnosis strings → 31 groups via the frozen regex map </w:t>
            </w:r>
            <w:r>
              <w:rPr>
                <w:rFonts w:ascii="Consolas" w:hAnsi="Consolas"/>
                <w:sz w:val="15"/>
              </w:rPr>
              <w:t>eval_eicu.GROUPS</w:t>
            </w:r>
            <w:r>
              <w:rPr>
                <w:sz w:val="15"/>
              </w:rPr>
              <w:t>; label counted only when the group's key analyte was in the panel)</w:t>
            </w:r>
          </w:p>
        </w:tc>
      </w:tr>
      <w:tr>
        <w:tc>
          <w:tcPr>
            <w:tcW w:type="dxa" w:w="4986"/>
          </w:tcPr>
          <w:p>
            <w:pPr>
              <w:spacing w:after="0"/>
            </w:pPr>
            <w:r/>
            <w:r>
              <w:rPr>
                <w:sz w:val="15"/>
              </w:rPr>
              <w:t>LLM</w:t>
            </w:r>
          </w:p>
        </w:tc>
        <w:tc>
          <w:tcPr>
            <w:tcW w:type="dxa" w:w="4986"/>
          </w:tcPr>
          <w:p>
            <w:pPr>
              <w:spacing w:after="0"/>
            </w:pPr>
            <w:r/>
            <w:r>
              <w:rPr>
                <w:sz w:val="15"/>
              </w:rPr>
              <w:t xml:space="preserve">frontier-tier general-purpose LLM accessed through the Arena.ai Agent Mode interface; model identity not disclosed by the platform and withheld in the manuscript at the platform's request and </w:t>
            </w:r>
            <w:r>
              <w:rPr>
                <w:b/>
                <w:sz w:val="15"/>
              </w:rPr>
              <w:t>disclosed to the editor on request</w:t>
            </w:r>
          </w:p>
        </w:tc>
      </w:tr>
      <w:tr>
        <w:tc>
          <w:tcPr>
            <w:tcW w:type="dxa" w:w="4986"/>
          </w:tcPr>
          <w:p>
            <w:pPr>
              <w:spacing w:after="0"/>
            </w:pPr>
            <w:r/>
            <w:r>
              <w:rPr>
                <w:sz w:val="15"/>
              </w:rPr>
              <w:t>dates</w:t>
            </w:r>
          </w:p>
        </w:tc>
        <w:tc>
          <w:tcPr>
            <w:tcW w:type="dxa" w:w="4986"/>
          </w:tcPr>
          <w:p>
            <w:pPr>
              <w:spacing w:after="0"/>
            </w:pPr>
            <w:r/>
            <w:r>
              <w:rPr>
                <w:sz w:val="15"/>
              </w:rPr>
              <w:t>B3 2026-10-21; B4 2026-10-22; B8 2026-10-23; test–retest 2026-10-24; prompt-sensitivity arm 2026-10-25</w:t>
            </w:r>
          </w:p>
        </w:tc>
      </w:tr>
      <w:tr>
        <w:tc>
          <w:tcPr>
            <w:tcW w:type="dxa" w:w="4986"/>
          </w:tcPr>
          <w:p>
            <w:pPr>
              <w:spacing w:after="0"/>
            </w:pPr>
            <w:r/>
            <w:r>
              <w:rPr>
                <w:sz w:val="15"/>
              </w:rPr>
              <w:t>decoding</w:t>
            </w:r>
          </w:p>
        </w:tc>
        <w:tc>
          <w:tcPr>
            <w:tcW w:type="dxa" w:w="4986"/>
          </w:tcPr>
          <w:p>
            <w:pPr>
              <w:spacing w:after="0"/>
            </w:pPr>
            <w:r/>
            <w:r>
              <w:rPr>
                <w:sz w:val="15"/>
              </w:rPr>
              <w:t>interface default; temperature not user-controllable (hence the test–retest arm)</w:t>
            </w:r>
          </w:p>
        </w:tc>
      </w:tr>
      <w:tr>
        <w:tc>
          <w:tcPr>
            <w:tcW w:type="dxa" w:w="4986"/>
          </w:tcPr>
          <w:p>
            <w:pPr>
              <w:spacing w:after="0"/>
            </w:pPr>
            <w:r/>
            <w:r>
              <w:rPr>
                <w:sz w:val="15"/>
              </w:rPr>
              <w:t>prompt P1</w:t>
            </w:r>
          </w:p>
        </w:tc>
        <w:tc>
          <w:tcPr>
            <w:tcW w:type="dxa" w:w="4986"/>
          </w:tcPr>
          <w:p>
            <w:pPr>
              <w:spacing w:after="0"/>
            </w:pPr>
            <w:r/>
            <w:r>
              <w:rPr>
                <w:sz w:val="15"/>
              </w:rPr>
              <w:t>"You are a clinical laboratory medicine expert. Given the following laboratory panel of an adult ICU patient (first 24 h of admission), list the most likely diagnoses or clinically important laboratory syndromes this panel supports. Return ONLY JSON of the form {"diagnoses":[{"name":"...","probability":0.0-1.0}]} with at most 10 entries, ordered by probability. Do not include explanations. Patient: {age}-year-old {sex}. Panel: {analyte value unit …}"</w:t>
            </w:r>
          </w:p>
        </w:tc>
      </w:tr>
      <w:tr>
        <w:tc>
          <w:tcPr>
            <w:tcW w:type="dxa" w:w="4986"/>
          </w:tcPr>
          <w:p>
            <w:pPr>
              <w:spacing w:after="0"/>
            </w:pPr>
            <w:r/>
            <w:r>
              <w:rPr>
                <w:sz w:val="15"/>
              </w:rPr>
              <w:t>prompt P2 (sensitivity arm, 40 panels)</w:t>
            </w:r>
          </w:p>
        </w:tc>
        <w:tc>
          <w:tcPr>
            <w:tcW w:type="dxa" w:w="4986"/>
          </w:tcPr>
          <w:p>
            <w:pPr>
              <w:spacing w:after="0"/>
            </w:pPr>
            <w:r/>
            <w:r>
              <w:rPr>
                <w:sz w:val="15"/>
              </w:rPr>
              <w:t>"You are an ICU attending physician writing the admission problem list. From the first-24-hour laboratory panel of this adult ICU patient (age, sex and values only), list up to 10 diagnoses or clinically important laboratory syndromes you would record, ranked from most to least likely, using standard ICU diagnosis names. Output JSON {diagnoses:[{name, probability}]}, no explanations."</w:t>
            </w:r>
          </w:p>
        </w:tc>
      </w:tr>
      <w:tr>
        <w:tc>
          <w:tcPr>
            <w:tcW w:type="dxa" w:w="4986"/>
          </w:tcPr>
          <w:p>
            <w:pPr>
              <w:spacing w:after="0"/>
            </w:pPr>
            <w:r/>
            <w:r>
              <w:rPr>
                <w:sz w:val="15"/>
              </w:rPr>
              <w:t>batching</w:t>
            </w:r>
          </w:p>
        </w:tc>
        <w:tc>
          <w:tcPr>
            <w:tcW w:type="dxa" w:w="4986"/>
          </w:tcPr>
          <w:p>
            <w:pPr>
              <w:spacing w:after="0"/>
            </w:pPr>
            <w:r/>
            <w:r>
              <w:rPr>
                <w:sz w:val="15"/>
              </w:rPr>
              <w:t>panels presented in batches of 40 (B8) / 20 (B3, B4), each identified only by a case number</w:t>
            </w:r>
          </w:p>
        </w:tc>
      </w:tr>
      <w:tr>
        <w:tc>
          <w:tcPr>
            <w:tcW w:type="dxa" w:w="4986"/>
          </w:tcPr>
          <w:p>
            <w:pPr>
              <w:spacing w:after="0"/>
            </w:pPr>
            <w:r/>
            <w:r>
              <w:rPr>
                <w:sz w:val="15"/>
              </w:rPr>
              <w:t>blinding</w:t>
            </w:r>
          </w:p>
        </w:tc>
        <w:tc>
          <w:tcPr>
            <w:tcW w:type="dxa" w:w="4986"/>
          </w:tcPr>
          <w:p>
            <w:pPr>
              <w:spacing w:after="0"/>
            </w:pPr>
            <w:r/>
            <w:r>
              <w:rPr>
                <w:sz w:val="15"/>
              </w:rPr>
              <w:t>the panel file contains no labels and no engine output; the key file was generated separately and opened only by the scoring script after all read-outs were stored</w:t>
            </w:r>
          </w:p>
        </w:tc>
      </w:tr>
      <w:tr>
        <w:tc>
          <w:tcPr>
            <w:tcW w:type="dxa" w:w="4986"/>
          </w:tcPr>
          <w:p>
            <w:pPr>
              <w:spacing w:after="0"/>
            </w:pPr>
            <w:r/>
            <w:r>
              <w:rPr>
                <w:sz w:val="15"/>
              </w:rPr>
              <w:t>scoring</w:t>
            </w:r>
          </w:p>
        </w:tc>
        <w:tc>
          <w:tcPr>
            <w:tcW w:type="dxa" w:w="4986"/>
          </w:tcPr>
          <w:p>
            <w:pPr>
              <w:spacing w:after="0"/>
            </w:pPr>
            <w:r/>
            <w:r>
              <w:rPr>
                <w:sz w:val="15"/>
              </w:rPr>
              <w:t>free-text names mapped to the 31 groups by a fixed synonym regex map (</w:t>
            </w:r>
            <w:r>
              <w:rPr>
                <w:rFonts w:ascii="Consolas" w:hAnsi="Consolas"/>
                <w:sz w:val="15"/>
              </w:rPr>
              <w:t>llm_zero_shot.SYN</w:t>
            </w:r>
            <w:r>
              <w:rPr>
                <w:sz w:val="15"/>
              </w:rPr>
              <w:t>), written before B3 and unchanged since; same recall@k definition as the engine</w:t>
            </w:r>
          </w:p>
        </w:tc>
      </w:tr>
      <w:tr>
        <w:tc>
          <w:tcPr>
            <w:tcW w:type="dxa" w:w="4986"/>
          </w:tcPr>
          <w:p>
            <w:pPr>
              <w:spacing w:after="0"/>
            </w:pPr>
            <w:r/>
            <w:r>
              <w:rPr>
                <w:sz w:val="15"/>
              </w:rPr>
              <w:t>engine arm</w:t>
            </w:r>
          </w:p>
        </w:tc>
        <w:tc>
          <w:tcPr>
            <w:tcW w:type="dxa" w:w="4986"/>
          </w:tcPr>
          <w:p>
            <w:pPr>
              <w:spacing w:after="0"/>
            </w:pPr>
            <w:r/>
            <w:r>
              <w:rPr>
                <w:sz w:val="15"/>
              </w:rPr>
              <w:t xml:space="preserve">original analysis: engine v5.1 ranks (historical); </w:t>
            </w:r>
            <w:r>
              <w:rPr>
                <w:b/>
                <w:sz w:val="15"/>
              </w:rPr>
              <w:t>re-scored for the revision with the frozen engine v7 / registry 14.1.0</w:t>
            </w:r>
          </w:p>
        </w:tc>
      </w:tr>
      <w:tr>
        <w:tc>
          <w:tcPr>
            <w:tcW w:type="dxa" w:w="4986"/>
          </w:tcPr>
          <w:p>
            <w:pPr>
              <w:spacing w:after="0"/>
            </w:pPr>
            <w:r/>
            <w:r>
              <w:rPr>
                <w:sz w:val="15"/>
              </w:rPr>
              <w:t>statistics</w:t>
            </w:r>
          </w:p>
        </w:tc>
        <w:tc>
          <w:tcPr>
            <w:tcW w:type="dxa" w:w="4986"/>
          </w:tcPr>
          <w:p>
            <w:pPr>
              <w:spacing w:after="0"/>
            </w:pPr>
            <w:r/>
            <w:r>
              <w:rPr>
                <w:sz w:val="15"/>
              </w:rPr>
              <w:t>original: label-level Wilson CI and exact McNemar. Revision: stay-cluster bootstrap (4,000 resamples) and Durkalski cluster-adjusted McNemar; ICC and design effect reported</w:t>
            </w:r>
          </w:p>
        </w:tc>
      </w:tr>
      <w:tr>
        <w:tc>
          <w:tcPr>
            <w:tcW w:type="dxa" w:w="4986"/>
          </w:tcPr>
          <w:p>
            <w:pPr>
              <w:spacing w:after="0"/>
            </w:pPr>
            <w:r/>
            <w:r>
              <w:rPr>
                <w:sz w:val="15"/>
              </w:rPr>
              <w:t>reproducibility</w:t>
            </w:r>
          </w:p>
        </w:tc>
        <w:tc>
          <w:tcPr>
            <w:tcW w:type="dxa" w:w="4986"/>
          </w:tcPr>
          <w:p>
            <w:pPr>
              <w:spacing w:after="0"/>
            </w:pPr>
            <w:r/>
            <w:r>
              <w:rPr>
                <w:sz w:val="15"/>
              </w:rPr>
              <w:t>LLM: 40 B8 panels re-read blind one day later (P1 read 2) and with prompt P2; engine: deterministic (byte-identical outputs across runs and freezes)</w:t>
            </w:r>
          </w:p>
        </w:tc>
      </w:tr>
      <w:tr>
        <w:tc>
          <w:tcPr>
            <w:tcW w:type="dxa" w:w="4986"/>
          </w:tcPr>
          <w:p>
            <w:pPr>
              <w:spacing w:after="0"/>
            </w:pPr>
            <w:r/>
            <w:r>
              <w:rPr>
                <w:sz w:val="15"/>
              </w:rPr>
              <w:t>outputs released</w:t>
            </w:r>
          </w:p>
        </w:tc>
        <w:tc>
          <w:tcPr>
            <w:tcW w:type="dxa" w:w="4986"/>
          </w:tcPr>
          <w:p>
            <w:pPr>
              <w:spacing w:after="0"/>
            </w:pPr>
            <w:r/>
            <w:r>
              <w:rPr>
                <w:sz w:val="15"/>
              </w:rPr>
              <w:t>,,,,, keys, panels, scoring scripts</w:t>
            </w:r>
          </w:p>
        </w:tc>
      </w:tr>
      <w:tr>
        <w:tc>
          <w:tcPr>
            <w:tcW w:type="dxa" w:w="4986"/>
          </w:tcPr>
          <w:p>
            <w:pPr>
              <w:spacing w:after="0"/>
            </w:pPr>
            <w:r/>
            <w:r>
              <w:rPr>
                <w:sz w:val="15"/>
              </w:rPr>
              <w:t>recall@1</w:t>
            </w:r>
          </w:p>
        </w:tc>
        <w:tc>
          <w:tcPr>
            <w:tcW w:type="dxa" w:w="4986"/>
          </w:tcPr>
          <w:p>
            <w:pPr>
              <w:spacing w:after="0"/>
            </w:pPr>
            <w:r/>
            <w:r>
              <w:rPr>
                <w:sz w:val="15"/>
              </w:rPr>
              <w:t>24.0% (20.6–27.7)</w:t>
            </w:r>
          </w:p>
        </w:tc>
      </w:tr>
      <w:tr>
        <w:tc>
          <w:tcPr>
            <w:tcW w:type="dxa" w:w="4986"/>
          </w:tcPr>
          <w:p>
            <w:pPr>
              <w:spacing w:after="0"/>
            </w:pPr>
            <w:r/>
            <w:r>
              <w:rPr>
                <w:sz w:val="15"/>
              </w:rPr>
              <w:t>recall@3</w:t>
            </w:r>
          </w:p>
        </w:tc>
        <w:tc>
          <w:tcPr>
            <w:tcW w:type="dxa" w:w="4986"/>
          </w:tcPr>
          <w:p>
            <w:pPr>
              <w:spacing w:after="0"/>
            </w:pPr>
            <w:r/>
            <w:r>
              <w:rPr>
                <w:sz w:val="15"/>
              </w:rPr>
              <w:t>47.0% (42.6–51.5)</w:t>
            </w:r>
          </w:p>
        </w:tc>
      </w:tr>
      <w:tr>
        <w:tc>
          <w:tcPr>
            <w:tcW w:type="dxa" w:w="4986"/>
          </w:tcPr>
          <w:p>
            <w:pPr>
              <w:spacing w:after="0"/>
            </w:pPr>
            <w:r/>
            <w:r>
              <w:rPr>
                <w:b/>
                <w:sz w:val="15"/>
              </w:rPr>
              <w:t>recall@5 (primary)</w:t>
            </w:r>
          </w:p>
        </w:tc>
        <w:tc>
          <w:tcPr>
            <w:tcW w:type="dxa" w:w="4986"/>
          </w:tcPr>
          <w:p>
            <w:pPr>
              <w:spacing w:after="0"/>
            </w:pPr>
            <w:r/>
            <w:r>
              <w:rPr>
                <w:b/>
                <w:sz w:val="15"/>
              </w:rPr>
              <w:t>60.7% (56.5–65.0)</w:t>
            </w:r>
          </w:p>
        </w:tc>
      </w:tr>
      <w:tr>
        <w:tc>
          <w:tcPr>
            <w:tcW w:type="dxa" w:w="4986"/>
          </w:tcPr>
          <w:p>
            <w:pPr>
              <w:spacing w:after="0"/>
            </w:pPr>
            <w:r/>
            <w:r>
              <w:rPr>
                <w:sz w:val="15"/>
              </w:rPr>
              <w:t>recall@10</w:t>
            </w:r>
          </w:p>
        </w:tc>
        <w:tc>
          <w:tcPr>
            <w:tcW w:type="dxa" w:w="4986"/>
          </w:tcPr>
          <w:p>
            <w:pPr>
              <w:spacing w:after="0"/>
            </w:pPr>
            <w:r/>
            <w:r>
              <w:rPr>
                <w:sz w:val="15"/>
              </w:rPr>
              <w:t>72.0% (67.9–75.8)</w:t>
            </w:r>
          </w:p>
        </w:tc>
      </w:tr>
      <w:tr>
        <w:tc>
          <w:tcPr>
            <w:tcW w:type="dxa" w:w="4986"/>
          </w:tcPr>
          <w:p>
            <w:pPr>
              <w:spacing w:after="0"/>
            </w:pPr>
            <w:r/>
            <w:r>
              <w:rPr>
                <w:sz w:val="15"/>
              </w:rPr>
              <w:t>MRR</w:t>
            </w:r>
          </w:p>
        </w:tc>
        <w:tc>
          <w:tcPr>
            <w:tcW w:type="dxa" w:w="4986"/>
          </w:tcPr>
          <w:p>
            <w:pPr>
              <w:spacing w:after="0"/>
            </w:pPr>
            <w:r/>
            <w:r>
              <w:rPr>
                <w:sz w:val="15"/>
              </w:rPr>
              <w:t>0.391</w:t>
            </w:r>
          </w:p>
        </w:tc>
      </w:tr>
      <w:tr>
        <w:tc>
          <w:tcPr>
            <w:tcW w:type="dxa" w:w="4986"/>
          </w:tcPr>
          <w:p>
            <w:pPr>
              <w:spacing w:after="0"/>
            </w:pPr>
            <w:r/>
            <w:r>
              <w:rPr>
                <w:sz w:val="15"/>
              </w:rPr>
              <w:t>absent from list</w:t>
            </w:r>
          </w:p>
        </w:tc>
        <w:tc>
          <w:tcPr>
            <w:tcW w:type="dxa" w:w="4986"/>
          </w:tcPr>
          <w:p>
            <w:pPr>
              <w:spacing w:after="0"/>
            </w:pPr>
            <w:r/>
            <w:r>
              <w:rPr>
                <w:sz w:val="15"/>
              </w:rPr>
              <w:t>21.8%</w:t>
            </w:r>
          </w:p>
        </w:tc>
      </w:tr>
      <w:tr>
        <w:tc>
          <w:tcPr>
            <w:tcW w:type="dxa" w:w="4986"/>
          </w:tcPr>
          <w:p>
            <w:pPr>
              <w:spacing w:after="0"/>
            </w:pPr>
            <w:r/>
            <w:r>
              <w:rPr>
                <w:sz w:val="15"/>
              </w:rPr>
              <w:t>two-tier recall@5 (secondary, post hoc)</w:t>
            </w:r>
          </w:p>
        </w:tc>
        <w:tc>
          <w:tcPr>
            <w:tcW w:type="dxa" w:w="4986"/>
          </w:tcPr>
          <w:p>
            <w:pPr>
              <w:spacing w:after="0"/>
            </w:pPr>
            <w:r/>
            <w:r>
              <w:rPr>
                <w:sz w:val="15"/>
              </w:rPr>
              <w:t>69.8% (65.7–73.7)</w:t>
            </w:r>
          </w:p>
        </w:tc>
      </w:tr>
      <w:tr>
        <w:tc>
          <w:tcPr>
            <w:tcW w:type="dxa" w:w="4986"/>
          </w:tcPr>
          <w:p>
            <w:pPr>
              <w:spacing w:after="0"/>
            </w:pPr>
            <w:r/>
            <w:r>
              <w:rPr>
                <w:sz w:val="15"/>
              </w:rPr>
              <w:t>LLM P1 read 1</w:t>
            </w:r>
          </w:p>
        </w:tc>
        <w:tc>
          <w:tcPr>
            <w:tcW w:type="dxa" w:w="4986"/>
          </w:tcPr>
          <w:p>
            <w:pPr>
              <w:spacing w:after="0"/>
            </w:pPr>
            <w:r/>
            <w:r>
              <w:rPr>
                <w:sz w:val="15"/>
              </w:rPr>
              <w:t>26.4</w:t>
            </w:r>
          </w:p>
        </w:tc>
      </w:tr>
      <w:tr>
        <w:tc>
          <w:tcPr>
            <w:tcW w:type="dxa" w:w="4986"/>
          </w:tcPr>
          <w:p>
            <w:pPr>
              <w:spacing w:after="0"/>
            </w:pPr>
            <w:r/>
            <w:r>
              <w:rPr>
                <w:sz w:val="15"/>
              </w:rPr>
              <w:t>LLM P1 read 2</w:t>
            </w:r>
          </w:p>
        </w:tc>
        <w:tc>
          <w:tcPr>
            <w:tcW w:type="dxa" w:w="4986"/>
          </w:tcPr>
          <w:p>
            <w:pPr>
              <w:spacing w:after="0"/>
            </w:pPr>
            <w:r/>
            <w:r>
              <w:rPr>
                <w:sz w:val="15"/>
              </w:rPr>
              <w:t>28.6</w:t>
            </w:r>
          </w:p>
        </w:tc>
      </w:tr>
      <w:tr>
        <w:tc>
          <w:tcPr>
            <w:tcW w:type="dxa" w:w="4986"/>
          </w:tcPr>
          <w:p>
            <w:pPr>
              <w:spacing w:after="0"/>
            </w:pPr>
            <w:r/>
            <w:r>
              <w:rPr>
                <w:sz w:val="15"/>
              </w:rPr>
              <w:t>LLM P2</w:t>
            </w:r>
          </w:p>
        </w:tc>
        <w:tc>
          <w:tcPr>
            <w:tcW w:type="dxa" w:w="4986"/>
          </w:tcPr>
          <w:p>
            <w:pPr>
              <w:spacing w:after="0"/>
            </w:pPr>
            <w:r/>
            <w:r>
              <w:rPr>
                <w:sz w:val="15"/>
              </w:rPr>
              <w:t>25.3</w:t>
            </w:r>
          </w:p>
        </w:tc>
      </w:tr>
      <w:tr>
        <w:tc>
          <w:tcPr>
            <w:tcW w:type="dxa" w:w="4986"/>
          </w:tcPr>
          <w:p>
            <w:pPr>
              <w:spacing w:after="0"/>
            </w:pPr>
            <w:r/>
            <w:r>
              <w:rPr>
                <w:sz w:val="15"/>
              </w:rPr>
              <w:t>engine v7 (flat / two-tier)</w:t>
            </w:r>
          </w:p>
        </w:tc>
        <w:tc>
          <w:tcPr>
            <w:tcW w:type="dxa" w:w="4986"/>
          </w:tcPr>
          <w:p>
            <w:pPr>
              <w:spacing w:after="0"/>
            </w:pPr>
            <w:r/>
            <w:r>
              <w:rPr>
                <w:sz w:val="15"/>
              </w:rPr>
              <w:t>19.8 / 29.7</w:t>
            </w:r>
          </w:p>
        </w:tc>
      </w:tr>
    </w:tbl>
    <w:p/>
    <w:p>
      <w:r>
        <w:t xml:space="preserve">The eICU-CRD demo is public (PhysioNet) and may be present in the LLM's pre-training corpus. The LLM received only the numerical panel, age and sex, never a stay identifier; recovering admission-level diagnosis strings from ~30 numerical values by memorisation is implausible, but cannot be excluded, and would bias the comparison </w:t>
      </w:r>
      <w:r>
        <w:rPr>
          <w:b/>
        </w:rPr>
        <w:t>in favour of the LLM</w:t>
      </w:r>
      <w:r>
        <w:t>. Hemoglyph has no training phase and cannot be contaminated. ### 5. Limitations of this arm</w:t>
      </w:r>
    </w:p>
    <w:p>
      <w:r>
        <w:t>One model class, two prompts, one run per prompt (plus one re-read), no retrieval augmentation or chain-of-thought prompting, scoring by regex rather than clinician adjudication, admission-level labels. The arm is an author-run self-baseline, not a vendor benchmark. ## Supplementary Table S3 — Participant flow and baseline characteristics ### Table S3 — Participant flow and baseline characteristics of all evaluation cohorts (TRIPOD+AI 14a/b, 13a) | cohort | source | step1 | step2 | step3 | analysed | age | female | inputs | labels | split |</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r>
      <w:tr>
        <w:tc>
          <w:tcPr>
            <w:tcW w:type="dxa" w:w="907"/>
          </w:tcPr>
          <w:p>
            <w:pPr>
              <w:spacing w:after="0"/>
            </w:pPr>
            <w:r/>
            <w:r>
              <w:rPr>
                <w:sz w:val="15"/>
              </w:rPr>
              <w:t>eICU-CRD demo v2.0.1 (PhysioNet, open)</w:t>
            </w:r>
          </w:p>
        </w:tc>
        <w:tc>
          <w:tcPr>
            <w:tcW w:type="dxa" w:w="907"/>
          </w:tcPr>
          <w:p>
            <w:pPr>
              <w:spacing w:after="0"/>
            </w:pPr>
            <w:r/>
            <w:r>
              <w:rPr>
                <w:sz w:val="15"/>
              </w:rPr>
              <w:t>186 US hospitals, ICU stays 2014–15</w:t>
            </w:r>
          </w:p>
        </w:tc>
        <w:tc>
          <w:tcPr>
            <w:tcW w:type="dxa" w:w="907"/>
          </w:tcPr>
          <w:p>
            <w:pPr>
              <w:spacing w:after="0"/>
            </w:pPr>
            <w:r/>
            <w:r>
              <w:rPr>
                <w:sz w:val="15"/>
              </w:rPr>
              <w:t>ICU stays in demo: 2520</w:t>
            </w:r>
          </w:p>
        </w:tc>
        <w:tc>
          <w:tcPr>
            <w:tcW w:type="dxa" w:w="907"/>
          </w:tcPr>
          <w:p>
            <w:pPr>
              <w:spacing w:after="0"/>
            </w:pPr>
            <w:r/>
            <w:r>
              <w:rPr>
                <w:sz w:val="15"/>
              </w:rPr>
              <w:t>age ≥18: 2512</w:t>
            </w:r>
          </w:p>
        </w:tc>
        <w:tc>
          <w:tcPr>
            <w:tcW w:type="dxa" w:w="907"/>
          </w:tcPr>
          <w:p>
            <w:pPr>
              <w:spacing w:after="0"/>
            </w:pPr>
            <w:r/>
            <w:r>
              <w:rPr>
                <w:sz w:val="15"/>
              </w:rPr>
              <w:t>≥8 mapped analytes in −6…+24 h: 2314</w:t>
            </w:r>
          </w:p>
        </w:tc>
        <w:tc>
          <w:tcPr>
            <w:tcW w:type="dxa" w:w="907"/>
          </w:tcPr>
          <w:p>
            <w:pPr>
              <w:spacing w:after="0"/>
            </w:pPr>
            <w:r/>
            <w:r>
              <w:rPr>
                <w:sz w:val="15"/>
              </w:rPr>
              <w:t>2314 stays; 2707 coded target labels (31 groups), 2432 scorable (key analyte measured)</w:t>
            </w:r>
          </w:p>
        </w:tc>
        <w:tc>
          <w:tcPr>
            <w:tcW w:type="dxa" w:w="907"/>
          </w:tcPr>
          <w:p>
            <w:pPr>
              <w:spacing w:after="0"/>
            </w:pPr>
            <w:r/>
            <w:r>
              <w:rPr>
                <w:sz w:val="15"/>
              </w:rPr>
              <w:t>median 66 (IQR 53–77)</w:t>
            </w:r>
          </w:p>
        </w:tc>
        <w:tc>
          <w:tcPr>
            <w:tcW w:type="dxa" w:w="907"/>
          </w:tcPr>
          <w:p>
            <w:pPr>
              <w:spacing w:after="0"/>
            </w:pPr>
            <w:r/>
            <w:r>
              <w:rPr>
                <w:sz w:val="15"/>
              </w:rPr>
              <w:t>39.9%</w:t>
            </w:r>
          </w:p>
        </w:tc>
        <w:tc>
          <w:tcPr>
            <w:tcW w:type="dxa" w:w="907"/>
          </w:tcPr>
          <w:p>
            <w:pPr>
              <w:spacing w:after="0"/>
            </w:pPr>
            <w:r/>
            <w:r>
              <w:rPr>
                <w:sz w:val="15"/>
              </w:rPr>
              <w:t>median 31 analytes/stay</w:t>
            </w:r>
          </w:p>
        </w:tc>
        <w:tc>
          <w:tcPr>
            <w:tcW w:type="dxa" w:w="907"/>
          </w:tcPr>
          <w:p>
            <w:pPr>
              <w:spacing w:after="0"/>
            </w:pPr>
            <w:r/>
            <w:r>
              <w:rPr>
                <w:sz w:val="15"/>
              </w:rPr>
              <w:t>clinician problem-list diagnoses (1073 distinct strings) → regex map</w:t>
            </w:r>
          </w:p>
        </w:tc>
        <w:tc>
          <w:tcPr>
            <w:tcW w:type="dxa" w:w="907"/>
          </w:tcPr>
          <w:p>
            <w:pPr>
              <w:spacing w:after="0"/>
            </w:pPr>
            <w:r/>
            <w:r>
              <w:rPr>
                <w:sz w:val="15"/>
              </w:rPr>
              <w:t>dev: first 1200 stays by id order (ext tuning); held-out: all 2314 reported with amendments logged</w:t>
            </w:r>
          </w:p>
        </w:tc>
      </w:tr>
      <w:tr>
        <w:tc>
          <w:tcPr>
            <w:tcW w:type="dxa" w:w="907"/>
          </w:tcPr>
          <w:p>
            <w:pPr>
              <w:spacing w:after="0"/>
            </w:pPr>
            <w:r/>
            <w:r>
              <w:rPr>
                <w:sz w:val="15"/>
              </w:rPr>
              <w:t>NHANES 2005–2006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10348</w:t>
            </w:r>
          </w:p>
        </w:tc>
        <w:tc>
          <w:tcPr>
            <w:tcW w:type="dxa" w:w="907"/>
          </w:tcPr>
          <w:p>
            <w:pPr>
              <w:spacing w:after="0"/>
            </w:pPr>
            <w:r/>
            <w:r>
              <w:rPr>
                <w:sz w:val="15"/>
              </w:rPr>
              <w:t>age ≥18: 5563</w:t>
            </w:r>
          </w:p>
        </w:tc>
        <w:tc>
          <w:tcPr>
            <w:tcW w:type="dxa" w:w="907"/>
          </w:tcPr>
          <w:p>
            <w:pPr>
              <w:spacing w:after="0"/>
            </w:pPr>
            <w:r/>
            <w:r>
              <w:rPr>
                <w:sz w:val="15"/>
              </w:rPr>
              <w:t>with biochemistry + CBC: 5334</w:t>
            </w:r>
          </w:p>
        </w:tc>
        <w:tc>
          <w:tcPr>
            <w:tcW w:type="dxa" w:w="907"/>
          </w:tcPr>
          <w:p>
            <w:pPr>
              <w:spacing w:after="0"/>
            </w:pPr>
            <w:r/>
            <w:r>
              <w:rPr>
                <w:sz w:val="15"/>
              </w:rPr>
              <w:t>see run log participants</w:t>
            </w:r>
          </w:p>
        </w:tc>
        <w:tc>
          <w:tcPr>
            <w:tcW w:type="dxa" w:w="907"/>
          </w:tcPr>
          <w:p>
            <w:pPr>
              <w:spacing w:after="0"/>
            </w:pPr>
            <w:r/>
            <w:r>
              <w:rPr>
                <w:sz w:val="15"/>
              </w:rPr>
              <w:t>median 43 (IQR 27–62)</w:t>
            </w:r>
          </w:p>
        </w:tc>
        <w:tc>
          <w:tcPr>
            <w:tcW w:type="dxa" w:w="907"/>
          </w:tcPr>
          <w:p>
            <w:pPr>
              <w:spacing w:after="0"/>
            </w:pPr>
            <w:r/>
            <w:r>
              <w:rPr>
                <w:sz w:val="15"/>
              </w:rPr>
              <w:t>52.0%</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2007–2008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10149</w:t>
            </w:r>
          </w:p>
        </w:tc>
        <w:tc>
          <w:tcPr>
            <w:tcW w:type="dxa" w:w="907"/>
          </w:tcPr>
          <w:p>
            <w:pPr>
              <w:spacing w:after="0"/>
            </w:pPr>
            <w:r/>
            <w:r>
              <w:rPr>
                <w:sz w:val="15"/>
              </w:rPr>
              <w:t>age ≥18: 6228</w:t>
            </w:r>
          </w:p>
        </w:tc>
        <w:tc>
          <w:tcPr>
            <w:tcW w:type="dxa" w:w="907"/>
          </w:tcPr>
          <w:p>
            <w:pPr>
              <w:spacing w:after="0"/>
            </w:pPr>
            <w:r/>
            <w:r>
              <w:rPr>
                <w:sz w:val="15"/>
              </w:rPr>
              <w:t>with biochemistry + CBC: 5995</w:t>
            </w:r>
          </w:p>
        </w:tc>
        <w:tc>
          <w:tcPr>
            <w:tcW w:type="dxa" w:w="907"/>
          </w:tcPr>
          <w:p>
            <w:pPr>
              <w:spacing w:after="0"/>
            </w:pPr>
            <w:r/>
            <w:r>
              <w:rPr>
                <w:sz w:val="15"/>
              </w:rPr>
              <w:t>see run log participants</w:t>
            </w:r>
          </w:p>
        </w:tc>
        <w:tc>
          <w:tcPr>
            <w:tcW w:type="dxa" w:w="907"/>
          </w:tcPr>
          <w:p>
            <w:pPr>
              <w:spacing w:after="0"/>
            </w:pPr>
            <w:r/>
            <w:r>
              <w:rPr>
                <w:sz w:val="15"/>
              </w:rPr>
              <w:t>median 49 (IQR 33–64)</w:t>
            </w:r>
          </w:p>
        </w:tc>
        <w:tc>
          <w:tcPr>
            <w:tcW w:type="dxa" w:w="907"/>
          </w:tcPr>
          <w:p>
            <w:pPr>
              <w:spacing w:after="0"/>
            </w:pPr>
            <w:r/>
            <w:r>
              <w:rPr>
                <w:sz w:val="15"/>
              </w:rPr>
              <w:t>50.7%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2009–2010</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10537</w:t>
            </w:r>
          </w:p>
        </w:tc>
        <w:tc>
          <w:tcPr>
            <w:tcW w:type="dxa" w:w="907"/>
          </w:tcPr>
          <w:p>
            <w:pPr>
              <w:spacing w:after="0"/>
            </w:pPr>
            <w:r/>
            <w:r>
              <w:rPr>
                <w:sz w:val="15"/>
              </w:rPr>
              <w:t>age ≥18: 6527</w:t>
            </w:r>
          </w:p>
        </w:tc>
        <w:tc>
          <w:tcPr>
            <w:tcW w:type="dxa" w:w="907"/>
          </w:tcPr>
          <w:p>
            <w:pPr>
              <w:spacing w:after="0"/>
            </w:pPr>
            <w:r/>
            <w:r>
              <w:rPr>
                <w:sz w:val="15"/>
              </w:rPr>
              <w:t>with biochemistry + CBC: 6360</w:t>
            </w:r>
          </w:p>
        </w:tc>
        <w:tc>
          <w:tcPr>
            <w:tcW w:type="dxa" w:w="907"/>
          </w:tcPr>
          <w:p>
            <w:pPr>
              <w:spacing w:after="0"/>
            </w:pPr>
            <w:r/>
            <w:r>
              <w:rPr>
                <w:sz w:val="15"/>
              </w:rPr>
              <w:t>see run log participants</w:t>
            </w:r>
          </w:p>
        </w:tc>
        <w:tc>
          <w:tcPr>
            <w:tcW w:type="dxa" w:w="907"/>
          </w:tcPr>
          <w:p>
            <w:pPr>
              <w:spacing w:after="0"/>
            </w:pPr>
            <w:r/>
            <w:r>
              <w:rPr>
                <w:sz w:val="15"/>
              </w:rPr>
              <w:t>median 47 (IQR 32–63)</w:t>
            </w:r>
          </w:p>
        </w:tc>
        <w:tc>
          <w:tcPr>
            <w:tcW w:type="dxa" w:w="907"/>
          </w:tcPr>
          <w:p>
            <w:pPr>
              <w:spacing w:after="0"/>
            </w:pPr>
            <w:r/>
            <w:r>
              <w:rPr>
                <w:sz w:val="15"/>
              </w:rPr>
              <w:t>51.4%</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2011–2012</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9756</w:t>
            </w:r>
          </w:p>
        </w:tc>
        <w:tc>
          <w:tcPr>
            <w:tcW w:type="dxa" w:w="907"/>
          </w:tcPr>
          <w:p>
            <w:pPr>
              <w:spacing w:after="0"/>
            </w:pPr>
            <w:r/>
            <w:r>
              <w:rPr>
                <w:sz w:val="15"/>
              </w:rPr>
              <w:t>age ≥18: 5864</w:t>
            </w:r>
          </w:p>
        </w:tc>
        <w:tc>
          <w:tcPr>
            <w:tcW w:type="dxa" w:w="907"/>
          </w:tcPr>
          <w:p>
            <w:pPr>
              <w:spacing w:after="0"/>
            </w:pPr>
            <w:r/>
            <w:r>
              <w:rPr>
                <w:sz w:val="15"/>
              </w:rPr>
              <w:t>with biochemistry + CBC: 5615</w:t>
            </w:r>
          </w:p>
        </w:tc>
        <w:tc>
          <w:tcPr>
            <w:tcW w:type="dxa" w:w="907"/>
          </w:tcPr>
          <w:p>
            <w:pPr>
              <w:spacing w:after="0"/>
            </w:pPr>
            <w:r/>
            <w:r>
              <w:rPr>
                <w:sz w:val="15"/>
              </w:rPr>
              <w:t>see run log participants</w:t>
            </w:r>
          </w:p>
        </w:tc>
        <w:tc>
          <w:tcPr>
            <w:tcW w:type="dxa" w:w="907"/>
          </w:tcPr>
          <w:p>
            <w:pPr>
              <w:spacing w:after="0"/>
            </w:pPr>
            <w:r/>
            <w:r>
              <w:rPr>
                <w:sz w:val="15"/>
              </w:rPr>
              <w:t>median 47 (IQR 31–62)</w:t>
            </w:r>
          </w:p>
        </w:tc>
        <w:tc>
          <w:tcPr>
            <w:tcW w:type="dxa" w:w="907"/>
          </w:tcPr>
          <w:p>
            <w:pPr>
              <w:spacing w:after="0"/>
            </w:pPr>
            <w:r/>
            <w:r>
              <w:rPr>
                <w:sz w:val="15"/>
              </w:rPr>
              <w:t>50.6%</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2013–2014</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10175</w:t>
            </w:r>
          </w:p>
        </w:tc>
        <w:tc>
          <w:tcPr>
            <w:tcW w:type="dxa" w:w="907"/>
          </w:tcPr>
          <w:p>
            <w:pPr>
              <w:spacing w:after="0"/>
            </w:pPr>
            <w:r/>
            <w:r>
              <w:rPr>
                <w:sz w:val="15"/>
              </w:rPr>
              <w:t>age ≥18: 6113</w:t>
            </w:r>
          </w:p>
        </w:tc>
        <w:tc>
          <w:tcPr>
            <w:tcW w:type="dxa" w:w="907"/>
          </w:tcPr>
          <w:p>
            <w:pPr>
              <w:spacing w:after="0"/>
            </w:pPr>
            <w:r/>
            <w:r>
              <w:rPr>
                <w:sz w:val="15"/>
              </w:rPr>
              <w:t>with biochemistry + CBC: 5924</w:t>
            </w:r>
          </w:p>
        </w:tc>
        <w:tc>
          <w:tcPr>
            <w:tcW w:type="dxa" w:w="907"/>
          </w:tcPr>
          <w:p>
            <w:pPr>
              <w:spacing w:after="0"/>
            </w:pPr>
            <w:r/>
            <w:r>
              <w:rPr>
                <w:sz w:val="15"/>
              </w:rPr>
              <w:t>see run log participants</w:t>
            </w:r>
          </w:p>
        </w:tc>
        <w:tc>
          <w:tcPr>
            <w:tcW w:type="dxa" w:w="907"/>
          </w:tcPr>
          <w:p>
            <w:pPr>
              <w:spacing w:after="0"/>
            </w:pPr>
            <w:r/>
            <w:r>
              <w:rPr>
                <w:sz w:val="15"/>
              </w:rPr>
              <w:t>median 47 (IQR 32–62)</w:t>
            </w:r>
          </w:p>
        </w:tc>
        <w:tc>
          <w:tcPr>
            <w:tcW w:type="dxa" w:w="907"/>
          </w:tcPr>
          <w:p>
            <w:pPr>
              <w:spacing w:after="0"/>
            </w:pPr>
            <w:r/>
            <w:r>
              <w:rPr>
                <w:sz w:val="15"/>
              </w:rPr>
              <w:t>52.3%</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2015–2016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9971</w:t>
            </w:r>
          </w:p>
        </w:tc>
        <w:tc>
          <w:tcPr>
            <w:tcW w:type="dxa" w:w="907"/>
          </w:tcPr>
          <w:p>
            <w:pPr>
              <w:spacing w:after="0"/>
            </w:pPr>
            <w:r/>
            <w:r>
              <w:rPr>
                <w:sz w:val="15"/>
              </w:rPr>
              <w:t>age ≥18: 5992</w:t>
            </w:r>
          </w:p>
        </w:tc>
        <w:tc>
          <w:tcPr>
            <w:tcW w:type="dxa" w:w="907"/>
          </w:tcPr>
          <w:p>
            <w:pPr>
              <w:spacing w:after="0"/>
            </w:pPr>
            <w:r/>
            <w:r>
              <w:rPr>
                <w:sz w:val="15"/>
              </w:rPr>
              <w:t>with biochemistry + CBC: 5735</w:t>
            </w:r>
          </w:p>
        </w:tc>
        <w:tc>
          <w:tcPr>
            <w:tcW w:type="dxa" w:w="907"/>
          </w:tcPr>
          <w:p>
            <w:pPr>
              <w:spacing w:after="0"/>
            </w:pPr>
            <w:r/>
            <w:r>
              <w:rPr>
                <w:sz w:val="15"/>
              </w:rPr>
              <w:t>see run log participants</w:t>
            </w:r>
          </w:p>
        </w:tc>
        <w:tc>
          <w:tcPr>
            <w:tcW w:type="dxa" w:w="907"/>
          </w:tcPr>
          <w:p>
            <w:pPr>
              <w:spacing w:after="0"/>
            </w:pPr>
            <w:r/>
            <w:r>
              <w:rPr>
                <w:sz w:val="15"/>
              </w:rPr>
              <w:t>median 48 (IQR 32–63)</w:t>
            </w:r>
          </w:p>
        </w:tc>
        <w:tc>
          <w:tcPr>
            <w:tcW w:type="dxa" w:w="907"/>
          </w:tcPr>
          <w:p>
            <w:pPr>
              <w:spacing w:after="0"/>
            </w:pPr>
            <w:r/>
            <w:r>
              <w:rPr>
                <w:sz w:val="15"/>
              </w:rPr>
              <w:t>51.9%</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2017–2018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9254</w:t>
            </w:r>
          </w:p>
        </w:tc>
        <w:tc>
          <w:tcPr>
            <w:tcW w:type="dxa" w:w="907"/>
          </w:tcPr>
          <w:p>
            <w:pPr>
              <w:spacing w:after="0"/>
            </w:pPr>
            <w:r/>
            <w:r>
              <w:rPr>
                <w:sz w:val="15"/>
              </w:rPr>
              <w:t>age ≥18: 5856</w:t>
            </w:r>
          </w:p>
        </w:tc>
        <w:tc>
          <w:tcPr>
            <w:tcW w:type="dxa" w:w="907"/>
          </w:tcPr>
          <w:p>
            <w:pPr>
              <w:spacing w:after="0"/>
            </w:pPr>
            <w:r/>
            <w:r>
              <w:rPr>
                <w:sz w:val="15"/>
              </w:rPr>
              <w:t>with biochemistry + CBC: 5533</w:t>
            </w:r>
          </w:p>
        </w:tc>
        <w:tc>
          <w:tcPr>
            <w:tcW w:type="dxa" w:w="907"/>
          </w:tcPr>
          <w:p>
            <w:pPr>
              <w:spacing w:after="0"/>
            </w:pPr>
            <w:r/>
            <w:r>
              <w:rPr>
                <w:sz w:val="15"/>
              </w:rPr>
              <w:t>see run log participants</w:t>
            </w:r>
          </w:p>
        </w:tc>
        <w:tc>
          <w:tcPr>
            <w:tcW w:type="dxa" w:w="907"/>
          </w:tcPr>
          <w:p>
            <w:pPr>
              <w:spacing w:after="0"/>
            </w:pPr>
            <w:r/>
            <w:r>
              <w:rPr>
                <w:sz w:val="15"/>
              </w:rPr>
              <w:t>median 51 (IQR 33–65)</w:t>
            </w:r>
          </w:p>
        </w:tc>
        <w:tc>
          <w:tcPr>
            <w:tcW w:type="dxa" w:w="907"/>
          </w:tcPr>
          <w:p>
            <w:pPr>
              <w:spacing w:after="0"/>
            </w:pPr>
            <w:r/>
            <w:r>
              <w:rPr>
                <w:sz w:val="15"/>
              </w:rPr>
              <w:t>51.7%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UCI HCV (Hoffmann 2018)</w:t>
            </w:r>
          </w:p>
        </w:tc>
        <w:tc>
          <w:tcPr>
            <w:tcW w:type="dxa" w:w="907"/>
          </w:tcPr>
          <w:p>
            <w:pPr>
              <w:spacing w:after="0"/>
            </w:pPr>
            <w:r/>
            <w:r>
              <w:rPr>
                <w:sz w:val="15"/>
              </w:rPr>
              <w:t>615 blood donors / hepatitis C patients, Germany</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615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clinical category (donor / hepatitis / fibrosis / cirrhosis)</w:t>
            </w:r>
          </w:p>
        </w:tc>
        <w:tc>
          <w:tcPr>
            <w:tcW w:type="dxa" w:w="907"/>
          </w:tcPr>
          <w:p>
            <w:pPr>
              <w:spacing w:after="0"/>
            </w:pPr>
            <w:r/>
            <w:r>
              <w:rPr>
                <w:sz w:val="15"/>
              </w:rPr>
              <w:t>held-out, single pass</w:t>
            </w:r>
          </w:p>
        </w:tc>
      </w:tr>
      <w:tr>
        <w:tc>
          <w:tcPr>
            <w:tcW w:type="dxa" w:w="907"/>
          </w:tcPr>
          <w:p>
            <w:pPr>
              <w:spacing w:after="0"/>
            </w:pPr>
            <w:r/>
            <w:r>
              <w:rPr>
                <w:sz w:val="15"/>
              </w:rPr>
              <w:t>ILPD Indian Liver Patient Dataset</w:t>
            </w:r>
          </w:p>
        </w:tc>
        <w:tc>
          <w:tcPr>
            <w:tcW w:type="dxa" w:w="907"/>
          </w:tcPr>
          <w:p>
            <w:pPr>
              <w:spacing w:after="0"/>
            </w:pPr>
            <w:r/>
            <w:r>
              <w:rPr>
                <w:sz w:val="15"/>
              </w:rPr>
              <w:t>583 patients, Andhra Pradesh</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583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liver patient yes/no</w:t>
            </w:r>
          </w:p>
        </w:tc>
        <w:tc>
          <w:tcPr>
            <w:tcW w:type="dxa" w:w="907"/>
          </w:tcPr>
          <w:p>
            <w:pPr>
              <w:spacing w:after="0"/>
            </w:pPr>
            <w:r/>
            <w:r>
              <w:rPr>
                <w:sz w:val="15"/>
              </w:rPr>
              <w:t>held-out, single pass</w:t>
            </w:r>
          </w:p>
        </w:tc>
      </w:tr>
      <w:tr>
        <w:tc>
          <w:tcPr>
            <w:tcW w:type="dxa" w:w="907"/>
          </w:tcPr>
          <w:p>
            <w:pPr>
              <w:spacing w:after="0"/>
            </w:pPr>
            <w:r/>
            <w:r>
              <w:rPr>
                <w:sz w:val="15"/>
              </w:rPr>
              <w:t>UCI Thyroid (Garavan)</w:t>
            </w:r>
          </w:p>
        </w:tc>
        <w:tc>
          <w:tcPr>
            <w:tcW w:type="dxa" w:w="907"/>
          </w:tcPr>
          <w:p>
            <w:pPr>
              <w:spacing w:after="0"/>
            </w:pPr>
            <w:r/>
            <w:r>
              <w:rPr>
                <w:sz w:val="15"/>
              </w:rPr>
              <w:t>Garvan Institute, 1980s</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3162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hypo/hyper-thyroid classes</w:t>
            </w:r>
          </w:p>
        </w:tc>
        <w:tc>
          <w:tcPr>
            <w:tcW w:type="dxa" w:w="907"/>
          </w:tcPr>
          <w:p>
            <w:pPr>
              <w:spacing w:after="0"/>
            </w:pPr>
            <w:r/>
            <w:r>
              <w:rPr>
                <w:sz w:val="15"/>
              </w:rPr>
              <w:t>held-out, single pass</w:t>
            </w:r>
          </w:p>
        </w:tc>
      </w:tr>
      <w:tr>
        <w:tc>
          <w:tcPr>
            <w:tcW w:type="dxa" w:w="907"/>
          </w:tcPr>
          <w:p>
            <w:pPr>
              <w:spacing w:after="0"/>
            </w:pPr>
            <w:r/>
            <w:r>
              <w:rPr>
                <w:sz w:val="15"/>
              </w:rPr>
              <w:t>Sepsis 2019 — post-hoc concurrent re-analysis (SAP Am. 13)</w:t>
            </w:r>
          </w:p>
        </w:tc>
        <w:tc>
          <w:tcPr>
            <w:tcW w:type="dxa" w:w="907"/>
          </w:tcPr>
          <w:p>
            <w:pPr>
              <w:spacing w:after="0"/>
            </w:pPr>
            <w:r/>
            <w:r>
              <w:rPr>
                <w:sz w:val="15"/>
              </w:rPr>
              <w:t>same files</w:t>
            </w:r>
          </w:p>
        </w:tc>
        <w:tc>
          <w:tcPr>
            <w:tcW w:type="dxa" w:w="907"/>
          </w:tcPr>
          <w:p>
            <w:pPr>
              <w:spacing w:after="0"/>
            </w:pPr>
            <w:r/>
            <w:r>
              <w:rPr>
                <w:sz w:val="15"/>
              </w:rPr>
              <w:t>sepsis patients 438; non-sepsis 4,499</w:t>
            </w:r>
          </w:p>
        </w:tc>
        <w:tc>
          <w:tcPr>
            <w:tcW w:type="dxa" w:w="907"/>
          </w:tcPr>
          <w:p>
            <w:pPr>
              <w:spacing w:after="0"/>
            </w:pPr>
            <w:r/>
            <w:r>
              <w:rPr>
                <w:sz w:val="15"/>
              </w:rPr>
              <w:t>≥3 labs in 12 h around onset: 388 cases; seeded dwell-time-matched control windows 772 (2:1)</w:t>
            </w:r>
          </w:p>
        </w:tc>
        <w:tc>
          <w:tcPr>
            <w:tcW w:type="dxa" w:w="907"/>
          </w:tcPr>
          <w:p>
            <w:pPr>
              <w:spacing w:after="0"/>
            </w:pPr>
            <w:r/>
            <w:r>
              <w:rPr>
                <w:sz w:val="15"/>
              </w:rPr>
              <w:t>—</w:t>
            </w:r>
          </w:p>
        </w:tc>
        <w:tc>
          <w:tcPr>
            <w:tcW w:type="dxa" w:w="907"/>
          </w:tcPr>
          <w:p>
            <w:pPr>
              <w:spacing w:after="0"/>
            </w:pPr>
            <w:r/>
            <w:r>
              <w:rPr>
                <w:sz w:val="15"/>
              </w:rPr>
              <w:t>1,160 windows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arm A labs; arm B labs + HR/SBP/MAP/RR/Temp</w:t>
            </w:r>
          </w:p>
        </w:tc>
        <w:tc>
          <w:tcPr>
            <w:tcW w:type="dxa" w:w="907"/>
          </w:tcPr>
          <w:p>
            <w:pPr>
              <w:spacing w:after="0"/>
            </w:pPr>
            <w:r/>
            <w:r>
              <w:rPr>
                <w:sz w:val="15"/>
              </w:rPr>
              <w:t>Sepsis-3 onset in window</w:t>
            </w:r>
          </w:p>
        </w:tc>
        <w:tc>
          <w:tcPr>
            <w:tcW w:type="dxa" w:w="907"/>
          </w:tcPr>
          <w:p>
            <w:pPr>
              <w:spacing w:after="0"/>
            </w:pPr>
            <w:r/>
            <w:r>
              <w:rPr>
                <w:sz w:val="15"/>
              </w:rPr>
              <w:t>post-hoc, exploratory (Table S12)</w:t>
            </w:r>
          </w:p>
        </w:tc>
      </w:tr>
    </w:tbl>
    <w:p/>
    <w:p>
      <w:r>
        <w:t xml:space="preserve">All cohorts are public; no participant was contacted. eICU: exclusion for &lt;8 mapped analytes is the only data-driven exclusion (stays with sparse panels are not interpretable by any lab-only system). NHANES: participants without biochemistry/CBC subsample were not included. No imputation of missing analytes anywhere: absent analytes are treated as 'not measured' by the engine. ## Supplementary Table S5 — Next-test utility on category-A misses (eICU-CRD demo; computed on engine v5.3, 2026-10-23; metric defined in SAP Amendment 6; not re-run on v7 because the recommendation layer was unchanged by C1–C16 and the metric is reported for completeness only) Category-A misses in the fixed-seed audit sample with a scorable discriminating test: 88. For each, the engine was re-run and its </w:t>
      </w:r>
      <w:r>
        <w:rPr>
          <w:rFonts w:ascii="Consolas" w:hAnsi="Consolas"/>
        </w:rPr>
        <w:t>next_tests</w:t>
      </w:r>
      <w:r>
        <w:t xml:space="preserve"> / per-entity </w:t>
      </w:r>
      <w:r>
        <w:rPr>
          <w:rFonts w:ascii="Consolas" w:hAnsi="Consolas"/>
        </w:rPr>
        <w:t>recommended_tests</w:t>
      </w:r>
      <w:r>
        <w:t xml:space="preserve"> were searched for the test that would establish the listed condition (e.g. BNP for heart failure, HbA1c for diabetes, lactate/procalcitonin/cultures for sepsis, prior creatinine/ACR/cystatin C for CKD). | listed condition (no lab signature) | n | discriminating test recommended | %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sz w:val="15"/>
              </w:rPr>
              <w:t>heart failure</w:t>
            </w:r>
          </w:p>
        </w:tc>
        <w:tc>
          <w:tcPr>
            <w:tcW w:type="dxa" w:w="2493"/>
          </w:tcPr>
          <w:p>
            <w:pPr>
              <w:spacing w:after="0"/>
            </w:pPr>
            <w:r/>
            <w:r>
              <w:rPr>
                <w:sz w:val="15"/>
              </w:rPr>
              <w:t>27</w:t>
            </w:r>
          </w:p>
        </w:tc>
        <w:tc>
          <w:tcPr>
            <w:tcW w:type="dxa" w:w="2493"/>
          </w:tcPr>
          <w:p>
            <w:pPr>
              <w:spacing w:after="0"/>
            </w:pPr>
            <w:r/>
            <w:r>
              <w:rPr>
                <w:sz w:val="15"/>
              </w:rPr>
              <w:t>14</w:t>
            </w:r>
          </w:p>
        </w:tc>
        <w:tc>
          <w:tcPr>
            <w:tcW w:type="dxa" w:w="2493"/>
          </w:tcPr>
          <w:p>
            <w:pPr>
              <w:spacing w:after="0"/>
            </w:pPr>
            <w:r/>
            <w:r>
              <w:rPr>
                <w:sz w:val="15"/>
              </w:rPr>
              <w:t>52%</w:t>
            </w:r>
          </w:p>
        </w:tc>
      </w:tr>
      <w:tr>
        <w:tc>
          <w:tcPr>
            <w:tcW w:type="dxa" w:w="2493"/>
          </w:tcPr>
          <w:p>
            <w:pPr>
              <w:spacing w:after="0"/>
            </w:pPr>
            <w:r/>
            <w:r>
              <w:rPr>
                <w:sz w:val="15"/>
              </w:rPr>
              <w:t>diabetes</w:t>
            </w:r>
          </w:p>
        </w:tc>
        <w:tc>
          <w:tcPr>
            <w:tcW w:type="dxa" w:w="2493"/>
          </w:tcPr>
          <w:p>
            <w:pPr>
              <w:spacing w:after="0"/>
            </w:pPr>
            <w:r/>
            <w:r>
              <w:rPr>
                <w:sz w:val="15"/>
              </w:rPr>
              <w:t>21</w:t>
            </w:r>
          </w:p>
        </w:tc>
        <w:tc>
          <w:tcPr>
            <w:tcW w:type="dxa" w:w="2493"/>
          </w:tcPr>
          <w:p>
            <w:pPr>
              <w:spacing w:after="0"/>
            </w:pPr>
            <w:r/>
            <w:r>
              <w:rPr>
                <w:sz w:val="15"/>
              </w:rPr>
              <w:t>5</w:t>
            </w:r>
          </w:p>
        </w:tc>
        <w:tc>
          <w:tcPr>
            <w:tcW w:type="dxa" w:w="2493"/>
          </w:tcPr>
          <w:p>
            <w:pPr>
              <w:spacing w:after="0"/>
            </w:pPr>
            <w:r/>
            <w:r>
              <w:rPr>
                <w:sz w:val="15"/>
              </w:rPr>
              <w:t>24%</w:t>
            </w:r>
          </w:p>
        </w:tc>
      </w:tr>
      <w:tr>
        <w:tc>
          <w:tcPr>
            <w:tcW w:type="dxa" w:w="2493"/>
          </w:tcPr>
          <w:p>
            <w:pPr>
              <w:spacing w:after="0"/>
            </w:pPr>
            <w:r/>
            <w:r>
              <w:rPr>
                <w:sz w:val="15"/>
              </w:rPr>
              <w:t>hyperglycemia</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chronic kidney disease</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sepsis</w:t>
            </w:r>
          </w:p>
        </w:tc>
        <w:tc>
          <w:tcPr>
            <w:tcW w:type="dxa" w:w="2493"/>
          </w:tcPr>
          <w:p>
            <w:pPr>
              <w:spacing w:after="0"/>
            </w:pPr>
            <w:r/>
            <w:r>
              <w:rPr>
                <w:sz w:val="15"/>
              </w:rPr>
              <w:t>7</w:t>
            </w:r>
          </w:p>
        </w:tc>
        <w:tc>
          <w:tcPr>
            <w:tcW w:type="dxa" w:w="2493"/>
          </w:tcPr>
          <w:p>
            <w:pPr>
              <w:spacing w:after="0"/>
            </w:pPr>
            <w:r/>
            <w:r>
              <w:rPr>
                <w:sz w:val="15"/>
              </w:rPr>
              <w:t>5</w:t>
            </w:r>
          </w:p>
        </w:tc>
        <w:tc>
          <w:tcPr>
            <w:tcW w:type="dxa" w:w="2493"/>
          </w:tcPr>
          <w:p>
            <w:pPr>
              <w:spacing w:after="0"/>
            </w:pPr>
            <w:r/>
            <w:r>
              <w:rPr>
                <w:sz w:val="15"/>
              </w:rPr>
              <w:t>71%</w:t>
            </w:r>
          </w:p>
        </w:tc>
      </w:tr>
      <w:tr>
        <w:tc>
          <w:tcPr>
            <w:tcW w:type="dxa" w:w="2493"/>
          </w:tcPr>
          <w:p>
            <w:pPr>
              <w:spacing w:after="0"/>
            </w:pPr>
            <w:r/>
            <w:r>
              <w:rPr>
                <w:sz w:val="15"/>
              </w:rPr>
              <w:t>renal impairment</w:t>
            </w:r>
          </w:p>
        </w:tc>
        <w:tc>
          <w:tcPr>
            <w:tcW w:type="dxa" w:w="2493"/>
          </w:tcPr>
          <w:p>
            <w:pPr>
              <w:spacing w:after="0"/>
            </w:pPr>
            <w:r/>
            <w:r>
              <w:rPr>
                <w:sz w:val="15"/>
              </w:rPr>
              <w:t>6</w:t>
            </w:r>
          </w:p>
        </w:tc>
        <w:tc>
          <w:tcPr>
            <w:tcW w:type="dxa" w:w="2493"/>
          </w:tcPr>
          <w:p>
            <w:pPr>
              <w:spacing w:after="0"/>
            </w:pPr>
            <w:r/>
            <w:r>
              <w:rPr>
                <w:sz w:val="15"/>
              </w:rPr>
              <w:t>5</w:t>
            </w:r>
          </w:p>
        </w:tc>
        <w:tc>
          <w:tcPr>
            <w:tcW w:type="dxa" w:w="2493"/>
          </w:tcPr>
          <w:p>
            <w:pPr>
              <w:spacing w:after="0"/>
            </w:pPr>
            <w:r/>
            <w:r>
              <w:rPr>
                <w:sz w:val="15"/>
              </w:rPr>
              <w:t>83%</w:t>
            </w:r>
          </w:p>
        </w:tc>
      </w:tr>
      <w:tr>
        <w:tc>
          <w:tcPr>
            <w:tcW w:type="dxa" w:w="2493"/>
          </w:tcPr>
          <w:p>
            <w:pPr>
              <w:spacing w:after="0"/>
            </w:pPr>
            <w:r/>
            <w:r>
              <w:rPr>
                <w:sz w:val="15"/>
              </w:rPr>
              <w:t>acute kidney injury</w:t>
            </w:r>
          </w:p>
        </w:tc>
        <w:tc>
          <w:tcPr>
            <w:tcW w:type="dxa" w:w="2493"/>
          </w:tcPr>
          <w:p>
            <w:pPr>
              <w:spacing w:after="0"/>
            </w:pPr>
            <w:r/>
            <w:r>
              <w:rPr>
                <w:sz w:val="15"/>
              </w:rPr>
              <w:t>5</w:t>
            </w:r>
          </w:p>
        </w:tc>
        <w:tc>
          <w:tcPr>
            <w:tcW w:type="dxa" w:w="2493"/>
          </w:tcPr>
          <w:p>
            <w:pPr>
              <w:spacing w:after="0"/>
            </w:pPr>
            <w:r/>
            <w:r>
              <w:rPr>
                <w:sz w:val="15"/>
              </w:rPr>
              <w:t>2</w:t>
            </w:r>
          </w:p>
        </w:tc>
        <w:tc>
          <w:tcPr>
            <w:tcW w:type="dxa" w:w="2493"/>
          </w:tcPr>
          <w:p>
            <w:pPr>
              <w:spacing w:after="0"/>
            </w:pPr>
            <w:r/>
            <w:r>
              <w:rPr>
                <w:sz w:val="15"/>
              </w:rPr>
              <w:t>40%</w:t>
            </w:r>
          </w:p>
        </w:tc>
      </w:tr>
      <w:tr>
        <w:tc>
          <w:tcPr>
            <w:tcW w:type="dxa" w:w="2493"/>
          </w:tcPr>
          <w:p>
            <w:pPr>
              <w:spacing w:after="0"/>
            </w:pPr>
            <w:r/>
            <w:r>
              <w:rPr>
                <w:sz w:val="15"/>
              </w:rPr>
              <w:t>malnutrition</w:t>
            </w:r>
          </w:p>
        </w:tc>
        <w:tc>
          <w:tcPr>
            <w:tcW w:type="dxa" w:w="2493"/>
          </w:tcPr>
          <w:p>
            <w:pPr>
              <w:spacing w:after="0"/>
            </w:pPr>
            <w:r/>
            <w:r>
              <w:rPr>
                <w:sz w:val="15"/>
              </w:rPr>
              <w:t>4</w:t>
            </w:r>
          </w:p>
        </w:tc>
        <w:tc>
          <w:tcPr>
            <w:tcW w:type="dxa" w:w="2493"/>
          </w:tcPr>
          <w:p>
            <w:pPr>
              <w:spacing w:after="0"/>
            </w:pPr>
            <w:r/>
            <w:r>
              <w:rPr>
                <w:sz w:val="15"/>
              </w:rPr>
              <w:t>2</w:t>
            </w:r>
          </w:p>
        </w:tc>
        <w:tc>
          <w:tcPr>
            <w:tcW w:type="dxa" w:w="2493"/>
          </w:tcPr>
          <w:p>
            <w:pPr>
              <w:spacing w:after="0"/>
            </w:pPr>
            <w:r/>
            <w:r>
              <w:rPr>
                <w:sz w:val="15"/>
              </w:rPr>
              <w:t>50%</w:t>
            </w:r>
          </w:p>
        </w:tc>
      </w:tr>
      <w:tr>
        <w:tc>
          <w:tcPr>
            <w:tcW w:type="dxa" w:w="2493"/>
          </w:tcPr>
          <w:p>
            <w:pPr>
              <w:spacing w:after="0"/>
            </w:pPr>
            <w:r/>
            <w:r>
              <w:rPr>
                <w:sz w:val="15"/>
              </w:rPr>
              <w:t>alcohol withdrawal</w:t>
            </w:r>
          </w:p>
        </w:tc>
        <w:tc>
          <w:tcPr>
            <w:tcW w:type="dxa" w:w="2493"/>
          </w:tcPr>
          <w:p>
            <w:pPr>
              <w:spacing w:after="0"/>
            </w:pPr>
            <w:r/>
            <w:r>
              <w:rPr>
                <w:sz w:val="15"/>
              </w:rPr>
              <w:t>4</w:t>
            </w:r>
          </w:p>
        </w:tc>
        <w:tc>
          <w:tcPr>
            <w:tcW w:type="dxa" w:w="2493"/>
          </w:tcPr>
          <w:p>
            <w:pPr>
              <w:spacing w:after="0"/>
            </w:pPr>
            <w:r/>
            <w:r>
              <w:rPr>
                <w:sz w:val="15"/>
              </w:rPr>
              <w:t>3</w:t>
            </w:r>
          </w:p>
        </w:tc>
        <w:tc>
          <w:tcPr>
            <w:tcW w:type="dxa" w:w="2493"/>
          </w:tcPr>
          <w:p>
            <w:pPr>
              <w:spacing w:after="0"/>
            </w:pPr>
            <w:r/>
            <w:r>
              <w:rPr>
                <w:sz w:val="15"/>
              </w:rPr>
              <w:t>75%</w:t>
            </w:r>
          </w:p>
        </w:tc>
      </w:tr>
      <w:tr>
        <w:tc>
          <w:tcPr>
            <w:tcW w:type="dxa" w:w="2493"/>
          </w:tcPr>
          <w:p>
            <w:pPr>
              <w:spacing w:after="0"/>
            </w:pPr>
            <w:r/>
            <w:r>
              <w:rPr>
                <w:b/>
                <w:sz w:val="15"/>
              </w:rPr>
              <w:t>all</w:t>
            </w:r>
          </w:p>
        </w:tc>
        <w:tc>
          <w:tcPr>
            <w:tcW w:type="dxa" w:w="2493"/>
          </w:tcPr>
          <w:p>
            <w:pPr>
              <w:spacing w:after="0"/>
            </w:pPr>
            <w:r/>
            <w:r>
              <w:rPr>
                <w:b/>
                <w:sz w:val="15"/>
              </w:rPr>
              <w:t>88</w:t>
            </w:r>
          </w:p>
        </w:tc>
        <w:tc>
          <w:tcPr>
            <w:tcW w:type="dxa" w:w="2493"/>
          </w:tcPr>
          <w:p>
            <w:pPr>
              <w:spacing w:after="0"/>
            </w:pPr>
            <w:r/>
            <w:r>
              <w:rPr>
                <w:b/>
                <w:sz w:val="15"/>
              </w:rPr>
              <w:t>42</w:t>
            </w:r>
          </w:p>
        </w:tc>
        <w:tc>
          <w:tcPr>
            <w:tcW w:type="dxa" w:w="2493"/>
          </w:tcPr>
          <w:p>
            <w:pPr>
              <w:spacing w:after="0"/>
            </w:pPr>
            <w:r/>
            <w:r>
              <w:rPr>
                <w:b/>
                <w:sz w:val="15"/>
              </w:rPr>
              <w:t>48%</w:t>
            </w:r>
          </w:p>
        </w:tc>
      </w:tr>
      <w:tr>
        <w:tc>
          <w:tcPr>
            <w:tcW w:type="dxa" w:w="2493"/>
          </w:tcPr>
          <w:p>
            <w:pPr>
              <w:spacing w:after="0"/>
            </w:pPr>
            <w:r/>
            <w:r>
              <w:rPr>
                <w:sz w:val="15"/>
              </w:rPr>
              <w:t>default</w:t>
            </w:r>
          </w:p>
        </w:tc>
        <w:tc>
          <w:tcPr>
            <w:tcW w:type="dxa" w:w="2493"/>
          </w:tcPr>
          <w:p>
            <w:pPr>
              <w:spacing w:after="0"/>
            </w:pPr>
            <w:r/>
            <w:r>
              <w:rPr>
                <w:sz w:val="15"/>
              </w:rPr>
              <w:t>0.35</w:t>
            </w:r>
          </w:p>
        </w:tc>
        <w:tc>
          <w:tcPr>
            <w:tcW w:type="dxa" w:w="2493"/>
          </w:tcPr>
          <w:p>
            <w:pPr>
              <w:spacing w:after="0"/>
            </w:pPr>
            <w:r/>
            <w:r>
              <w:rPr>
                <w:sz w:val="15"/>
              </w:rPr>
              <w:t>0.25</w:t>
            </w:r>
          </w:p>
        </w:tc>
        <w:tc>
          <w:tcPr>
            <w:tcW w:type="dxa" w:w="2493"/>
          </w:tcPr>
          <w:p>
            <w:pPr>
              <w:spacing w:after="0"/>
            </w:pPr>
            <w:r/>
            <w:r>
              <w:rPr>
                <w:sz w:val="15"/>
              </w:rPr>
              <w:t>0.20</w:t>
            </w:r>
          </w:p>
        </w:tc>
      </w:tr>
      <w:tr>
        <w:tc>
          <w:tcPr>
            <w:tcW w:type="dxa" w:w="2493"/>
          </w:tcPr>
          <w:p>
            <w:pPr>
              <w:spacing w:after="0"/>
            </w:pPr>
            <w:r/>
            <w:r>
              <w:rPr>
                <w:sz w:val="15"/>
              </w:rPr>
              <w:t>toxicology (toxicology, TDM, poisoning)</w:t>
            </w:r>
          </w:p>
        </w:tc>
        <w:tc>
          <w:tcPr>
            <w:tcW w:type="dxa" w:w="2493"/>
          </w:tcPr>
          <w:p>
            <w:pPr>
              <w:spacing w:after="0"/>
            </w:pPr>
            <w:r/>
            <w:r>
              <w:rPr>
                <w:sz w:val="15"/>
              </w:rPr>
              <w:t>0.55</w:t>
            </w:r>
          </w:p>
        </w:tc>
        <w:tc>
          <w:tcPr>
            <w:tcW w:type="dxa" w:w="2493"/>
          </w:tcPr>
          <w:p>
            <w:pPr>
              <w:spacing w:after="0"/>
            </w:pPr>
            <w:r/>
            <w:r>
              <w:rPr>
                <w:sz w:val="15"/>
              </w:rPr>
              <w:t>0.15</w:t>
            </w:r>
          </w:p>
        </w:tc>
        <w:tc>
          <w:tcPr>
            <w:tcW w:type="dxa" w:w="2493"/>
          </w:tcPr>
          <w:p>
            <w:pPr>
              <w:spacing w:after="0"/>
            </w:pPr>
            <w:r/>
            <w:r>
              <w:rPr>
                <w:sz w:val="15"/>
              </w:rPr>
              <w:t>0.15</w:t>
            </w:r>
          </w:p>
        </w:tc>
      </w:tr>
      <w:tr>
        <w:tc>
          <w:tcPr>
            <w:tcW w:type="dxa" w:w="2493"/>
          </w:tcPr>
          <w:p>
            <w:pPr>
              <w:spacing w:after="0"/>
            </w:pPr>
            <w:r/>
            <w:r>
              <w:rPr>
                <w:sz w:val="15"/>
              </w:rPr>
              <w:t>critical (critical care, acid–base, blood gas, electrolyte, emergency)</w:t>
            </w:r>
          </w:p>
        </w:tc>
        <w:tc>
          <w:tcPr>
            <w:tcW w:type="dxa" w:w="2493"/>
          </w:tcPr>
          <w:p>
            <w:pPr>
              <w:spacing w:after="0"/>
            </w:pPr>
            <w:r/>
            <w:r>
              <w:rPr>
                <w:sz w:val="15"/>
              </w:rPr>
              <w:t>0.50</w:t>
            </w:r>
          </w:p>
        </w:tc>
        <w:tc>
          <w:tcPr>
            <w:tcW w:type="dxa" w:w="2493"/>
          </w:tcPr>
          <w:p>
            <w:pPr>
              <w:spacing w:after="0"/>
            </w:pPr>
            <w:r/>
            <w:r>
              <w:rPr>
                <w:sz w:val="15"/>
              </w:rPr>
              <w:t>0.20</w:t>
            </w:r>
          </w:p>
        </w:tc>
        <w:tc>
          <w:tcPr>
            <w:tcW w:type="dxa" w:w="2493"/>
          </w:tcPr>
          <w:p>
            <w:pPr>
              <w:spacing w:after="0"/>
            </w:pPr>
            <w:r/>
            <w:r>
              <w:rPr>
                <w:sz w:val="15"/>
              </w:rPr>
              <w:t>0.15</w:t>
            </w:r>
          </w:p>
        </w:tc>
      </w:tr>
      <w:tr>
        <w:tc>
          <w:tcPr>
            <w:tcW w:type="dxa" w:w="2493"/>
          </w:tcPr>
          <w:p>
            <w:pPr>
              <w:spacing w:after="0"/>
            </w:pPr>
            <w:r/>
            <w:r>
              <w:rPr>
                <w:sz w:val="15"/>
              </w:rPr>
              <w:t>autoimmune (autoimmune, rheumatology, immunology, vasculitis)</w:t>
            </w:r>
          </w:p>
        </w:tc>
        <w:tc>
          <w:tcPr>
            <w:tcW w:type="dxa" w:w="2493"/>
          </w:tcPr>
          <w:p>
            <w:pPr>
              <w:spacing w:after="0"/>
            </w:pPr>
            <w:r/>
            <w:r>
              <w:rPr>
                <w:sz w:val="15"/>
              </w:rPr>
              <w:t>0.30</w:t>
            </w:r>
          </w:p>
        </w:tc>
        <w:tc>
          <w:tcPr>
            <w:tcW w:type="dxa" w:w="2493"/>
          </w:tcPr>
          <w:p>
            <w:pPr>
              <w:spacing w:after="0"/>
            </w:pPr>
            <w:r/>
            <w:r>
              <w:rPr>
                <w:sz w:val="15"/>
              </w:rPr>
              <w:t>0.20</w:t>
            </w:r>
          </w:p>
        </w:tc>
        <w:tc>
          <w:tcPr>
            <w:tcW w:type="dxa" w:w="2493"/>
          </w:tcPr>
          <w:p>
            <w:pPr>
              <w:spacing w:after="0"/>
            </w:pPr>
            <w:r/>
            <w:r>
              <w:rPr>
                <w:sz w:val="15"/>
              </w:rPr>
              <w:t>0.20</w:t>
            </w:r>
          </w:p>
        </w:tc>
      </w:tr>
      <w:tr>
        <w:tc>
          <w:tcPr>
            <w:tcW w:type="dxa" w:w="2493"/>
          </w:tcPr>
          <w:p>
            <w:pPr>
              <w:spacing w:after="0"/>
            </w:pPr>
            <w:r/>
            <w:r>
              <w:rPr>
                <w:sz w:val="15"/>
              </w:rPr>
              <w:t>oncology (oncology, tumour markers, haematologic malignancy)</w:t>
            </w:r>
          </w:p>
        </w:tc>
        <w:tc>
          <w:tcPr>
            <w:tcW w:type="dxa" w:w="2493"/>
          </w:tcPr>
          <w:p>
            <w:pPr>
              <w:spacing w:after="0"/>
            </w:pPr>
            <w:r/>
            <w:r>
              <w:rPr>
                <w:sz w:val="15"/>
              </w:rPr>
              <w:t>0.30</w:t>
            </w:r>
          </w:p>
        </w:tc>
        <w:tc>
          <w:tcPr>
            <w:tcW w:type="dxa" w:w="2493"/>
          </w:tcPr>
          <w:p>
            <w:pPr>
              <w:spacing w:after="0"/>
            </w:pPr>
            <w:r/>
            <w:r>
              <w:rPr>
                <w:sz w:val="15"/>
              </w:rPr>
              <w:t>0.35</w:t>
            </w:r>
          </w:p>
        </w:tc>
        <w:tc>
          <w:tcPr>
            <w:tcW w:type="dxa" w:w="2493"/>
          </w:tcPr>
          <w:p>
            <w:pPr>
              <w:spacing w:after="0"/>
            </w:pPr>
            <w:r/>
            <w:r>
              <w:rPr>
                <w:sz w:val="15"/>
              </w:rPr>
              <w:t>0.15</w:t>
            </w:r>
          </w:p>
        </w:tc>
      </w:tr>
      <w:tr>
        <w:tc>
          <w:tcPr>
            <w:tcW w:type="dxa" w:w="2493"/>
          </w:tcPr>
          <w:p>
            <w:pPr>
              <w:spacing w:after="0"/>
            </w:pPr>
            <w:r/>
            <w:r>
              <w:rPr>
                <w:sz w:val="15"/>
              </w:rPr>
              <w:t>endocrine (endocrine, thyroid, adrenal, pituitary, reproductive)</w:t>
            </w:r>
          </w:p>
        </w:tc>
        <w:tc>
          <w:tcPr>
            <w:tcW w:type="dxa" w:w="2493"/>
          </w:tcPr>
          <w:p>
            <w:pPr>
              <w:spacing w:after="0"/>
            </w:pPr>
            <w:r/>
            <w:r>
              <w:rPr>
                <w:sz w:val="15"/>
              </w:rPr>
              <w:t>0.35</w:t>
            </w:r>
          </w:p>
        </w:tc>
        <w:tc>
          <w:tcPr>
            <w:tcW w:type="dxa" w:w="2493"/>
          </w:tcPr>
          <w:p>
            <w:pPr>
              <w:spacing w:after="0"/>
            </w:pPr>
            <w:r/>
            <w:r>
              <w:rPr>
                <w:sz w:val="15"/>
              </w:rPr>
              <w:t>0.25</w:t>
            </w:r>
          </w:p>
        </w:tc>
        <w:tc>
          <w:tcPr>
            <w:tcW w:type="dxa" w:w="2493"/>
          </w:tcPr>
          <w:p>
            <w:pPr>
              <w:spacing w:after="0"/>
            </w:pPr>
            <w:r/>
            <w:r>
              <w:rPr>
                <w:sz w:val="15"/>
              </w:rPr>
              <w:t>0.25</w:t>
            </w:r>
          </w:p>
        </w:tc>
      </w:tr>
      <w:tr>
        <w:tc>
          <w:tcPr>
            <w:tcW w:type="dxa" w:w="2493"/>
          </w:tcPr>
          <w:p>
            <w:pPr>
              <w:spacing w:after="0"/>
            </w:pPr>
            <w:r/>
            <w:r>
              <w:rPr>
                <w:sz w:val="15"/>
              </w:rPr>
              <w:t>cardiometabolic (cardiovascular, lipid, metabolic, diabetes)</w:t>
            </w:r>
          </w:p>
        </w:tc>
        <w:tc>
          <w:tcPr>
            <w:tcW w:type="dxa" w:w="2493"/>
          </w:tcPr>
          <w:p>
            <w:pPr>
              <w:spacing w:after="0"/>
            </w:pPr>
            <w:r/>
            <w:r>
              <w:rPr>
                <w:sz w:val="15"/>
              </w:rPr>
              <w:t>0.30</w:t>
            </w:r>
          </w:p>
        </w:tc>
        <w:tc>
          <w:tcPr>
            <w:tcW w:type="dxa" w:w="2493"/>
          </w:tcPr>
          <w:p>
            <w:pPr>
              <w:spacing w:after="0"/>
            </w:pPr>
            <w:r/>
            <w:r>
              <w:rPr>
                <w:sz w:val="15"/>
              </w:rPr>
              <w:t>0.20</w:t>
            </w:r>
          </w:p>
        </w:tc>
        <w:tc>
          <w:tcPr>
            <w:tcW w:type="dxa" w:w="2493"/>
          </w:tcPr>
          <w:p>
            <w:pPr>
              <w:spacing w:after="0"/>
            </w:pPr>
            <w:r/>
            <w:r>
              <w:rPr>
                <w:sz w:val="15"/>
              </w:rPr>
              <w:t>0.15</w:t>
            </w:r>
          </w:p>
        </w:tc>
      </w:tr>
      <w:tr>
        <w:tc>
          <w:tcPr>
            <w:tcW w:type="dxa" w:w="2493"/>
          </w:tcPr>
          <w:p>
            <w:pPr>
              <w:spacing w:after="0"/>
            </w:pPr>
            <w:r/>
            <w:r>
              <w:rPr>
                <w:sz w:val="15"/>
              </w:rPr>
              <w:t>reliability ρ_m = min(0.95, w/0.35)</w:t>
            </w:r>
          </w:p>
        </w:tc>
        <w:tc>
          <w:tcPr>
            <w:tcW w:type="dxa" w:w="2493"/>
          </w:tcPr>
          <w:p>
            <w:pPr>
              <w:spacing w:after="0"/>
            </w:pPr>
            <w:r/>
            <w:r>
              <w:rPr>
                <w:sz w:val="15"/>
              </w:rPr>
              <w:t>0.95</w:t>
            </w:r>
          </w:p>
        </w:tc>
        <w:tc>
          <w:tcPr>
            <w:tcW w:type="dxa" w:w="2493"/>
          </w:tcPr>
          <w:p>
            <w:pPr>
              <w:spacing w:after="0"/>
            </w:pPr>
            <w:r/>
            <w:r>
              <w:rPr>
                <w:sz w:val="15"/>
              </w:rPr>
              <w:t>0.71</w:t>
            </w:r>
          </w:p>
        </w:tc>
        <w:tc>
          <w:tcPr>
            <w:tcW w:type="dxa" w:w="2493"/>
          </w:tcPr>
          <w:p>
            <w:pPr>
              <w:spacing w:after="0"/>
            </w:pPr>
            <w:r/>
            <w:r>
              <w:rPr>
                <w:sz w:val="15"/>
              </w:rPr>
              <w:t>0.57</w:t>
            </w:r>
          </w:p>
        </w:tc>
      </w:tr>
      <w:tr>
        <w:tc>
          <w:tcPr>
            <w:tcW w:type="dxa" w:w="2493"/>
          </w:tcPr>
          <w:p>
            <w:pPr>
              <w:spacing w:after="0"/>
            </w:pPr>
            <w:r/>
            <w:r>
              <w:rPr>
                <w:sz w:val="15"/>
              </w:rPr>
              <w:t>1</w:t>
            </w:r>
          </w:p>
        </w:tc>
        <w:tc>
          <w:tcPr>
            <w:tcW w:type="dxa" w:w="2493"/>
          </w:tcPr>
          <w:p>
            <w:pPr>
              <w:spacing w:after="0"/>
            </w:pPr>
            <w:r/>
            <w:r>
              <w:rPr>
                <w:rFonts w:ascii="Consolas" w:hAnsi="Consolas"/>
                <w:sz w:val="15"/>
              </w:rPr>
              <w:t>mchc_identity</w:t>
            </w:r>
          </w:p>
        </w:tc>
        <w:tc>
          <w:tcPr>
            <w:tcW w:type="dxa" w:w="2493"/>
          </w:tcPr>
          <w:p>
            <w:pPr>
              <w:spacing w:after="0"/>
            </w:pPr>
            <w:r/>
            <w:r>
              <w:rPr>
                <w:sz w:val="15"/>
              </w:rPr>
              <w:t>hemoglobin, hematocrit, mean_corpuscular_hemoglobin_concentration</w:t>
            </w:r>
          </w:p>
        </w:tc>
        <w:tc>
          <w:tcPr>
            <w:tcW w:type="dxa" w:w="2493"/>
          </w:tcPr>
          <w:p>
            <w:pPr>
              <w:spacing w:after="0"/>
            </w:pPr>
            <w:r/>
          </w:p>
        </w:tc>
      </w:tr>
      <w:tr>
        <w:tc>
          <w:tcPr>
            <w:tcW w:type="dxa" w:w="2493"/>
          </w:tcPr>
          <w:p>
            <w:pPr>
              <w:spacing w:after="0"/>
            </w:pPr>
            <w:r/>
            <w:r>
              <w:rPr>
                <w:sz w:val="15"/>
              </w:rPr>
              <w:t>2</w:t>
            </w:r>
          </w:p>
        </w:tc>
        <w:tc>
          <w:tcPr>
            <w:tcW w:type="dxa" w:w="2493"/>
          </w:tcPr>
          <w:p>
            <w:pPr>
              <w:spacing w:after="0"/>
            </w:pPr>
            <w:r/>
            <w:r>
              <w:rPr>
                <w:rFonts w:ascii="Consolas" w:hAnsi="Consolas"/>
                <w:sz w:val="15"/>
              </w:rPr>
              <w:t>mcv_identity</w:t>
            </w:r>
          </w:p>
        </w:tc>
        <w:tc>
          <w:tcPr>
            <w:tcW w:type="dxa" w:w="2493"/>
          </w:tcPr>
          <w:p>
            <w:pPr>
              <w:spacing w:after="0"/>
            </w:pPr>
            <w:r/>
            <w:r>
              <w:rPr>
                <w:sz w:val="15"/>
              </w:rPr>
              <w:t>hematocrit, red_blood_cell_count, mean_corpuscular_volume</w:t>
            </w:r>
          </w:p>
        </w:tc>
        <w:tc>
          <w:tcPr>
            <w:tcW w:type="dxa" w:w="2493"/>
          </w:tcPr>
          <w:p>
            <w:pPr>
              <w:spacing w:after="0"/>
            </w:pPr>
            <w:r/>
          </w:p>
        </w:tc>
      </w:tr>
      <w:tr>
        <w:tc>
          <w:tcPr>
            <w:tcW w:type="dxa" w:w="2493"/>
          </w:tcPr>
          <w:p>
            <w:pPr>
              <w:spacing w:after="0"/>
            </w:pPr>
            <w:r/>
            <w:r>
              <w:rPr>
                <w:sz w:val="15"/>
              </w:rPr>
              <w:t>3</w:t>
            </w:r>
          </w:p>
        </w:tc>
        <w:tc>
          <w:tcPr>
            <w:tcW w:type="dxa" w:w="2493"/>
          </w:tcPr>
          <w:p>
            <w:pPr>
              <w:spacing w:after="0"/>
            </w:pPr>
            <w:r/>
            <w:r>
              <w:rPr>
                <w:rFonts w:ascii="Consolas" w:hAnsi="Consolas"/>
                <w:sz w:val="15"/>
              </w:rPr>
              <w:t>mch_identity</w:t>
            </w:r>
          </w:p>
        </w:tc>
        <w:tc>
          <w:tcPr>
            <w:tcW w:type="dxa" w:w="2493"/>
          </w:tcPr>
          <w:p>
            <w:pPr>
              <w:spacing w:after="0"/>
            </w:pPr>
            <w:r/>
            <w:r>
              <w:rPr>
                <w:sz w:val="15"/>
              </w:rPr>
              <w:t>hemoglobin, red_blood_cell_count, mean_corpuscular_hemoglobin</w:t>
            </w:r>
          </w:p>
        </w:tc>
        <w:tc>
          <w:tcPr>
            <w:tcW w:type="dxa" w:w="2493"/>
          </w:tcPr>
          <w:p>
            <w:pPr>
              <w:spacing w:after="0"/>
            </w:pPr>
            <w:r/>
          </w:p>
        </w:tc>
      </w:tr>
      <w:tr>
        <w:tc>
          <w:tcPr>
            <w:tcW w:type="dxa" w:w="2493"/>
          </w:tcPr>
          <w:p>
            <w:pPr>
              <w:spacing w:after="0"/>
            </w:pPr>
            <w:r/>
            <w:r>
              <w:rPr>
                <w:sz w:val="15"/>
              </w:rPr>
              <w:t>4</w:t>
            </w:r>
          </w:p>
        </w:tc>
        <w:tc>
          <w:tcPr>
            <w:tcW w:type="dxa" w:w="2493"/>
          </w:tcPr>
          <w:p>
            <w:pPr>
              <w:spacing w:after="0"/>
            </w:pPr>
            <w:r/>
            <w:r>
              <w:rPr>
                <w:rFonts w:ascii="Consolas" w:hAnsi="Consolas"/>
                <w:sz w:val="15"/>
              </w:rPr>
              <w:t>rule_of_three</w:t>
            </w:r>
          </w:p>
        </w:tc>
        <w:tc>
          <w:tcPr>
            <w:tcW w:type="dxa" w:w="2493"/>
          </w:tcPr>
          <w:p>
            <w:pPr>
              <w:spacing w:after="0"/>
            </w:pPr>
            <w:r/>
            <w:r>
              <w:rPr>
                <w:sz w:val="15"/>
              </w:rPr>
              <w:t>hemoglobin, hematocrit</w:t>
            </w:r>
          </w:p>
        </w:tc>
        <w:tc>
          <w:tcPr>
            <w:tcW w:type="dxa" w:w="2493"/>
          </w:tcPr>
          <w:p>
            <w:pPr>
              <w:spacing w:after="0"/>
            </w:pPr>
            <w:r/>
          </w:p>
        </w:tc>
      </w:tr>
      <w:tr>
        <w:tc>
          <w:tcPr>
            <w:tcW w:type="dxa" w:w="2493"/>
          </w:tcPr>
          <w:p>
            <w:pPr>
              <w:spacing w:after="0"/>
            </w:pPr>
            <w:r/>
            <w:r>
              <w:rPr>
                <w:sz w:val="15"/>
              </w:rPr>
              <w:t>5</w:t>
            </w:r>
          </w:p>
        </w:tc>
        <w:tc>
          <w:tcPr>
            <w:tcW w:type="dxa" w:w="2493"/>
          </w:tcPr>
          <w:p>
            <w:pPr>
              <w:spacing w:after="0"/>
            </w:pPr>
            <w:r/>
            <w:r>
              <w:rPr>
                <w:rFonts w:ascii="Consolas" w:hAnsi="Consolas"/>
                <w:sz w:val="15"/>
              </w:rPr>
              <w:t>differential_sum</w:t>
            </w:r>
          </w:p>
        </w:tc>
        <w:tc>
          <w:tcPr>
            <w:tcW w:type="dxa" w:w="2493"/>
          </w:tcPr>
          <w:p>
            <w:pPr>
              <w:spacing w:after="0"/>
            </w:pPr>
            <w:r/>
            <w:r>
              <w:rPr>
                <w:sz w:val="15"/>
              </w:rPr>
              <w:t>neutrophils_percent, lymphocytes_percent, monocytes_percent, eosinophils_percent, basophils_percent</w:t>
            </w:r>
          </w:p>
        </w:tc>
        <w:tc>
          <w:tcPr>
            <w:tcW w:type="dxa" w:w="2493"/>
          </w:tcPr>
          <w:p>
            <w:pPr>
              <w:spacing w:after="0"/>
            </w:pPr>
            <w:r/>
          </w:p>
        </w:tc>
      </w:tr>
      <w:tr>
        <w:tc>
          <w:tcPr>
            <w:tcW w:type="dxa" w:w="2493"/>
          </w:tcPr>
          <w:p>
            <w:pPr>
              <w:spacing w:after="0"/>
            </w:pPr>
            <w:r/>
            <w:r>
              <w:rPr>
                <w:sz w:val="15"/>
              </w:rPr>
              <w:t>6</w:t>
            </w:r>
          </w:p>
        </w:tc>
        <w:tc>
          <w:tcPr>
            <w:tcW w:type="dxa" w:w="2493"/>
          </w:tcPr>
          <w:p>
            <w:pPr>
              <w:spacing w:after="0"/>
            </w:pPr>
            <w:r/>
            <w:r>
              <w:rPr>
                <w:rFonts w:ascii="Consolas" w:hAnsi="Consolas"/>
                <w:sz w:val="15"/>
              </w:rPr>
              <w:t>anc_identity</w:t>
            </w:r>
          </w:p>
        </w:tc>
        <w:tc>
          <w:tcPr>
            <w:tcW w:type="dxa" w:w="2493"/>
          </w:tcPr>
          <w:p>
            <w:pPr>
              <w:spacing w:after="0"/>
            </w:pPr>
            <w:r/>
            <w:r>
              <w:rPr>
                <w:sz w:val="15"/>
              </w:rPr>
              <w:t>white_blood_cell_count, neutrophils_percent, neutrophil_count_absolute</w:t>
            </w:r>
          </w:p>
        </w:tc>
        <w:tc>
          <w:tcPr>
            <w:tcW w:type="dxa" w:w="2493"/>
          </w:tcPr>
          <w:p>
            <w:pPr>
              <w:spacing w:after="0"/>
            </w:pPr>
            <w:r/>
          </w:p>
        </w:tc>
      </w:tr>
      <w:tr>
        <w:tc>
          <w:tcPr>
            <w:tcW w:type="dxa" w:w="2493"/>
          </w:tcPr>
          <w:p>
            <w:pPr>
              <w:spacing w:after="0"/>
            </w:pPr>
            <w:r/>
            <w:r>
              <w:rPr>
                <w:sz w:val="15"/>
              </w:rPr>
              <w:t>7</w:t>
            </w:r>
          </w:p>
        </w:tc>
        <w:tc>
          <w:tcPr>
            <w:tcW w:type="dxa" w:w="2493"/>
          </w:tcPr>
          <w:p>
            <w:pPr>
              <w:spacing w:after="0"/>
            </w:pPr>
            <w:r/>
            <w:r>
              <w:rPr>
                <w:rFonts w:ascii="Consolas" w:hAnsi="Consolas"/>
                <w:sz w:val="15"/>
              </w:rPr>
              <w:t>alc_identity</w:t>
            </w:r>
          </w:p>
        </w:tc>
        <w:tc>
          <w:tcPr>
            <w:tcW w:type="dxa" w:w="2493"/>
          </w:tcPr>
          <w:p>
            <w:pPr>
              <w:spacing w:after="0"/>
            </w:pPr>
            <w:r/>
            <w:r>
              <w:rPr>
                <w:sz w:val="15"/>
              </w:rPr>
              <w:t>white_blood_cell_count, lymphocytes_percent, lymphocyte_count_absolute</w:t>
            </w:r>
          </w:p>
        </w:tc>
        <w:tc>
          <w:tcPr>
            <w:tcW w:type="dxa" w:w="2493"/>
          </w:tcPr>
          <w:p>
            <w:pPr>
              <w:spacing w:after="0"/>
            </w:pPr>
            <w:r/>
          </w:p>
        </w:tc>
      </w:tr>
      <w:tr>
        <w:tc>
          <w:tcPr>
            <w:tcW w:type="dxa" w:w="2493"/>
          </w:tcPr>
          <w:p>
            <w:pPr>
              <w:spacing w:after="0"/>
            </w:pPr>
            <w:r/>
            <w:r>
              <w:rPr>
                <w:sz w:val="15"/>
              </w:rPr>
              <w:t>8</w:t>
            </w:r>
          </w:p>
        </w:tc>
        <w:tc>
          <w:tcPr>
            <w:tcW w:type="dxa" w:w="2493"/>
          </w:tcPr>
          <w:p>
            <w:pPr>
              <w:spacing w:after="0"/>
            </w:pPr>
            <w:r/>
            <w:r>
              <w:rPr>
                <w:rFonts w:ascii="Consolas" w:hAnsi="Consolas"/>
                <w:sz w:val="15"/>
              </w:rPr>
              <w:t>direct_le_total_bilirubin</w:t>
            </w:r>
          </w:p>
        </w:tc>
        <w:tc>
          <w:tcPr>
            <w:tcW w:type="dxa" w:w="2493"/>
          </w:tcPr>
          <w:p>
            <w:pPr>
              <w:spacing w:after="0"/>
            </w:pPr>
            <w:r/>
            <w:r>
              <w:rPr>
                <w:sz w:val="15"/>
              </w:rPr>
              <w:t>total_bilirubin, direct_bilirubin</w:t>
            </w:r>
          </w:p>
        </w:tc>
        <w:tc>
          <w:tcPr>
            <w:tcW w:type="dxa" w:w="2493"/>
          </w:tcPr>
          <w:p>
            <w:pPr>
              <w:spacing w:after="0"/>
            </w:pPr>
            <w:r/>
          </w:p>
        </w:tc>
      </w:tr>
      <w:tr>
        <w:tc>
          <w:tcPr>
            <w:tcW w:type="dxa" w:w="2493"/>
          </w:tcPr>
          <w:p>
            <w:pPr>
              <w:spacing w:after="0"/>
            </w:pPr>
            <w:r/>
            <w:r>
              <w:rPr>
                <w:sz w:val="15"/>
              </w:rPr>
              <w:t>9</w:t>
            </w:r>
          </w:p>
        </w:tc>
        <w:tc>
          <w:tcPr>
            <w:tcW w:type="dxa" w:w="2493"/>
          </w:tcPr>
          <w:p>
            <w:pPr>
              <w:spacing w:after="0"/>
            </w:pPr>
            <w:r/>
            <w:r>
              <w:rPr>
                <w:rFonts w:ascii="Consolas" w:hAnsi="Consolas"/>
                <w:sz w:val="15"/>
              </w:rPr>
              <w:t>bilirubin_sum</w:t>
            </w:r>
          </w:p>
        </w:tc>
        <w:tc>
          <w:tcPr>
            <w:tcW w:type="dxa" w:w="2493"/>
          </w:tcPr>
          <w:p>
            <w:pPr>
              <w:spacing w:after="0"/>
            </w:pPr>
            <w:r/>
            <w:r>
              <w:rPr>
                <w:sz w:val="15"/>
              </w:rPr>
              <w:t>total_bilirubin, direct_bilirubin, indirect_bilirubin</w:t>
            </w:r>
          </w:p>
        </w:tc>
        <w:tc>
          <w:tcPr>
            <w:tcW w:type="dxa" w:w="2493"/>
          </w:tcPr>
          <w:p>
            <w:pPr>
              <w:spacing w:after="0"/>
            </w:pPr>
            <w:r/>
          </w:p>
        </w:tc>
      </w:tr>
      <w:tr>
        <w:tc>
          <w:tcPr>
            <w:tcW w:type="dxa" w:w="2493"/>
          </w:tcPr>
          <w:p>
            <w:pPr>
              <w:spacing w:after="0"/>
            </w:pPr>
            <w:r/>
            <w:r>
              <w:rPr>
                <w:sz w:val="15"/>
              </w:rPr>
              <w:t>10</w:t>
            </w:r>
          </w:p>
        </w:tc>
        <w:tc>
          <w:tcPr>
            <w:tcW w:type="dxa" w:w="2493"/>
          </w:tcPr>
          <w:p>
            <w:pPr>
              <w:spacing w:after="0"/>
            </w:pPr>
            <w:r/>
            <w:r>
              <w:rPr>
                <w:rFonts w:ascii="Consolas" w:hAnsi="Consolas"/>
                <w:sz w:val="15"/>
              </w:rPr>
              <w:t>albumin_le_total_protein</w:t>
            </w:r>
          </w:p>
        </w:tc>
        <w:tc>
          <w:tcPr>
            <w:tcW w:type="dxa" w:w="2493"/>
          </w:tcPr>
          <w:p>
            <w:pPr>
              <w:spacing w:after="0"/>
            </w:pPr>
            <w:r/>
            <w:r>
              <w:rPr>
                <w:sz w:val="15"/>
              </w:rPr>
              <w:t>albumin, total_protein</w:t>
            </w:r>
          </w:p>
        </w:tc>
        <w:tc>
          <w:tcPr>
            <w:tcW w:type="dxa" w:w="2493"/>
          </w:tcPr>
          <w:p>
            <w:pPr>
              <w:spacing w:after="0"/>
            </w:pPr>
            <w:r/>
          </w:p>
        </w:tc>
      </w:tr>
      <w:tr>
        <w:tc>
          <w:tcPr>
            <w:tcW w:type="dxa" w:w="2493"/>
          </w:tcPr>
          <w:p>
            <w:pPr>
              <w:spacing w:after="0"/>
            </w:pPr>
            <w:r/>
            <w:r>
              <w:rPr>
                <w:sz w:val="15"/>
              </w:rPr>
              <w:t>11</w:t>
            </w:r>
          </w:p>
        </w:tc>
        <w:tc>
          <w:tcPr>
            <w:tcW w:type="dxa" w:w="2493"/>
          </w:tcPr>
          <w:p>
            <w:pPr>
              <w:spacing w:after="0"/>
            </w:pPr>
            <w:r/>
            <w:r>
              <w:rPr>
                <w:rFonts w:ascii="Consolas" w:hAnsi="Consolas"/>
                <w:sz w:val="15"/>
              </w:rPr>
              <w:t>globulin_identity</w:t>
            </w:r>
          </w:p>
        </w:tc>
        <w:tc>
          <w:tcPr>
            <w:tcW w:type="dxa" w:w="2493"/>
          </w:tcPr>
          <w:p>
            <w:pPr>
              <w:spacing w:after="0"/>
            </w:pPr>
            <w:r/>
            <w:r>
              <w:rPr>
                <w:sz w:val="15"/>
              </w:rPr>
              <w:t>albumin, total_protein, globulin</w:t>
            </w:r>
          </w:p>
        </w:tc>
        <w:tc>
          <w:tcPr>
            <w:tcW w:type="dxa" w:w="2493"/>
          </w:tcPr>
          <w:p>
            <w:pPr>
              <w:spacing w:after="0"/>
            </w:pPr>
            <w:r/>
          </w:p>
        </w:tc>
      </w:tr>
      <w:tr>
        <w:tc>
          <w:tcPr>
            <w:tcW w:type="dxa" w:w="2493"/>
          </w:tcPr>
          <w:p>
            <w:pPr>
              <w:spacing w:after="0"/>
            </w:pPr>
            <w:r/>
            <w:r>
              <w:rPr>
                <w:sz w:val="15"/>
              </w:rPr>
              <w:t>12</w:t>
            </w:r>
          </w:p>
        </w:tc>
        <w:tc>
          <w:tcPr>
            <w:tcW w:type="dxa" w:w="2493"/>
          </w:tcPr>
          <w:p>
            <w:pPr>
              <w:spacing w:after="0"/>
            </w:pPr>
            <w:r/>
            <w:r>
              <w:rPr>
                <w:rFonts w:ascii="Consolas" w:hAnsi="Consolas"/>
                <w:sz w:val="15"/>
              </w:rPr>
              <w:t>ldl_hdl_le_tc</w:t>
            </w:r>
          </w:p>
        </w:tc>
        <w:tc>
          <w:tcPr>
            <w:tcW w:type="dxa" w:w="2493"/>
          </w:tcPr>
          <w:p>
            <w:pPr>
              <w:spacing w:after="0"/>
            </w:pPr>
            <w:r/>
            <w:r>
              <w:rPr>
                <w:sz w:val="15"/>
              </w:rPr>
              <w:t>total_cholesterol, ldl_cholesterol_calculated, ldl_cholesterol_direct, hdl_cholesterol</w:t>
            </w:r>
          </w:p>
        </w:tc>
        <w:tc>
          <w:tcPr>
            <w:tcW w:type="dxa" w:w="2493"/>
          </w:tcPr>
          <w:p>
            <w:pPr>
              <w:spacing w:after="0"/>
            </w:pPr>
            <w:r/>
          </w:p>
        </w:tc>
      </w:tr>
      <w:tr>
        <w:tc>
          <w:tcPr>
            <w:tcW w:type="dxa" w:w="2493"/>
          </w:tcPr>
          <w:p>
            <w:pPr>
              <w:spacing w:after="0"/>
            </w:pPr>
            <w:r/>
            <w:r>
              <w:rPr>
                <w:sz w:val="15"/>
              </w:rPr>
              <w:t>13</w:t>
            </w:r>
          </w:p>
        </w:tc>
        <w:tc>
          <w:tcPr>
            <w:tcW w:type="dxa" w:w="2493"/>
          </w:tcPr>
          <w:p>
            <w:pPr>
              <w:spacing w:after="0"/>
            </w:pPr>
            <w:r/>
            <w:r>
              <w:rPr>
                <w:rFonts w:ascii="Consolas" w:hAnsi="Consolas"/>
                <w:sz w:val="15"/>
              </w:rPr>
              <w:t>friedewald</w:t>
            </w:r>
          </w:p>
        </w:tc>
        <w:tc>
          <w:tcPr>
            <w:tcW w:type="dxa" w:w="2493"/>
          </w:tcPr>
          <w:p>
            <w:pPr>
              <w:spacing w:after="0"/>
            </w:pPr>
            <w:r/>
            <w:r>
              <w:rPr>
                <w:sz w:val="15"/>
              </w:rPr>
              <w:t>total_cholesterol, hdl_cholesterol, triglycerides, ldl_cholesterol_calculated, ldl_cholesterol_direct</w:t>
            </w:r>
          </w:p>
        </w:tc>
        <w:tc>
          <w:tcPr>
            <w:tcW w:type="dxa" w:w="2493"/>
          </w:tcPr>
          <w:p>
            <w:pPr>
              <w:spacing w:after="0"/>
            </w:pPr>
            <w:r/>
          </w:p>
        </w:tc>
      </w:tr>
      <w:tr>
        <w:tc>
          <w:tcPr>
            <w:tcW w:type="dxa" w:w="2493"/>
          </w:tcPr>
          <w:p>
            <w:pPr>
              <w:spacing w:after="0"/>
            </w:pPr>
            <w:r/>
            <w:r>
              <w:rPr>
                <w:sz w:val="15"/>
              </w:rPr>
              <w:t>14</w:t>
            </w:r>
          </w:p>
        </w:tc>
        <w:tc>
          <w:tcPr>
            <w:tcW w:type="dxa" w:w="2493"/>
          </w:tcPr>
          <w:p>
            <w:pPr>
              <w:spacing w:after="0"/>
            </w:pPr>
            <w:r/>
            <w:r>
              <w:rPr>
                <w:rFonts w:ascii="Consolas" w:hAnsi="Consolas"/>
                <w:sz w:val="15"/>
              </w:rPr>
              <w:t>non_hdl_identity</w:t>
            </w:r>
          </w:p>
        </w:tc>
        <w:tc>
          <w:tcPr>
            <w:tcW w:type="dxa" w:w="2493"/>
          </w:tcPr>
          <w:p>
            <w:pPr>
              <w:spacing w:after="0"/>
            </w:pPr>
            <w:r/>
            <w:r>
              <w:rPr>
                <w:sz w:val="15"/>
              </w:rPr>
              <w:t>total_cholesterol, hdl_cholesterol, non_hdl_cholesterol</w:t>
            </w:r>
          </w:p>
        </w:tc>
        <w:tc>
          <w:tcPr>
            <w:tcW w:type="dxa" w:w="2493"/>
          </w:tcPr>
          <w:p>
            <w:pPr>
              <w:spacing w:after="0"/>
            </w:pPr>
            <w:r/>
          </w:p>
        </w:tc>
      </w:tr>
      <w:tr>
        <w:tc>
          <w:tcPr>
            <w:tcW w:type="dxa" w:w="2493"/>
          </w:tcPr>
          <w:p>
            <w:pPr>
              <w:spacing w:after="0"/>
            </w:pPr>
            <w:r/>
            <w:r>
              <w:rPr>
                <w:sz w:val="15"/>
              </w:rPr>
              <w:t>15</w:t>
            </w:r>
          </w:p>
        </w:tc>
        <w:tc>
          <w:tcPr>
            <w:tcW w:type="dxa" w:w="2493"/>
          </w:tcPr>
          <w:p>
            <w:pPr>
              <w:spacing w:after="0"/>
            </w:pPr>
            <w:r/>
            <w:r>
              <w:rPr>
                <w:rFonts w:ascii="Consolas" w:hAnsi="Consolas"/>
                <w:sz w:val="15"/>
              </w:rPr>
              <w:t>urea_bun_ratio</w:t>
            </w:r>
          </w:p>
        </w:tc>
        <w:tc>
          <w:tcPr>
            <w:tcW w:type="dxa" w:w="2493"/>
          </w:tcPr>
          <w:p>
            <w:pPr>
              <w:spacing w:after="0"/>
            </w:pPr>
            <w:r/>
            <w:r>
              <w:rPr>
                <w:sz w:val="15"/>
              </w:rPr>
              <w:t>blood_urea_nitrogen, urea</w:t>
            </w:r>
          </w:p>
        </w:tc>
        <w:tc>
          <w:tcPr>
            <w:tcW w:type="dxa" w:w="2493"/>
          </w:tcPr>
          <w:p>
            <w:pPr>
              <w:spacing w:after="0"/>
            </w:pPr>
            <w:r/>
          </w:p>
        </w:tc>
      </w:tr>
      <w:tr>
        <w:tc>
          <w:tcPr>
            <w:tcW w:type="dxa" w:w="2493"/>
          </w:tcPr>
          <w:p>
            <w:pPr>
              <w:spacing w:after="0"/>
            </w:pPr>
            <w:r/>
            <w:r>
              <w:rPr>
                <w:sz w:val="15"/>
              </w:rPr>
              <w:t>16</w:t>
            </w:r>
          </w:p>
        </w:tc>
        <w:tc>
          <w:tcPr>
            <w:tcW w:type="dxa" w:w="2493"/>
          </w:tcPr>
          <w:p>
            <w:pPr>
              <w:spacing w:after="0"/>
            </w:pPr>
            <w:r/>
            <w:r>
              <w:rPr>
                <w:rFonts w:ascii="Consolas" w:hAnsi="Consolas"/>
                <w:sz w:val="15"/>
              </w:rPr>
              <w:t>anion_gap</w:t>
            </w:r>
          </w:p>
        </w:tc>
        <w:tc>
          <w:tcPr>
            <w:tcW w:type="dxa" w:w="2493"/>
          </w:tcPr>
          <w:p>
            <w:pPr>
              <w:spacing w:after="0"/>
            </w:pPr>
            <w:r/>
            <w:r>
              <w:rPr>
                <w:sz w:val="15"/>
              </w:rPr>
              <w:t>sodium, chloride, bicarbonate, anion_gap, potassium</w:t>
            </w:r>
          </w:p>
        </w:tc>
        <w:tc>
          <w:tcPr>
            <w:tcW w:type="dxa" w:w="2493"/>
          </w:tcPr>
          <w:p>
            <w:pPr>
              <w:spacing w:after="0"/>
            </w:pPr>
            <w:r/>
          </w:p>
        </w:tc>
      </w:tr>
      <w:tr>
        <w:tc>
          <w:tcPr>
            <w:tcW w:type="dxa" w:w="2493"/>
          </w:tcPr>
          <w:p>
            <w:pPr>
              <w:spacing w:after="0"/>
            </w:pPr>
            <w:r/>
            <w:r>
              <w:rPr>
                <w:sz w:val="15"/>
              </w:rPr>
              <w:t>17</w:t>
            </w:r>
          </w:p>
        </w:tc>
        <w:tc>
          <w:tcPr>
            <w:tcW w:type="dxa" w:w="2493"/>
          </w:tcPr>
          <w:p>
            <w:pPr>
              <w:spacing w:after="0"/>
            </w:pPr>
            <w:r/>
            <w:r>
              <w:rPr>
                <w:rFonts w:ascii="Consolas" w:hAnsi="Consolas"/>
                <w:sz w:val="15"/>
              </w:rPr>
              <w:t>tsat_identity</w:t>
            </w:r>
          </w:p>
        </w:tc>
        <w:tc>
          <w:tcPr>
            <w:tcW w:type="dxa" w:w="2493"/>
          </w:tcPr>
          <w:p>
            <w:pPr>
              <w:spacing w:after="0"/>
            </w:pPr>
            <w:r/>
            <w:r>
              <w:rPr>
                <w:sz w:val="15"/>
              </w:rPr>
              <w:t>serum_iron, total_iron_binding_capacity, transferrin_saturation</w:t>
            </w:r>
          </w:p>
        </w:tc>
        <w:tc>
          <w:tcPr>
            <w:tcW w:type="dxa" w:w="2493"/>
          </w:tcPr>
          <w:p>
            <w:pPr>
              <w:spacing w:after="0"/>
            </w:pPr>
            <w:r/>
          </w:p>
        </w:tc>
      </w:tr>
      <w:tr>
        <w:tc>
          <w:tcPr>
            <w:tcW w:type="dxa" w:w="2493"/>
          </w:tcPr>
          <w:p>
            <w:pPr>
              <w:spacing w:after="0"/>
            </w:pPr>
            <w:r/>
            <w:r>
              <w:rPr>
                <w:sz w:val="15"/>
              </w:rPr>
              <w:t>18</w:t>
            </w:r>
          </w:p>
        </w:tc>
        <w:tc>
          <w:tcPr>
            <w:tcW w:type="dxa" w:w="2493"/>
          </w:tcPr>
          <w:p>
            <w:pPr>
              <w:spacing w:after="0"/>
            </w:pPr>
            <w:r/>
            <w:r>
              <w:rPr>
                <w:rFonts w:ascii="Consolas" w:hAnsi="Consolas"/>
                <w:sz w:val="15"/>
              </w:rPr>
              <w:t>egfr_creatinine_monotonic</w:t>
            </w:r>
          </w:p>
        </w:tc>
        <w:tc>
          <w:tcPr>
            <w:tcW w:type="dxa" w:w="2493"/>
          </w:tcPr>
          <w:p>
            <w:pPr>
              <w:spacing w:after="0"/>
            </w:pPr>
            <w:r/>
            <w:r>
              <w:rPr>
                <w:sz w:val="15"/>
              </w:rPr>
              <w:t>creatinine, egfr_ckd_epi_creatinine</w:t>
            </w:r>
          </w:p>
        </w:tc>
        <w:tc>
          <w:tcPr>
            <w:tcW w:type="dxa" w:w="2493"/>
          </w:tcPr>
          <w:p>
            <w:pPr>
              <w:spacing w:after="0"/>
            </w:pPr>
            <w:r/>
          </w:p>
        </w:tc>
      </w:tr>
      <w:tr>
        <w:tc>
          <w:tcPr>
            <w:tcW w:type="dxa" w:w="2493"/>
          </w:tcPr>
          <w:p>
            <w:pPr>
              <w:spacing w:after="0"/>
            </w:pPr>
            <w:r/>
            <w:r>
              <w:rPr>
                <w:sz w:val="15"/>
              </w:rPr>
              <w:t>19</w:t>
            </w:r>
          </w:p>
        </w:tc>
        <w:tc>
          <w:tcPr>
            <w:tcW w:type="dxa" w:w="2493"/>
          </w:tcPr>
          <w:p>
            <w:pPr>
              <w:spacing w:after="0"/>
            </w:pPr>
            <w:r/>
            <w:r>
              <w:rPr>
                <w:rFonts w:ascii="Consolas" w:hAnsi="Consolas"/>
                <w:sz w:val="15"/>
              </w:rPr>
              <w:t>amc_identity</w:t>
            </w:r>
          </w:p>
        </w:tc>
        <w:tc>
          <w:tcPr>
            <w:tcW w:type="dxa" w:w="2493"/>
          </w:tcPr>
          <w:p>
            <w:pPr>
              <w:spacing w:after="0"/>
            </w:pPr>
            <w:r/>
            <w:r>
              <w:rPr>
                <w:sz w:val="15"/>
              </w:rPr>
              <w:t>white_blood_cell_count, monocytes_percent, monocyte_count_absolute</w:t>
            </w:r>
          </w:p>
        </w:tc>
        <w:tc>
          <w:tcPr>
            <w:tcW w:type="dxa" w:w="2493"/>
          </w:tcPr>
          <w:p>
            <w:pPr>
              <w:spacing w:after="0"/>
            </w:pPr>
            <w:r/>
          </w:p>
        </w:tc>
      </w:tr>
      <w:tr>
        <w:tc>
          <w:tcPr>
            <w:tcW w:type="dxa" w:w="2493"/>
          </w:tcPr>
          <w:p>
            <w:pPr>
              <w:spacing w:after="0"/>
            </w:pPr>
            <w:r/>
            <w:r>
              <w:rPr>
                <w:sz w:val="15"/>
              </w:rPr>
              <w:t>20</w:t>
            </w:r>
          </w:p>
        </w:tc>
        <w:tc>
          <w:tcPr>
            <w:tcW w:type="dxa" w:w="2493"/>
          </w:tcPr>
          <w:p>
            <w:pPr>
              <w:spacing w:after="0"/>
            </w:pPr>
            <w:r/>
            <w:r>
              <w:rPr>
                <w:rFonts w:ascii="Consolas" w:hAnsi="Consolas"/>
                <w:sz w:val="15"/>
              </w:rPr>
              <w:t>aec_identity</w:t>
            </w:r>
          </w:p>
        </w:tc>
        <w:tc>
          <w:tcPr>
            <w:tcW w:type="dxa" w:w="2493"/>
          </w:tcPr>
          <w:p>
            <w:pPr>
              <w:spacing w:after="0"/>
            </w:pPr>
            <w:r/>
            <w:r>
              <w:rPr>
                <w:sz w:val="15"/>
              </w:rPr>
              <w:t>white_blood_cell_count, eosinophils_percent, eosinophil_count_absolute</w:t>
            </w:r>
          </w:p>
        </w:tc>
        <w:tc>
          <w:tcPr>
            <w:tcW w:type="dxa" w:w="2493"/>
          </w:tcPr>
          <w:p>
            <w:pPr>
              <w:spacing w:after="0"/>
            </w:pPr>
            <w:r/>
          </w:p>
        </w:tc>
      </w:tr>
      <w:tr>
        <w:tc>
          <w:tcPr>
            <w:tcW w:type="dxa" w:w="2493"/>
          </w:tcPr>
          <w:p>
            <w:pPr>
              <w:spacing w:after="0"/>
            </w:pPr>
            <w:r/>
            <w:r>
              <w:rPr>
                <w:sz w:val="15"/>
              </w:rPr>
              <w:t>21</w:t>
            </w:r>
          </w:p>
        </w:tc>
        <w:tc>
          <w:tcPr>
            <w:tcW w:type="dxa" w:w="2493"/>
          </w:tcPr>
          <w:p>
            <w:pPr>
              <w:spacing w:after="0"/>
            </w:pPr>
            <w:r/>
            <w:r>
              <w:rPr>
                <w:rFonts w:ascii="Consolas" w:hAnsi="Consolas"/>
                <w:sz w:val="15"/>
              </w:rPr>
              <w:t>abc_identity</w:t>
            </w:r>
          </w:p>
        </w:tc>
        <w:tc>
          <w:tcPr>
            <w:tcW w:type="dxa" w:w="2493"/>
          </w:tcPr>
          <w:p>
            <w:pPr>
              <w:spacing w:after="0"/>
            </w:pPr>
            <w:r/>
            <w:r>
              <w:rPr>
                <w:sz w:val="15"/>
              </w:rPr>
              <w:t>white_blood_cell_count, basophils_percent, basophil_count_absolute</w:t>
            </w:r>
          </w:p>
        </w:tc>
        <w:tc>
          <w:tcPr>
            <w:tcW w:type="dxa" w:w="2493"/>
          </w:tcPr>
          <w:p>
            <w:pPr>
              <w:spacing w:after="0"/>
            </w:pPr>
            <w:r/>
          </w:p>
        </w:tc>
      </w:tr>
      <w:tr>
        <w:tc>
          <w:tcPr>
            <w:tcW w:type="dxa" w:w="2493"/>
          </w:tcPr>
          <w:p>
            <w:pPr>
              <w:spacing w:after="0"/>
            </w:pPr>
            <w:r/>
            <w:r>
              <w:rPr>
                <w:sz w:val="15"/>
              </w:rPr>
              <w:t>22</w:t>
            </w:r>
          </w:p>
        </w:tc>
        <w:tc>
          <w:tcPr>
            <w:tcW w:type="dxa" w:w="2493"/>
          </w:tcPr>
          <w:p>
            <w:pPr>
              <w:spacing w:after="0"/>
            </w:pPr>
            <w:r/>
            <w:r>
              <w:rPr>
                <w:rFonts w:ascii="Consolas" w:hAnsi="Consolas"/>
                <w:sz w:val="15"/>
              </w:rPr>
              <w:t>ag_ratio_identity</w:t>
            </w:r>
          </w:p>
        </w:tc>
        <w:tc>
          <w:tcPr>
            <w:tcW w:type="dxa" w:w="2493"/>
          </w:tcPr>
          <w:p>
            <w:pPr>
              <w:spacing w:after="0"/>
            </w:pPr>
            <w:r/>
            <w:r>
              <w:rPr>
                <w:sz w:val="15"/>
              </w:rPr>
              <w:t>albumin, globulin, albumin_to_globulin_ratio</w:t>
            </w:r>
          </w:p>
        </w:tc>
        <w:tc>
          <w:tcPr>
            <w:tcW w:type="dxa" w:w="2493"/>
          </w:tcPr>
          <w:p>
            <w:pPr>
              <w:spacing w:after="0"/>
            </w:pPr>
            <w:r/>
          </w:p>
        </w:tc>
      </w:tr>
      <w:tr>
        <w:tc>
          <w:tcPr>
            <w:tcW w:type="dxa" w:w="2493"/>
          </w:tcPr>
          <w:p>
            <w:pPr>
              <w:spacing w:after="0"/>
            </w:pPr>
            <w:r/>
            <w:r>
              <w:rPr>
                <w:sz w:val="15"/>
              </w:rPr>
              <w:t>23</w:t>
            </w:r>
          </w:p>
        </w:tc>
        <w:tc>
          <w:tcPr>
            <w:tcW w:type="dxa" w:w="2493"/>
          </w:tcPr>
          <w:p>
            <w:pPr>
              <w:spacing w:after="0"/>
            </w:pPr>
            <w:r/>
            <w:r>
              <w:rPr>
                <w:rFonts w:ascii="Consolas" w:hAnsi="Consolas"/>
                <w:sz w:val="15"/>
              </w:rPr>
              <w:t>vldl_identity</w:t>
            </w:r>
          </w:p>
        </w:tc>
        <w:tc>
          <w:tcPr>
            <w:tcW w:type="dxa" w:w="2493"/>
          </w:tcPr>
          <w:p>
            <w:pPr>
              <w:spacing w:after="0"/>
            </w:pPr>
            <w:r/>
            <w:r>
              <w:rPr>
                <w:sz w:val="15"/>
              </w:rPr>
              <w:t>triglycerides, vldl_cholesterol</w:t>
            </w:r>
          </w:p>
        </w:tc>
        <w:tc>
          <w:tcPr>
            <w:tcW w:type="dxa" w:w="2493"/>
          </w:tcPr>
          <w:p>
            <w:pPr>
              <w:spacing w:after="0"/>
            </w:pPr>
            <w:r/>
          </w:p>
        </w:tc>
      </w:tr>
      <w:tr>
        <w:tc>
          <w:tcPr>
            <w:tcW w:type="dxa" w:w="2493"/>
          </w:tcPr>
          <w:p>
            <w:pPr>
              <w:spacing w:after="0"/>
            </w:pPr>
            <w:r/>
            <w:r>
              <w:rPr>
                <w:sz w:val="15"/>
              </w:rPr>
              <w:t>24</w:t>
            </w:r>
          </w:p>
        </w:tc>
        <w:tc>
          <w:tcPr>
            <w:tcW w:type="dxa" w:w="2493"/>
          </w:tcPr>
          <w:p>
            <w:pPr>
              <w:spacing w:after="0"/>
            </w:pPr>
            <w:r/>
            <w:r>
              <w:rPr>
                <w:rFonts w:ascii="Consolas" w:hAnsi="Consolas"/>
                <w:sz w:val="15"/>
              </w:rPr>
              <w:t>eag_identity</w:t>
            </w:r>
          </w:p>
        </w:tc>
        <w:tc>
          <w:tcPr>
            <w:tcW w:type="dxa" w:w="2493"/>
          </w:tcPr>
          <w:p>
            <w:pPr>
              <w:spacing w:after="0"/>
            </w:pPr>
            <w:r/>
            <w:r>
              <w:rPr>
                <w:sz w:val="15"/>
              </w:rPr>
              <w:t>hemoglobin_a1c, estimated_average_glucose</w:t>
            </w:r>
          </w:p>
        </w:tc>
        <w:tc>
          <w:tcPr>
            <w:tcW w:type="dxa" w:w="2493"/>
          </w:tcPr>
          <w:p>
            <w:pPr>
              <w:spacing w:after="0"/>
            </w:pPr>
            <w:r/>
          </w:p>
        </w:tc>
      </w:tr>
      <w:tr>
        <w:tc>
          <w:tcPr>
            <w:tcW w:type="dxa" w:w="2493"/>
          </w:tcPr>
          <w:p>
            <w:pPr>
              <w:spacing w:after="0"/>
            </w:pPr>
            <w:r/>
            <w:r>
              <w:rPr>
                <w:sz w:val="15"/>
              </w:rPr>
              <w:t>25</w:t>
            </w:r>
          </w:p>
        </w:tc>
        <w:tc>
          <w:tcPr>
            <w:tcW w:type="dxa" w:w="2493"/>
          </w:tcPr>
          <w:p>
            <w:pPr>
              <w:spacing w:after="0"/>
            </w:pPr>
            <w:r/>
            <w:r>
              <w:rPr>
                <w:rFonts w:ascii="Consolas" w:hAnsi="Consolas"/>
                <w:sz w:val="15"/>
              </w:rPr>
              <w:t>corrected_calcium_identity</w:t>
            </w:r>
          </w:p>
        </w:tc>
        <w:tc>
          <w:tcPr>
            <w:tcW w:type="dxa" w:w="2493"/>
          </w:tcPr>
          <w:p>
            <w:pPr>
              <w:spacing w:after="0"/>
            </w:pPr>
            <w:r/>
            <w:r>
              <w:rPr>
                <w:sz w:val="15"/>
              </w:rPr>
              <w:t>calcium_total, albumin, corrected_calcium_for_serum_albumin</w:t>
            </w:r>
          </w:p>
        </w:tc>
        <w:tc>
          <w:tcPr>
            <w:tcW w:type="dxa" w:w="2493"/>
          </w:tcPr>
          <w:p>
            <w:pPr>
              <w:spacing w:after="0"/>
            </w:pPr>
            <w:r/>
          </w:p>
        </w:tc>
      </w:tr>
      <w:tr>
        <w:tc>
          <w:tcPr>
            <w:tcW w:type="dxa" w:w="2493"/>
          </w:tcPr>
          <w:p>
            <w:pPr>
              <w:spacing w:after="0"/>
            </w:pPr>
            <w:r/>
            <w:r>
              <w:rPr>
                <w:sz w:val="15"/>
              </w:rPr>
              <w:t>26</w:t>
            </w:r>
          </w:p>
        </w:tc>
        <w:tc>
          <w:tcPr>
            <w:tcW w:type="dxa" w:w="2493"/>
          </w:tcPr>
          <w:p>
            <w:pPr>
              <w:spacing w:after="0"/>
            </w:pPr>
            <w:r/>
            <w:r>
              <w:rPr>
                <w:rFonts w:ascii="Consolas" w:hAnsi="Consolas"/>
                <w:sz w:val="15"/>
              </w:rPr>
              <w:t>transferrin_tibc</w:t>
            </w:r>
          </w:p>
        </w:tc>
        <w:tc>
          <w:tcPr>
            <w:tcW w:type="dxa" w:w="2493"/>
          </w:tcPr>
          <w:p>
            <w:pPr>
              <w:spacing w:after="0"/>
            </w:pPr>
            <w:r/>
            <w:r>
              <w:rPr>
                <w:sz w:val="15"/>
              </w:rPr>
              <w:t>transferrin, total_iron_binding_capacity</w:t>
            </w:r>
          </w:p>
        </w:tc>
        <w:tc>
          <w:tcPr>
            <w:tcW w:type="dxa" w:w="2493"/>
          </w:tcPr>
          <w:p>
            <w:pPr>
              <w:spacing w:after="0"/>
            </w:pPr>
            <w:r/>
          </w:p>
        </w:tc>
      </w:tr>
      <w:tr>
        <w:tc>
          <w:tcPr>
            <w:tcW w:type="dxa" w:w="2493"/>
          </w:tcPr>
          <w:p>
            <w:pPr>
              <w:spacing w:after="0"/>
            </w:pPr>
            <w:r/>
            <w:r>
              <w:rPr>
                <w:sz w:val="15"/>
              </w:rPr>
              <w:t>27</w:t>
            </w:r>
          </w:p>
        </w:tc>
        <w:tc>
          <w:tcPr>
            <w:tcW w:type="dxa" w:w="2493"/>
          </w:tcPr>
          <w:p>
            <w:pPr>
              <w:spacing w:after="0"/>
            </w:pPr>
            <w:r/>
            <w:r>
              <w:rPr>
                <w:rFonts w:ascii="Consolas" w:hAnsi="Consolas"/>
                <w:sz w:val="15"/>
              </w:rPr>
              <w:t>ldl_direct_vs_calculated</w:t>
            </w:r>
          </w:p>
        </w:tc>
        <w:tc>
          <w:tcPr>
            <w:tcW w:type="dxa" w:w="2493"/>
          </w:tcPr>
          <w:p>
            <w:pPr>
              <w:spacing w:after="0"/>
            </w:pPr>
            <w:r/>
            <w:r>
              <w:rPr>
                <w:sz w:val="15"/>
              </w:rPr>
              <w:t>ldl_cholesterol_direct, ldl_cholesterol_calculated, triglycerides</w:t>
            </w:r>
          </w:p>
        </w:tc>
        <w:tc>
          <w:tcPr>
            <w:tcW w:type="dxa" w:w="2493"/>
          </w:tcPr>
          <w:p>
            <w:pPr>
              <w:spacing w:after="0"/>
            </w:pPr>
            <w:r/>
            <w:r>
              <w:rPr>
                <w:sz w:val="15"/>
              </w:rPr>
              <w:t xml:space="preserve">--- </w:t>
            </w:r>
            <w:r>
              <w:rPr>
                <w:b/>
                <w:sz w:val="15"/>
              </w:rPr>
              <w:t>Table N3-3. Ablation arm definitions (`eval/ablation/run_ablation.py`).</w:t>
            </w:r>
          </w:p>
        </w:tc>
      </w:tr>
      <w:tr>
        <w:tc>
          <w:tcPr>
            <w:tcW w:type="dxa" w:w="2493"/>
          </w:tcPr>
          <w:p>
            <w:pPr>
              <w:spacing w:after="0"/>
            </w:pPr>
            <w:r/>
            <w:r>
              <w:rPr>
                <w:sz w:val="15"/>
              </w:rPr>
              <w:t>no_bayesian / no_fuzzy / no_graph / no_risk</w:t>
            </w:r>
          </w:p>
        </w:tc>
        <w:tc>
          <w:tcPr>
            <w:tcW w:type="dxa" w:w="2493"/>
          </w:tcPr>
          <w:p>
            <w:pPr>
              <w:spacing w:after="0"/>
            </w:pPr>
            <w:r/>
            <w:r>
              <w:rPr>
                <w:sz w:val="15"/>
              </w:rPr>
              <w:t>that layer's vote set to abstain in fusion (</w:t>
            </w:r>
            <w:r>
              <w:rPr>
                <w:rFonts w:ascii="Consolas" w:hAnsi="Consolas"/>
                <w:sz w:val="15"/>
              </w:rPr>
              <w:t>HEMOGLYPH_DISABLE_LAYERS</w:t>
            </w:r>
            <w:r>
              <w:rPr>
                <w:sz w:val="15"/>
              </w:rPr>
              <w:t>)</w:t>
            </w:r>
          </w:p>
        </w:tc>
        <w:tc>
          <w:tcPr>
            <w:tcW w:type="dxa" w:w="2493"/>
          </w:tcPr>
          <w:p>
            <w:pPr>
              <w:spacing w:after="0"/>
            </w:pPr>
            <w:r/>
          </w:p>
        </w:tc>
        <w:tc>
          <w:tcPr>
            <w:tcW w:type="dxa" w:w="2493"/>
          </w:tcPr>
          <w:p>
            <w:pPr>
              <w:spacing w:after="0"/>
            </w:pPr>
            <w:r/>
          </w:p>
        </w:tc>
      </w:tr>
      <w:tr>
        <w:tc>
          <w:tcPr>
            <w:tcW w:type="dxa" w:w="2493"/>
          </w:tcPr>
          <w:p>
            <w:pPr>
              <w:spacing w:after="0"/>
            </w:pPr>
            <w:r/>
            <w:r>
              <w:rPr>
                <w:sz w:val="15"/>
              </w:rPr>
              <w:t>no_rule</w:t>
            </w:r>
          </w:p>
        </w:tc>
        <w:tc>
          <w:tcPr>
            <w:tcW w:type="dxa" w:w="2493"/>
          </w:tcPr>
          <w:p>
            <w:pPr>
              <w:spacing w:after="0"/>
            </w:pPr>
            <w:r/>
            <w:r>
              <w:rPr>
                <w:sz w:val="15"/>
              </w:rPr>
              <w:t>the rule_engine channel set to abstain; both registry rules and expert-syndrome constellations enter fusion through this channel, so this arm is a superset of no_esl</w:t>
            </w:r>
          </w:p>
        </w:tc>
        <w:tc>
          <w:tcPr>
            <w:tcW w:type="dxa" w:w="2493"/>
          </w:tcPr>
          <w:p>
            <w:pPr>
              <w:spacing w:after="0"/>
            </w:pPr>
            <w:r/>
          </w:p>
        </w:tc>
        <w:tc>
          <w:tcPr>
            <w:tcW w:type="dxa" w:w="2493"/>
          </w:tcPr>
          <w:p>
            <w:pPr>
              <w:spacing w:after="0"/>
            </w:pPr>
            <w:r/>
          </w:p>
        </w:tc>
      </w:tr>
      <w:tr>
        <w:tc>
          <w:tcPr>
            <w:tcW w:type="dxa" w:w="2493"/>
          </w:tcPr>
          <w:p>
            <w:pPr>
              <w:spacing w:after="0"/>
            </w:pPr>
            <w:r/>
            <w:r>
              <w:rPr>
                <w:sz w:val="15"/>
              </w:rPr>
              <w:t>no_esl</w:t>
            </w:r>
          </w:p>
        </w:tc>
        <w:tc>
          <w:tcPr>
            <w:tcW w:type="dxa" w:w="2493"/>
          </w:tcPr>
          <w:p>
            <w:pPr>
              <w:spacing w:after="0"/>
            </w:pPr>
            <w:r/>
            <w:r>
              <w:rPr>
                <w:sz w:val="15"/>
              </w:rPr>
              <w:t>expert syndrome layer returns no hits; registry rules intact</w:t>
            </w:r>
          </w:p>
        </w:tc>
        <w:tc>
          <w:tcPr>
            <w:tcW w:type="dxa" w:w="2493"/>
          </w:tcPr>
          <w:p>
            <w:pPr>
              <w:spacing w:after="0"/>
            </w:pPr>
            <w:r/>
          </w:p>
        </w:tc>
        <w:tc>
          <w:tcPr>
            <w:tcW w:type="dxa" w:w="2493"/>
          </w:tcPr>
          <w:p>
            <w:pPr>
              <w:spacing w:after="0"/>
            </w:pPr>
            <w:r/>
          </w:p>
        </w:tc>
      </w:tr>
      <w:tr>
        <w:tc>
          <w:tcPr>
            <w:tcW w:type="dxa" w:w="2493"/>
          </w:tcPr>
          <w:p>
            <w:pPr>
              <w:spacing w:after="0"/>
            </w:pPr>
            <w:r/>
            <w:r>
              <w:rPr>
                <w:sz w:val="15"/>
              </w:rPr>
              <w:t>dempster</w:t>
            </w:r>
          </w:p>
        </w:tc>
        <w:tc>
          <w:tcPr>
            <w:tcW w:type="dxa" w:w="2493"/>
          </w:tcPr>
          <w:p>
            <w:pPr>
              <w:spacing w:after="0"/>
            </w:pPr>
            <w:r/>
            <w:r>
              <w:rPr>
                <w:sz w:val="15"/>
              </w:rPr>
              <w:t>conflict mass renormalised (Dempster) instead of assigned to Θ (Yager)</w:t>
            </w:r>
          </w:p>
        </w:tc>
        <w:tc>
          <w:tcPr>
            <w:tcW w:type="dxa" w:w="2493"/>
          </w:tcPr>
          <w:p>
            <w:pPr>
              <w:spacing w:after="0"/>
            </w:pPr>
            <w:r/>
          </w:p>
        </w:tc>
        <w:tc>
          <w:tcPr>
            <w:tcW w:type="dxa" w:w="2493"/>
          </w:tcPr>
          <w:p>
            <w:pPr>
              <w:spacing w:after="0"/>
            </w:pPr>
            <w:r/>
          </w:p>
        </w:tc>
      </w:tr>
      <w:tr>
        <w:tc>
          <w:tcPr>
            <w:tcW w:type="dxa" w:w="2493"/>
          </w:tcPr>
          <w:p>
            <w:pPr>
              <w:spacing w:after="0"/>
            </w:pPr>
            <w:r/>
            <w:r>
              <w:rPr>
                <w:sz w:val="15"/>
              </w:rPr>
              <w:t>uniform_w / w_rule_heavy / w_rule_light</w:t>
            </w:r>
          </w:p>
        </w:tc>
        <w:tc>
          <w:tcPr>
            <w:tcW w:type="dxa" w:w="2493"/>
          </w:tcPr>
          <w:p>
            <w:pPr>
              <w:spacing w:after="0"/>
            </w:pPr>
            <w:r/>
            <w:r>
              <w:rPr>
                <w:sz w:val="15"/>
              </w:rPr>
              <w:t>weights and all profiles replaced as given in Table S12; reliability ρ recomputed from the new weights</w:t>
            </w:r>
          </w:p>
        </w:tc>
        <w:tc>
          <w:tcPr>
            <w:tcW w:type="dxa" w:w="2493"/>
          </w:tcPr>
          <w:p>
            <w:pPr>
              <w:spacing w:after="0"/>
            </w:pPr>
            <w:r/>
          </w:p>
        </w:tc>
        <w:tc>
          <w:tcPr>
            <w:tcW w:type="dxa" w:w="2493"/>
          </w:tcPr>
          <w:p>
            <w:pPr>
              <w:spacing w:after="0"/>
            </w:pPr>
            <w:r/>
          </w:p>
        </w:tc>
      </w:tr>
      <w:tr>
        <w:tc>
          <w:tcPr>
            <w:tcW w:type="dxa" w:w="2493"/>
          </w:tcPr>
          <w:p>
            <w:pPr>
              <w:spacing w:after="0"/>
            </w:pPr>
            <w:r/>
            <w:r>
              <w:rPr>
                <w:sz w:val="15"/>
              </w:rPr>
              <w:t>no_shrink</w:t>
            </w:r>
          </w:p>
        </w:tc>
        <w:tc>
          <w:tcPr>
            <w:tcW w:type="dxa" w:w="2493"/>
          </w:tcPr>
          <w:p>
            <w:pPr>
              <w:spacing w:after="0"/>
            </w:pPr>
            <w:r/>
            <w:r>
              <w:rPr>
                <w:sz w:val="15"/>
              </w:rPr>
              <w:t>MAX_DISCORD_SHRINK = 0 and SINGLE_SOURCE_DISCOUNT = 1</w:t>
            </w:r>
          </w:p>
        </w:tc>
        <w:tc>
          <w:tcPr>
            <w:tcW w:type="dxa" w:w="2493"/>
          </w:tcPr>
          <w:p>
            <w:pPr>
              <w:spacing w:after="0"/>
            </w:pPr>
            <w:r/>
          </w:p>
        </w:tc>
        <w:tc>
          <w:tcPr>
            <w:tcW w:type="dxa" w:w="2493"/>
          </w:tcPr>
          <w:p>
            <w:pPr>
              <w:spacing w:after="0"/>
            </w:pPr>
            <w:r/>
          </w:p>
        </w:tc>
      </w:tr>
      <w:tr>
        <w:tc>
          <w:tcPr>
            <w:tcW w:type="dxa" w:w="2493"/>
          </w:tcPr>
          <w:p>
            <w:pPr>
              <w:spacing w:after="0"/>
            </w:pPr>
            <w:r/>
            <w:r>
              <w:rPr>
                <w:sz w:val="15"/>
              </w:rPr>
              <w:t>anchor_only</w:t>
            </w:r>
          </w:p>
        </w:tc>
        <w:tc>
          <w:tcPr>
            <w:tcW w:type="dxa" w:w="2493"/>
          </w:tcPr>
          <w:p>
            <w:pPr>
              <w:spacing w:after="0"/>
            </w:pPr>
            <w:r/>
            <w:r>
              <w:rPr>
                <w:sz w:val="15"/>
              </w:rPr>
              <w:t>registry with only the 272 curated anchor rules executable</w:t>
            </w:r>
          </w:p>
        </w:tc>
        <w:tc>
          <w:tcPr>
            <w:tcW w:type="dxa" w:w="2493"/>
          </w:tcPr>
          <w:p>
            <w:pPr>
              <w:spacing w:after="0"/>
            </w:pPr>
            <w:r/>
          </w:p>
        </w:tc>
        <w:tc>
          <w:tcPr>
            <w:tcW w:type="dxa" w:w="2493"/>
          </w:tcPr>
          <w:p>
            <w:pPr>
              <w:spacing w:after="0"/>
            </w:pPr>
            <w:r/>
          </w:p>
        </w:tc>
      </w:tr>
      <w:tr>
        <w:tc>
          <w:tcPr>
            <w:tcW w:type="dxa" w:w="2493"/>
          </w:tcPr>
          <w:p>
            <w:pPr>
              <w:spacing w:after="0"/>
            </w:pPr>
            <w:r/>
            <w:r>
              <w:rPr>
                <w:sz w:val="15"/>
              </w:rPr>
              <w:t>no_unverified</w:t>
            </w:r>
          </w:p>
        </w:tc>
        <w:tc>
          <w:tcPr>
            <w:tcW w:type="dxa" w:w="2493"/>
          </w:tcPr>
          <w:p>
            <w:pPr>
              <w:spacing w:after="0"/>
            </w:pPr>
            <w:r/>
            <w:r>
              <w:rPr>
                <w:sz w:val="15"/>
              </w:rPr>
              <w:t xml:space="preserve">28 </w:t>
            </w:r>
            <w:r>
              <w:rPr>
                <w:rFonts w:ascii="Consolas" w:hAnsi="Consolas"/>
                <w:sz w:val="15"/>
              </w:rPr>
              <w:t>unverified_source</w:t>
            </w:r>
            <w:r>
              <w:rPr>
                <w:sz w:val="15"/>
              </w:rPr>
              <w:t xml:space="preserve"> rules non-executable</w:t>
            </w:r>
          </w:p>
        </w:tc>
        <w:tc>
          <w:tcPr>
            <w:tcW w:type="dxa" w:w="2493"/>
          </w:tcPr>
          <w:p>
            <w:pPr>
              <w:spacing w:after="0"/>
            </w:pPr>
            <w:r/>
          </w:p>
        </w:tc>
        <w:tc>
          <w:tcPr>
            <w:tcW w:type="dxa" w:w="2493"/>
          </w:tcPr>
          <w:p>
            <w:pPr>
              <w:spacing w:after="0"/>
            </w:pPr>
            <w:r/>
          </w:p>
        </w:tc>
      </w:tr>
      <w:tr>
        <w:tc>
          <w:tcPr>
            <w:tcW w:type="dxa" w:w="2493"/>
          </w:tcPr>
          <w:p>
            <w:pPr>
              <w:spacing w:after="0"/>
            </w:pPr>
            <w:r/>
            <w:r>
              <w:rPr>
                <w:sz w:val="15"/>
              </w:rPr>
              <w:t>anchor_only_no_esl</w:t>
            </w:r>
          </w:p>
        </w:tc>
        <w:tc>
          <w:tcPr>
            <w:tcW w:type="dxa" w:w="2493"/>
          </w:tcPr>
          <w:p>
            <w:pPr>
              <w:spacing w:after="0"/>
            </w:pPr>
            <w:r/>
            <w:r>
              <w:rPr>
                <w:sz w:val="15"/>
              </w:rPr>
              <w:t xml:space="preserve">2 × 2 cell added in revision round 4: anchor-only registry </w:t>
            </w:r>
            <w:r>
              <w:rPr>
                <w:b/>
                <w:sz w:val="15"/>
              </w:rPr>
              <w:t>and</w:t>
            </w:r>
            <w:r>
              <w:rPr>
                <w:sz w:val="15"/>
              </w:rPr>
              <w:t xml:space="preserve"> syndrome layer off (flat@5 48.2 %, Δ −12.6 (−14.5 to −10.6); two-tier@5 60.9 %; mean AUROC 0.708). Interaction: AI-drafted rules contribute 0.9 points with the syndrome layer present and 3.1 points without it; the syndrome layer contributes 9.5 points with the full registry and 11.7 with anchors only</w:t>
            </w:r>
          </w:p>
        </w:tc>
        <w:tc>
          <w:tcPr>
            <w:tcW w:type="dxa" w:w="2493"/>
          </w:tcPr>
          <w:p>
            <w:pPr>
              <w:spacing w:after="0"/>
            </w:pPr>
            <w:r/>
            <w:r>
              <w:rPr>
                <w:sz w:val="15"/>
              </w:rPr>
              <w:t>## Supplementary Table S6 — Calibration metrics, per group and pooled (engine v7, eICU demo)</w:t>
            </w:r>
          </w:p>
        </w:tc>
        <w:tc>
          <w:tcPr>
            <w:tcW w:type="dxa" w:w="2493"/>
          </w:tcPr>
          <w:p>
            <w:pPr>
              <w:spacing w:after="0"/>
            </w:pPr>
            <w:r/>
            <w:r>
              <w:rPr>
                <w:sz w:val="15"/>
              </w:rPr>
              <w:t>set</w:t>
            </w:r>
          </w:p>
        </w:tc>
      </w:tr>
      <w:tr>
        <w:tc>
          <w:tcPr>
            <w:tcW w:type="dxa" w:w="2493"/>
          </w:tcPr>
          <w:p>
            <w:pPr>
              <w:spacing w:after="0"/>
            </w:pPr>
            <w:r/>
            <w:r>
              <w:rPr>
                <w:sz w:val="15"/>
              </w:rPr>
              <w:t>ALL pooled</w:t>
            </w:r>
          </w:p>
        </w:tc>
        <w:tc>
          <w:tcPr>
            <w:tcW w:type="dxa" w:w="2493"/>
          </w:tcPr>
          <w:p>
            <w:pPr>
              <w:spacing w:after="0"/>
            </w:pPr>
            <w:r/>
            <w:r>
              <w:rPr>
                <w:sz w:val="15"/>
              </w:rPr>
              <w:t>52689</w:t>
            </w:r>
          </w:p>
        </w:tc>
        <w:tc>
          <w:tcPr>
            <w:tcW w:type="dxa" w:w="2493"/>
          </w:tcPr>
          <w:p>
            <w:pPr>
              <w:spacing w:after="0"/>
            </w:pPr>
            <w:r/>
            <w:r>
              <w:rPr>
                <w:sz w:val="15"/>
              </w:rPr>
              <w:t>0.046</w:t>
            </w:r>
          </w:p>
        </w:tc>
        <w:tc>
          <w:tcPr>
            <w:tcW w:type="dxa" w:w="2493"/>
          </w:tcPr>
          <w:p>
            <w:pPr>
              <w:spacing w:after="0"/>
            </w:pPr>
            <w:r/>
            <w:r>
              <w:rPr>
                <w:sz w:val="15"/>
              </w:rPr>
              <w:t>0.25</w:t>
            </w:r>
          </w:p>
        </w:tc>
      </w:tr>
      <w:tr>
        <w:tc>
          <w:tcPr>
            <w:tcW w:type="dxa" w:w="2493"/>
          </w:tcPr>
          <w:p>
            <w:pPr>
              <w:spacing w:after="0"/>
            </w:pPr>
            <w:r/>
            <w:r>
              <w:rPr>
                <w:sz w:val="15"/>
              </w:rPr>
              <w:t>renal_impairment</w:t>
            </w:r>
          </w:p>
        </w:tc>
        <w:tc>
          <w:tcPr>
            <w:tcW w:type="dxa" w:w="2493"/>
          </w:tcPr>
          <w:p>
            <w:pPr>
              <w:spacing w:after="0"/>
            </w:pPr>
            <w:r/>
            <w:r>
              <w:rPr>
                <w:sz w:val="15"/>
              </w:rPr>
              <w:t>2266</w:t>
            </w:r>
          </w:p>
        </w:tc>
        <w:tc>
          <w:tcPr>
            <w:tcW w:type="dxa" w:w="2493"/>
          </w:tcPr>
          <w:p>
            <w:pPr>
              <w:spacing w:after="0"/>
            </w:pPr>
            <w:r/>
            <w:r>
              <w:rPr>
                <w:sz w:val="15"/>
              </w:rPr>
              <w:t>0.144</w:t>
            </w:r>
          </w:p>
        </w:tc>
        <w:tc>
          <w:tcPr>
            <w:tcW w:type="dxa" w:w="2493"/>
          </w:tcPr>
          <w:p>
            <w:pPr>
              <w:spacing w:after="0"/>
            </w:pPr>
            <w:r/>
            <w:r>
              <w:rPr>
                <w:sz w:val="15"/>
              </w:rPr>
              <w:t>0.25</w:t>
            </w:r>
          </w:p>
        </w:tc>
      </w:tr>
      <w:tr>
        <w:tc>
          <w:tcPr>
            <w:tcW w:type="dxa" w:w="2493"/>
          </w:tcPr>
          <w:p>
            <w:pPr>
              <w:spacing w:after="0"/>
            </w:pPr>
            <w:r/>
            <w:r>
              <w:rPr>
                <w:sz w:val="15"/>
              </w:rPr>
              <w:t>sepsis</w:t>
            </w:r>
          </w:p>
        </w:tc>
        <w:tc>
          <w:tcPr>
            <w:tcW w:type="dxa" w:w="2493"/>
          </w:tcPr>
          <w:p>
            <w:pPr>
              <w:spacing w:after="0"/>
            </w:pPr>
            <w:r/>
            <w:r>
              <w:rPr>
                <w:sz w:val="15"/>
              </w:rPr>
              <w:t>2215</w:t>
            </w:r>
          </w:p>
        </w:tc>
        <w:tc>
          <w:tcPr>
            <w:tcW w:type="dxa" w:w="2493"/>
          </w:tcPr>
          <w:p>
            <w:pPr>
              <w:spacing w:after="0"/>
            </w:pPr>
            <w:r/>
            <w:r>
              <w:rPr>
                <w:sz w:val="15"/>
              </w:rPr>
              <w:t>0.130</w:t>
            </w:r>
          </w:p>
        </w:tc>
        <w:tc>
          <w:tcPr>
            <w:tcW w:type="dxa" w:w="2493"/>
          </w:tcPr>
          <w:p>
            <w:pPr>
              <w:spacing w:after="0"/>
            </w:pPr>
            <w:r/>
            <w:r>
              <w:rPr>
                <w:sz w:val="15"/>
              </w:rPr>
              <w:t>0.13</w:t>
            </w:r>
          </w:p>
        </w:tc>
      </w:tr>
      <w:tr>
        <w:tc>
          <w:tcPr>
            <w:tcW w:type="dxa" w:w="2493"/>
          </w:tcPr>
          <w:p>
            <w:pPr>
              <w:spacing w:after="0"/>
            </w:pPr>
            <w:r/>
            <w:r>
              <w:rPr>
                <w:sz w:val="15"/>
              </w:rPr>
              <w:t>diabetes</w:t>
            </w:r>
          </w:p>
        </w:tc>
        <w:tc>
          <w:tcPr>
            <w:tcW w:type="dxa" w:w="2493"/>
          </w:tcPr>
          <w:p>
            <w:pPr>
              <w:spacing w:after="0"/>
            </w:pPr>
            <w:r/>
            <w:r>
              <w:rPr>
                <w:sz w:val="15"/>
              </w:rPr>
              <w:t>2247</w:t>
            </w:r>
          </w:p>
        </w:tc>
        <w:tc>
          <w:tcPr>
            <w:tcW w:type="dxa" w:w="2493"/>
          </w:tcPr>
          <w:p>
            <w:pPr>
              <w:spacing w:after="0"/>
            </w:pPr>
            <w:r/>
            <w:r>
              <w:rPr>
                <w:sz w:val="15"/>
              </w:rPr>
              <w:t>0.109</w:t>
            </w:r>
          </w:p>
        </w:tc>
        <w:tc>
          <w:tcPr>
            <w:tcW w:type="dxa" w:w="2493"/>
          </w:tcPr>
          <w:p>
            <w:pPr>
              <w:spacing w:after="0"/>
            </w:pPr>
            <w:r/>
            <w:r>
              <w:rPr>
                <w:sz w:val="15"/>
              </w:rPr>
              <w:t>0.14</w:t>
            </w:r>
          </w:p>
        </w:tc>
      </w:tr>
      <w:tr>
        <w:tc>
          <w:tcPr>
            <w:tcW w:type="dxa" w:w="2493"/>
          </w:tcPr>
          <w:p>
            <w:pPr>
              <w:spacing w:after="0"/>
            </w:pPr>
            <w:r/>
            <w:r>
              <w:rPr>
                <w:sz w:val="15"/>
              </w:rPr>
              <w:t>acute_kidney_injury</w:t>
            </w:r>
          </w:p>
        </w:tc>
        <w:tc>
          <w:tcPr>
            <w:tcW w:type="dxa" w:w="2493"/>
          </w:tcPr>
          <w:p>
            <w:pPr>
              <w:spacing w:after="0"/>
            </w:pPr>
            <w:r/>
            <w:r>
              <w:rPr>
                <w:sz w:val="15"/>
              </w:rPr>
              <w:t>2266</w:t>
            </w:r>
          </w:p>
        </w:tc>
        <w:tc>
          <w:tcPr>
            <w:tcW w:type="dxa" w:w="2493"/>
          </w:tcPr>
          <w:p>
            <w:pPr>
              <w:spacing w:after="0"/>
            </w:pPr>
            <w:r/>
            <w:r>
              <w:rPr>
                <w:sz w:val="15"/>
              </w:rPr>
              <w:t>0.096</w:t>
            </w:r>
          </w:p>
        </w:tc>
        <w:tc>
          <w:tcPr>
            <w:tcW w:type="dxa" w:w="2493"/>
          </w:tcPr>
          <w:p>
            <w:pPr>
              <w:spacing w:after="0"/>
            </w:pPr>
            <w:r/>
            <w:r>
              <w:rPr>
                <w:sz w:val="15"/>
              </w:rPr>
              <w:t>0.26</w:t>
            </w:r>
          </w:p>
        </w:tc>
      </w:tr>
      <w:tr>
        <w:tc>
          <w:tcPr>
            <w:tcW w:type="dxa" w:w="2493"/>
          </w:tcPr>
          <w:p>
            <w:pPr>
              <w:spacing w:after="0"/>
            </w:pPr>
            <w:r/>
            <w:r>
              <w:rPr>
                <w:sz w:val="15"/>
              </w:rPr>
              <w:t>anemia</w:t>
            </w:r>
          </w:p>
        </w:tc>
        <w:tc>
          <w:tcPr>
            <w:tcW w:type="dxa" w:w="2493"/>
          </w:tcPr>
          <w:p>
            <w:pPr>
              <w:spacing w:after="0"/>
            </w:pPr>
            <w:r/>
            <w:r>
              <w:rPr>
                <w:sz w:val="15"/>
              </w:rPr>
              <w:t>2207</w:t>
            </w:r>
          </w:p>
        </w:tc>
        <w:tc>
          <w:tcPr>
            <w:tcW w:type="dxa" w:w="2493"/>
          </w:tcPr>
          <w:p>
            <w:pPr>
              <w:spacing w:after="0"/>
            </w:pPr>
            <w:r/>
            <w:r>
              <w:rPr>
                <w:sz w:val="15"/>
              </w:rPr>
              <w:t>0.067</w:t>
            </w:r>
          </w:p>
        </w:tc>
        <w:tc>
          <w:tcPr>
            <w:tcW w:type="dxa" w:w="2493"/>
          </w:tcPr>
          <w:p>
            <w:pPr>
              <w:spacing w:after="0"/>
            </w:pPr>
            <w:r/>
            <w:r>
              <w:rPr>
                <w:sz w:val="15"/>
              </w:rPr>
              <w:t>0.36</w:t>
            </w:r>
          </w:p>
        </w:tc>
      </w:tr>
      <w:tr>
        <w:tc>
          <w:tcPr>
            <w:tcW w:type="dxa" w:w="2493"/>
          </w:tcPr>
          <w:p>
            <w:pPr>
              <w:spacing w:after="0"/>
            </w:pPr>
            <w:r/>
            <w:r>
              <w:rPr>
                <w:sz w:val="15"/>
              </w:rPr>
              <w:t>acute_myocardial_infarction</w:t>
            </w:r>
          </w:p>
        </w:tc>
        <w:tc>
          <w:tcPr>
            <w:tcW w:type="dxa" w:w="2493"/>
          </w:tcPr>
          <w:p>
            <w:pPr>
              <w:spacing w:after="0"/>
            </w:pPr>
            <w:r/>
            <w:r>
              <w:rPr>
                <w:sz w:val="15"/>
              </w:rPr>
              <w:t>668</w:t>
            </w:r>
          </w:p>
        </w:tc>
        <w:tc>
          <w:tcPr>
            <w:tcW w:type="dxa" w:w="2493"/>
          </w:tcPr>
          <w:p>
            <w:pPr>
              <w:spacing w:after="0"/>
            </w:pPr>
            <w:r/>
            <w:r>
              <w:rPr>
                <w:sz w:val="15"/>
              </w:rPr>
              <w:t>0.126</w:t>
            </w:r>
          </w:p>
        </w:tc>
        <w:tc>
          <w:tcPr>
            <w:tcW w:type="dxa" w:w="2493"/>
          </w:tcPr>
          <w:p>
            <w:pPr>
              <w:spacing w:after="0"/>
            </w:pPr>
            <w:r/>
            <w:r>
              <w:rPr>
                <w:sz w:val="15"/>
              </w:rPr>
              <w:t>0.23</w:t>
            </w:r>
          </w:p>
        </w:tc>
      </w:tr>
      <w:tr>
        <w:tc>
          <w:tcPr>
            <w:tcW w:type="dxa" w:w="2493"/>
          </w:tcPr>
          <w:p>
            <w:pPr>
              <w:spacing w:after="0"/>
            </w:pPr>
            <w:r/>
            <w:r>
              <w:rPr>
                <w:sz w:val="15"/>
              </w:rPr>
              <w:t>hyperkalemia</w:t>
            </w:r>
          </w:p>
        </w:tc>
        <w:tc>
          <w:tcPr>
            <w:tcW w:type="dxa" w:w="2493"/>
          </w:tcPr>
          <w:p>
            <w:pPr>
              <w:spacing w:after="0"/>
            </w:pPr>
            <w:r/>
            <w:r>
              <w:rPr>
                <w:sz w:val="15"/>
              </w:rPr>
              <w:t>2244</w:t>
            </w:r>
          </w:p>
        </w:tc>
        <w:tc>
          <w:tcPr>
            <w:tcW w:type="dxa" w:w="2493"/>
          </w:tcPr>
          <w:p>
            <w:pPr>
              <w:spacing w:after="0"/>
            </w:pPr>
            <w:r/>
            <w:r>
              <w:rPr>
                <w:sz w:val="15"/>
              </w:rPr>
              <w:t>0.022</w:t>
            </w:r>
          </w:p>
        </w:tc>
        <w:tc>
          <w:tcPr>
            <w:tcW w:type="dxa" w:w="2493"/>
          </w:tcPr>
          <w:p>
            <w:pPr>
              <w:spacing w:after="0"/>
            </w:pPr>
            <w:r/>
            <w:r>
              <w:rPr>
                <w:sz w:val="15"/>
              </w:rPr>
              <w:t>0.49</w:t>
            </w:r>
          </w:p>
        </w:tc>
      </w:tr>
      <w:tr>
        <w:tc>
          <w:tcPr>
            <w:tcW w:type="dxa" w:w="2493"/>
          </w:tcPr>
          <w:p>
            <w:pPr>
              <w:spacing w:after="0"/>
            </w:pPr>
            <w:r/>
            <w:r>
              <w:rPr>
                <w:sz w:val="15"/>
              </w:rPr>
              <w:t>ALL groups pooled</w:t>
            </w:r>
          </w:p>
        </w:tc>
        <w:tc>
          <w:tcPr>
            <w:tcW w:type="dxa" w:w="2493"/>
          </w:tcPr>
          <w:p>
            <w:pPr>
              <w:spacing w:after="0"/>
            </w:pPr>
            <w:r/>
            <w:r>
              <w:rPr>
                <w:sz w:val="15"/>
              </w:rPr>
              <w:t>52689</w:t>
            </w:r>
          </w:p>
        </w:tc>
        <w:tc>
          <w:tcPr>
            <w:tcW w:type="dxa" w:w="2493"/>
          </w:tcPr>
          <w:p>
            <w:pPr>
              <w:spacing w:after="0"/>
            </w:pPr>
            <w:r/>
            <w:r>
              <w:rPr>
                <w:sz w:val="15"/>
              </w:rPr>
              <w:t>0.046</w:t>
            </w:r>
          </w:p>
        </w:tc>
        <w:tc>
          <w:tcPr>
            <w:tcW w:type="dxa" w:w="2493"/>
          </w:tcPr>
          <w:p>
            <w:pPr>
              <w:spacing w:after="0"/>
            </w:pPr>
            <w:r/>
            <w:r>
              <w:rPr>
                <w:sz w:val="15"/>
              </w:rPr>
              <w:t>0.162</w:t>
            </w:r>
          </w:p>
        </w:tc>
      </w:tr>
      <w:tr>
        <w:tc>
          <w:tcPr>
            <w:tcW w:type="dxa" w:w="2493"/>
          </w:tcPr>
          <w:p>
            <w:pPr>
              <w:spacing w:after="0"/>
            </w:pPr>
            <w:r/>
            <w:r>
              <w:rPr>
                <w:sz w:val="15"/>
              </w:rPr>
              <w:t>renal_impairment</w:t>
            </w:r>
          </w:p>
        </w:tc>
        <w:tc>
          <w:tcPr>
            <w:tcW w:type="dxa" w:w="2493"/>
          </w:tcPr>
          <w:p>
            <w:pPr>
              <w:spacing w:after="0"/>
            </w:pPr>
            <w:r/>
            <w:r>
              <w:rPr>
                <w:sz w:val="15"/>
              </w:rPr>
              <w:t>2266</w:t>
            </w:r>
          </w:p>
        </w:tc>
        <w:tc>
          <w:tcPr>
            <w:tcW w:type="dxa" w:w="2493"/>
          </w:tcPr>
          <w:p>
            <w:pPr>
              <w:spacing w:after="0"/>
            </w:pPr>
            <w:r/>
            <w:r>
              <w:rPr>
                <w:sz w:val="15"/>
              </w:rPr>
              <w:t>0.144</w:t>
            </w:r>
          </w:p>
        </w:tc>
        <w:tc>
          <w:tcPr>
            <w:tcW w:type="dxa" w:w="2493"/>
          </w:tcPr>
          <w:p>
            <w:pPr>
              <w:spacing w:after="0"/>
            </w:pPr>
            <w:r/>
            <w:r>
              <w:rPr>
                <w:sz w:val="15"/>
              </w:rPr>
              <w:t>0.289</w:t>
            </w:r>
          </w:p>
        </w:tc>
      </w:tr>
      <w:tr>
        <w:tc>
          <w:tcPr>
            <w:tcW w:type="dxa" w:w="2493"/>
          </w:tcPr>
          <w:p>
            <w:pPr>
              <w:spacing w:after="0"/>
            </w:pPr>
            <w:r/>
            <w:r>
              <w:rPr>
                <w:sz w:val="15"/>
              </w:rPr>
              <w:t>sepsis</w:t>
            </w:r>
          </w:p>
        </w:tc>
        <w:tc>
          <w:tcPr>
            <w:tcW w:type="dxa" w:w="2493"/>
          </w:tcPr>
          <w:p>
            <w:pPr>
              <w:spacing w:after="0"/>
            </w:pPr>
            <w:r/>
            <w:r>
              <w:rPr>
                <w:sz w:val="15"/>
              </w:rPr>
              <w:t>2215</w:t>
            </w:r>
          </w:p>
        </w:tc>
        <w:tc>
          <w:tcPr>
            <w:tcW w:type="dxa" w:w="2493"/>
          </w:tcPr>
          <w:p>
            <w:pPr>
              <w:spacing w:after="0"/>
            </w:pPr>
            <w:r/>
            <w:r>
              <w:rPr>
                <w:sz w:val="15"/>
              </w:rPr>
              <w:t>0.130</w:t>
            </w:r>
          </w:p>
        </w:tc>
        <w:tc>
          <w:tcPr>
            <w:tcW w:type="dxa" w:w="2493"/>
          </w:tcPr>
          <w:p>
            <w:pPr>
              <w:spacing w:after="0"/>
            </w:pPr>
            <w:r/>
            <w:r>
              <w:rPr>
                <w:sz w:val="15"/>
              </w:rPr>
              <w:t>0.183</w:t>
            </w:r>
          </w:p>
        </w:tc>
      </w:tr>
      <w:tr>
        <w:tc>
          <w:tcPr>
            <w:tcW w:type="dxa" w:w="2493"/>
          </w:tcPr>
          <w:p>
            <w:pPr>
              <w:spacing w:after="0"/>
            </w:pPr>
            <w:r/>
            <w:r>
              <w:rPr>
                <w:sz w:val="15"/>
              </w:rPr>
              <w:t>diabetes</w:t>
            </w:r>
          </w:p>
        </w:tc>
        <w:tc>
          <w:tcPr>
            <w:tcW w:type="dxa" w:w="2493"/>
          </w:tcPr>
          <w:p>
            <w:pPr>
              <w:spacing w:after="0"/>
            </w:pPr>
            <w:r/>
            <w:r>
              <w:rPr>
                <w:sz w:val="15"/>
              </w:rPr>
              <w:t>2247</w:t>
            </w:r>
          </w:p>
        </w:tc>
        <w:tc>
          <w:tcPr>
            <w:tcW w:type="dxa" w:w="2493"/>
          </w:tcPr>
          <w:p>
            <w:pPr>
              <w:spacing w:after="0"/>
            </w:pPr>
            <w:r/>
            <w:r>
              <w:rPr>
                <w:sz w:val="15"/>
              </w:rPr>
              <w:t>0.109</w:t>
            </w:r>
          </w:p>
        </w:tc>
        <w:tc>
          <w:tcPr>
            <w:tcW w:type="dxa" w:w="2493"/>
          </w:tcPr>
          <w:p>
            <w:pPr>
              <w:spacing w:after="0"/>
            </w:pPr>
            <w:r/>
            <w:r>
              <w:rPr>
                <w:sz w:val="15"/>
              </w:rPr>
              <w:t>0.201</w:t>
            </w:r>
          </w:p>
        </w:tc>
      </w:tr>
      <w:tr>
        <w:tc>
          <w:tcPr>
            <w:tcW w:type="dxa" w:w="2493"/>
          </w:tcPr>
          <w:p>
            <w:pPr>
              <w:spacing w:after="0"/>
            </w:pPr>
            <w:r/>
            <w:r>
              <w:rPr>
                <w:sz w:val="15"/>
              </w:rPr>
              <w:t>acute_kidney_injury</w:t>
            </w:r>
          </w:p>
        </w:tc>
        <w:tc>
          <w:tcPr>
            <w:tcW w:type="dxa" w:w="2493"/>
          </w:tcPr>
          <w:p>
            <w:pPr>
              <w:spacing w:after="0"/>
            </w:pPr>
            <w:r/>
            <w:r>
              <w:rPr>
                <w:sz w:val="15"/>
              </w:rPr>
              <w:t>2266</w:t>
            </w:r>
          </w:p>
        </w:tc>
        <w:tc>
          <w:tcPr>
            <w:tcW w:type="dxa" w:w="2493"/>
          </w:tcPr>
          <w:p>
            <w:pPr>
              <w:spacing w:after="0"/>
            </w:pPr>
            <w:r/>
            <w:r>
              <w:rPr>
                <w:sz w:val="15"/>
              </w:rPr>
              <w:t>0.096</w:t>
            </w:r>
          </w:p>
        </w:tc>
        <w:tc>
          <w:tcPr>
            <w:tcW w:type="dxa" w:w="2493"/>
          </w:tcPr>
          <w:p>
            <w:pPr>
              <w:spacing w:after="0"/>
            </w:pPr>
            <w:r/>
            <w:r>
              <w:rPr>
                <w:sz w:val="15"/>
              </w:rPr>
              <w:t>0.282</w:t>
            </w:r>
          </w:p>
        </w:tc>
      </w:tr>
      <w:tr>
        <w:tc>
          <w:tcPr>
            <w:tcW w:type="dxa" w:w="2493"/>
          </w:tcPr>
          <w:p>
            <w:pPr>
              <w:spacing w:after="0"/>
            </w:pPr>
            <w:r/>
            <w:r>
              <w:rPr>
                <w:sz w:val="15"/>
              </w:rPr>
              <w:t>anemia</w:t>
            </w:r>
          </w:p>
        </w:tc>
        <w:tc>
          <w:tcPr>
            <w:tcW w:type="dxa" w:w="2493"/>
          </w:tcPr>
          <w:p>
            <w:pPr>
              <w:spacing w:after="0"/>
            </w:pPr>
            <w:r/>
            <w:r>
              <w:rPr>
                <w:sz w:val="15"/>
              </w:rPr>
              <w:t>2207</w:t>
            </w:r>
          </w:p>
        </w:tc>
        <w:tc>
          <w:tcPr>
            <w:tcW w:type="dxa" w:w="2493"/>
          </w:tcPr>
          <w:p>
            <w:pPr>
              <w:spacing w:after="0"/>
            </w:pPr>
            <w:r/>
            <w:r>
              <w:rPr>
                <w:sz w:val="15"/>
              </w:rPr>
              <w:t>0.067</w:t>
            </w:r>
          </w:p>
        </w:tc>
        <w:tc>
          <w:tcPr>
            <w:tcW w:type="dxa" w:w="2493"/>
          </w:tcPr>
          <w:p>
            <w:pPr>
              <w:spacing w:after="0"/>
            </w:pPr>
            <w:r/>
            <w:r>
              <w:rPr>
                <w:sz w:val="15"/>
              </w:rPr>
              <w:t>0.349</w:t>
            </w:r>
          </w:p>
        </w:tc>
      </w:tr>
      <w:tr>
        <w:tc>
          <w:tcPr>
            <w:tcW w:type="dxa" w:w="2493"/>
          </w:tcPr>
          <w:p>
            <w:pPr>
              <w:spacing w:after="0"/>
            </w:pPr>
            <w:r/>
            <w:r>
              <w:rPr>
                <w:sz w:val="15"/>
              </w:rPr>
              <w:t>1</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2</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3</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4</w:t>
            </w:r>
          </w:p>
        </w:tc>
        <w:tc>
          <w:tcPr>
            <w:tcW w:type="dxa" w:w="2493"/>
          </w:tcPr>
          <w:p>
            <w:pPr>
              <w:spacing w:after="0"/>
            </w:pPr>
            <w:r/>
            <w:r>
              <w:rPr>
                <w:sz w:val="15"/>
              </w:rPr>
              <w:t>0.00</w:t>
            </w:r>
          </w:p>
        </w:tc>
        <w:tc>
          <w:tcPr>
            <w:tcW w:type="dxa" w:w="2493"/>
          </w:tcPr>
          <w:p>
            <w:pPr>
              <w:spacing w:after="0"/>
            </w:pPr>
            <w:r/>
            <w:r>
              <w:rPr>
                <w:sz w:val="15"/>
              </w:rPr>
              <w:t>0.02</w:t>
            </w:r>
          </w:p>
        </w:tc>
        <w:tc>
          <w:tcPr>
            <w:tcW w:type="dxa" w:w="2493"/>
          </w:tcPr>
          <w:p>
            <w:pPr>
              <w:spacing w:after="0"/>
            </w:pPr>
            <w:r/>
            <w:r>
              <w:rPr>
                <w:sz w:val="15"/>
              </w:rPr>
              <w:t>0.01</w:t>
            </w:r>
          </w:p>
        </w:tc>
      </w:tr>
      <w:tr>
        <w:tc>
          <w:tcPr>
            <w:tcW w:type="dxa" w:w="2493"/>
          </w:tcPr>
          <w:p>
            <w:pPr>
              <w:spacing w:after="0"/>
            </w:pPr>
            <w:r/>
            <w:r>
              <w:rPr>
                <w:sz w:val="15"/>
              </w:rPr>
              <w:t>5</w:t>
            </w:r>
          </w:p>
        </w:tc>
        <w:tc>
          <w:tcPr>
            <w:tcW w:type="dxa" w:w="2493"/>
          </w:tcPr>
          <w:p>
            <w:pPr>
              <w:spacing w:after="0"/>
            </w:pPr>
            <w:r/>
            <w:r>
              <w:rPr>
                <w:sz w:val="15"/>
              </w:rPr>
              <w:t>0.00</w:t>
            </w:r>
          </w:p>
        </w:tc>
        <w:tc>
          <w:tcPr>
            <w:tcW w:type="dxa" w:w="2493"/>
          </w:tcPr>
          <w:p>
            <w:pPr>
              <w:spacing w:after="0"/>
            </w:pPr>
            <w:r/>
            <w:r>
              <w:rPr>
                <w:sz w:val="15"/>
              </w:rPr>
              <w:t>0.02</w:t>
            </w:r>
          </w:p>
        </w:tc>
        <w:tc>
          <w:tcPr>
            <w:tcW w:type="dxa" w:w="2493"/>
          </w:tcPr>
          <w:p>
            <w:pPr>
              <w:spacing w:after="0"/>
            </w:pPr>
            <w:r/>
            <w:r>
              <w:rPr>
                <w:sz w:val="15"/>
              </w:rPr>
              <w:t>0.01</w:t>
            </w:r>
          </w:p>
        </w:tc>
      </w:tr>
      <w:tr>
        <w:tc>
          <w:tcPr>
            <w:tcW w:type="dxa" w:w="2493"/>
          </w:tcPr>
          <w:p>
            <w:pPr>
              <w:spacing w:after="0"/>
            </w:pPr>
            <w:r/>
            <w:r>
              <w:rPr>
                <w:sz w:val="15"/>
              </w:rPr>
              <w:t>6</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7</w:t>
            </w:r>
          </w:p>
        </w:tc>
        <w:tc>
          <w:tcPr>
            <w:tcW w:type="dxa" w:w="2493"/>
          </w:tcPr>
          <w:p>
            <w:pPr>
              <w:spacing w:after="0"/>
            </w:pPr>
            <w:r/>
            <w:r>
              <w:rPr>
                <w:sz w:val="15"/>
              </w:rPr>
              <w:t>0.10</w:t>
            </w:r>
          </w:p>
        </w:tc>
        <w:tc>
          <w:tcPr>
            <w:tcW w:type="dxa" w:w="2493"/>
          </w:tcPr>
          <w:p>
            <w:pPr>
              <w:spacing w:after="0"/>
            </w:pPr>
            <w:r/>
            <w:r>
              <w:rPr>
                <w:sz w:val="15"/>
              </w:rPr>
              <w:t>0.03</w:t>
            </w:r>
          </w:p>
        </w:tc>
        <w:tc>
          <w:tcPr>
            <w:tcW w:type="dxa" w:w="2493"/>
          </w:tcPr>
          <w:p>
            <w:pPr>
              <w:spacing w:after="0"/>
            </w:pPr>
            <w:r/>
            <w:r>
              <w:rPr>
                <w:sz w:val="15"/>
              </w:rPr>
              <w:t>0.02</w:t>
            </w:r>
          </w:p>
        </w:tc>
      </w:tr>
      <w:tr>
        <w:tc>
          <w:tcPr>
            <w:tcW w:type="dxa" w:w="2493"/>
          </w:tcPr>
          <w:p>
            <w:pPr>
              <w:spacing w:after="0"/>
            </w:pPr>
            <w:r/>
            <w:r>
              <w:rPr>
                <w:sz w:val="15"/>
              </w:rPr>
              <w:t>8</w:t>
            </w:r>
          </w:p>
        </w:tc>
        <w:tc>
          <w:tcPr>
            <w:tcW w:type="dxa" w:w="2493"/>
          </w:tcPr>
          <w:p>
            <w:pPr>
              <w:spacing w:after="0"/>
            </w:pPr>
            <w:r/>
            <w:r>
              <w:rPr>
                <w:sz w:val="15"/>
              </w:rPr>
              <w:t>0.43</w:t>
            </w:r>
          </w:p>
        </w:tc>
        <w:tc>
          <w:tcPr>
            <w:tcW w:type="dxa" w:w="2493"/>
          </w:tcPr>
          <w:p>
            <w:pPr>
              <w:spacing w:after="0"/>
            </w:pPr>
            <w:r/>
            <w:r>
              <w:rPr>
                <w:sz w:val="15"/>
              </w:rPr>
              <w:t>0.05</w:t>
            </w:r>
          </w:p>
        </w:tc>
        <w:tc>
          <w:tcPr>
            <w:tcW w:type="dxa" w:w="2493"/>
          </w:tcPr>
          <w:p>
            <w:pPr>
              <w:spacing w:after="0"/>
            </w:pPr>
            <w:r/>
            <w:r>
              <w:rPr>
                <w:sz w:val="15"/>
              </w:rPr>
              <w:t>0.05</w:t>
            </w:r>
          </w:p>
        </w:tc>
      </w:tr>
      <w:tr>
        <w:tc>
          <w:tcPr>
            <w:tcW w:type="dxa" w:w="2493"/>
          </w:tcPr>
          <w:p>
            <w:pPr>
              <w:spacing w:after="0"/>
            </w:pPr>
            <w:r/>
            <w:r>
              <w:rPr>
                <w:sz w:val="15"/>
              </w:rPr>
              <w:t>9</w:t>
            </w:r>
          </w:p>
        </w:tc>
        <w:tc>
          <w:tcPr>
            <w:tcW w:type="dxa" w:w="2493"/>
          </w:tcPr>
          <w:p>
            <w:pPr>
              <w:spacing w:after="0"/>
            </w:pPr>
            <w:r/>
            <w:r>
              <w:rPr>
                <w:sz w:val="15"/>
              </w:rPr>
              <w:t>0.60</w:t>
            </w:r>
          </w:p>
        </w:tc>
        <w:tc>
          <w:tcPr>
            <w:tcW w:type="dxa" w:w="2493"/>
          </w:tcPr>
          <w:p>
            <w:pPr>
              <w:spacing w:after="0"/>
            </w:pPr>
            <w:r/>
            <w:r>
              <w:rPr>
                <w:sz w:val="15"/>
              </w:rPr>
              <w:t>0.08</w:t>
            </w:r>
          </w:p>
        </w:tc>
        <w:tc>
          <w:tcPr>
            <w:tcW w:type="dxa" w:w="2493"/>
          </w:tcPr>
          <w:p>
            <w:pPr>
              <w:spacing w:after="0"/>
            </w:pPr>
            <w:r/>
            <w:r>
              <w:rPr>
                <w:sz w:val="15"/>
              </w:rPr>
              <w:t>0.08</w:t>
            </w:r>
          </w:p>
        </w:tc>
      </w:tr>
      <w:tr>
        <w:tc>
          <w:tcPr>
            <w:tcW w:type="dxa" w:w="2493"/>
          </w:tcPr>
          <w:p>
            <w:pPr>
              <w:spacing w:after="0"/>
            </w:pPr>
            <w:r/>
            <w:r>
              <w:rPr>
                <w:sz w:val="15"/>
              </w:rPr>
              <w:t>10</w:t>
            </w:r>
          </w:p>
        </w:tc>
        <w:tc>
          <w:tcPr>
            <w:tcW w:type="dxa" w:w="2493"/>
          </w:tcPr>
          <w:p>
            <w:pPr>
              <w:spacing w:after="0"/>
            </w:pPr>
            <w:r/>
            <w:r>
              <w:rPr>
                <w:sz w:val="15"/>
              </w:rPr>
              <w:t>0.80</w:t>
            </w:r>
          </w:p>
        </w:tc>
        <w:tc>
          <w:tcPr>
            <w:tcW w:type="dxa" w:w="2493"/>
          </w:tcPr>
          <w:p>
            <w:pPr>
              <w:spacing w:after="0"/>
            </w:pPr>
            <w:r/>
            <w:r>
              <w:rPr>
                <w:sz w:val="15"/>
              </w:rPr>
              <w:t>0.22</w:t>
            </w:r>
          </w:p>
        </w:tc>
        <w:tc>
          <w:tcPr>
            <w:tcW w:type="dxa" w:w="2493"/>
          </w:tcPr>
          <w:p>
            <w:pPr>
              <w:spacing w:after="0"/>
            </w:pPr>
            <w:r/>
            <w:r>
              <w:rPr>
                <w:sz w:val="15"/>
              </w:rPr>
              <w:t>0.23</w:t>
            </w:r>
          </w:p>
        </w:tc>
      </w:tr>
      <w:tr>
        <w:tc>
          <w:tcPr>
            <w:tcW w:type="dxa" w:w="2493"/>
          </w:tcPr>
          <w:p>
            <w:pPr>
              <w:spacing w:after="0"/>
            </w:pPr>
            <w:r/>
            <w:r>
              <w:rPr>
                <w:sz w:val="15"/>
              </w:rPr>
              <w:t>0.05</w:t>
            </w:r>
          </w:p>
        </w:tc>
        <w:tc>
          <w:tcPr>
            <w:tcW w:type="dxa" w:w="2493"/>
          </w:tcPr>
          <w:p>
            <w:pPr>
              <w:spacing w:after="0"/>
            </w:pPr>
            <w:r/>
            <w:r>
              <w:rPr>
                <w:sz w:val="15"/>
              </w:rPr>
              <w:t>10.6</w:t>
            </w:r>
          </w:p>
        </w:tc>
        <w:tc>
          <w:tcPr>
            <w:tcW w:type="dxa" w:w="2493"/>
          </w:tcPr>
          <w:p>
            <w:pPr>
              <w:spacing w:after="0"/>
            </w:pPr>
            <w:r/>
            <w:r>
              <w:rPr>
                <w:sz w:val="15"/>
              </w:rPr>
              <w:t>10.4</w:t>
            </w:r>
          </w:p>
        </w:tc>
        <w:tc>
          <w:tcPr>
            <w:tcW w:type="dxa" w:w="2493"/>
          </w:tcPr>
          <w:p>
            <w:pPr>
              <w:spacing w:after="0"/>
            </w:pPr>
            <w:r/>
            <w:r>
              <w:rPr>
                <w:sz w:val="15"/>
              </w:rPr>
              <w:t>9.9</w:t>
            </w:r>
          </w:p>
        </w:tc>
      </w:tr>
      <w:tr>
        <w:tc>
          <w:tcPr>
            <w:tcW w:type="dxa" w:w="2493"/>
          </w:tcPr>
          <w:p>
            <w:pPr>
              <w:spacing w:after="0"/>
            </w:pPr>
            <w:r/>
            <w:r>
              <w:rPr>
                <w:sz w:val="15"/>
              </w:rPr>
              <w:t>0.10</w:t>
            </w:r>
          </w:p>
        </w:tc>
        <w:tc>
          <w:tcPr>
            <w:tcW w:type="dxa" w:w="2493"/>
          </w:tcPr>
          <w:p>
            <w:pPr>
              <w:spacing w:after="0"/>
            </w:pPr>
            <w:r/>
            <w:r>
              <w:rPr>
                <w:sz w:val="15"/>
              </w:rPr>
              <w:t>7.9</w:t>
            </w:r>
          </w:p>
        </w:tc>
        <w:tc>
          <w:tcPr>
            <w:tcW w:type="dxa" w:w="2493"/>
          </w:tcPr>
          <w:p>
            <w:pPr>
              <w:spacing w:after="0"/>
            </w:pPr>
            <w:r/>
            <w:r>
              <w:rPr>
                <w:sz w:val="15"/>
              </w:rPr>
              <w:t>9.1</w:t>
            </w:r>
          </w:p>
        </w:tc>
        <w:tc>
          <w:tcPr>
            <w:tcW w:type="dxa" w:w="2493"/>
          </w:tcPr>
          <w:p>
            <w:pPr>
              <w:spacing w:after="0"/>
            </w:pPr>
            <w:r/>
            <w:r>
              <w:rPr>
                <w:sz w:val="15"/>
              </w:rPr>
              <w:t>4.9</w:t>
            </w:r>
          </w:p>
        </w:tc>
      </w:tr>
      <w:tr>
        <w:tc>
          <w:tcPr>
            <w:tcW w:type="dxa" w:w="2493"/>
          </w:tcPr>
          <w:p>
            <w:pPr>
              <w:spacing w:after="0"/>
            </w:pPr>
            <w:r/>
            <w:r>
              <w:rPr>
                <w:sz w:val="15"/>
              </w:rPr>
              <w:t>0.15</w:t>
            </w:r>
          </w:p>
        </w:tc>
        <w:tc>
          <w:tcPr>
            <w:tcW w:type="dxa" w:w="2493"/>
          </w:tcPr>
          <w:p>
            <w:pPr>
              <w:spacing w:after="0"/>
            </w:pPr>
            <w:r/>
            <w:r>
              <w:rPr>
                <w:sz w:val="15"/>
              </w:rPr>
              <w:t>4.9</w:t>
            </w:r>
          </w:p>
        </w:tc>
        <w:tc>
          <w:tcPr>
            <w:tcW w:type="dxa" w:w="2493"/>
          </w:tcPr>
          <w:p>
            <w:pPr>
              <w:spacing w:after="0"/>
            </w:pPr>
            <w:r/>
            <w:r>
              <w:rPr>
                <w:sz w:val="15"/>
              </w:rPr>
              <w:t>7.5</w:t>
            </w:r>
          </w:p>
        </w:tc>
        <w:tc>
          <w:tcPr>
            <w:tcW w:type="dxa" w:w="2493"/>
          </w:tcPr>
          <w:p>
            <w:pPr>
              <w:spacing w:after="0"/>
            </w:pPr>
            <w:r/>
            <w:r>
              <w:rPr>
                <w:sz w:val="15"/>
              </w:rPr>
              <w:t>-0.7</w:t>
            </w:r>
          </w:p>
        </w:tc>
      </w:tr>
      <w:tr>
        <w:tc>
          <w:tcPr>
            <w:tcW w:type="dxa" w:w="2493"/>
          </w:tcPr>
          <w:p>
            <w:pPr>
              <w:spacing w:after="0"/>
            </w:pPr>
            <w:r/>
            <w:r>
              <w:rPr>
                <w:sz w:val="15"/>
              </w:rPr>
              <w:t>0.20</w:t>
            </w:r>
          </w:p>
        </w:tc>
        <w:tc>
          <w:tcPr>
            <w:tcW w:type="dxa" w:w="2493"/>
          </w:tcPr>
          <w:p>
            <w:pPr>
              <w:spacing w:after="0"/>
            </w:pPr>
            <w:r/>
            <w:r>
              <w:rPr>
                <w:sz w:val="15"/>
              </w:rPr>
              <w:t>1.5</w:t>
            </w:r>
          </w:p>
        </w:tc>
        <w:tc>
          <w:tcPr>
            <w:tcW w:type="dxa" w:w="2493"/>
          </w:tcPr>
          <w:p>
            <w:pPr>
              <w:spacing w:after="0"/>
            </w:pPr>
            <w:r/>
            <w:r>
              <w:rPr>
                <w:sz w:val="15"/>
              </w:rPr>
              <w:t>5.5</w:t>
            </w:r>
          </w:p>
        </w:tc>
        <w:tc>
          <w:tcPr>
            <w:tcW w:type="dxa" w:w="2493"/>
          </w:tcPr>
          <w:p>
            <w:pPr>
              <w:spacing w:after="0"/>
            </w:pPr>
            <w:r/>
            <w:r>
              <w:rPr>
                <w:sz w:val="15"/>
              </w:rPr>
              <w:t>-7.0</w:t>
            </w:r>
          </w:p>
        </w:tc>
      </w:tr>
      <w:tr>
        <w:tc>
          <w:tcPr>
            <w:tcW w:type="dxa" w:w="2493"/>
          </w:tcPr>
          <w:p>
            <w:pPr>
              <w:spacing w:after="0"/>
            </w:pPr>
            <w:r/>
            <w:r>
              <w:rPr>
                <w:sz w:val="15"/>
              </w:rPr>
              <w:t>0.25</w:t>
            </w:r>
          </w:p>
        </w:tc>
        <w:tc>
          <w:tcPr>
            <w:tcW w:type="dxa" w:w="2493"/>
          </w:tcPr>
          <w:p>
            <w:pPr>
              <w:spacing w:after="0"/>
            </w:pPr>
            <w:r/>
            <w:r>
              <w:rPr>
                <w:sz w:val="15"/>
              </w:rPr>
              <w:t>-2.2</w:t>
            </w:r>
          </w:p>
        </w:tc>
        <w:tc>
          <w:tcPr>
            <w:tcW w:type="dxa" w:w="2493"/>
          </w:tcPr>
          <w:p>
            <w:pPr>
              <w:spacing w:after="0"/>
            </w:pPr>
            <w:r/>
            <w:r>
              <w:rPr>
                <w:sz w:val="15"/>
              </w:rPr>
              <w:t>3.4</w:t>
            </w:r>
          </w:p>
        </w:tc>
        <w:tc>
          <w:tcPr>
            <w:tcW w:type="dxa" w:w="2493"/>
          </w:tcPr>
          <w:p>
            <w:pPr>
              <w:spacing w:after="0"/>
            </w:pPr>
            <w:r/>
            <w:r>
              <w:rPr>
                <w:sz w:val="15"/>
              </w:rPr>
              <w:t>-14.2</w:t>
            </w:r>
          </w:p>
        </w:tc>
      </w:tr>
      <w:tr>
        <w:tc>
          <w:tcPr>
            <w:tcW w:type="dxa" w:w="2493"/>
          </w:tcPr>
          <w:p>
            <w:pPr>
              <w:spacing w:after="0"/>
            </w:pPr>
            <w:r/>
            <w:r>
              <w:rPr>
                <w:sz w:val="15"/>
              </w:rPr>
              <w:t>0.30</w:t>
            </w:r>
          </w:p>
        </w:tc>
        <w:tc>
          <w:tcPr>
            <w:tcW w:type="dxa" w:w="2493"/>
          </w:tcPr>
          <w:p>
            <w:pPr>
              <w:spacing w:after="0"/>
            </w:pPr>
            <w:r/>
            <w:r>
              <w:rPr>
                <w:sz w:val="15"/>
              </w:rPr>
              <w:t>-6.6</w:t>
            </w:r>
          </w:p>
        </w:tc>
        <w:tc>
          <w:tcPr>
            <w:tcW w:type="dxa" w:w="2493"/>
          </w:tcPr>
          <w:p>
            <w:pPr>
              <w:spacing w:after="0"/>
            </w:pPr>
            <w:r/>
            <w:r>
              <w:rPr>
                <w:sz w:val="15"/>
              </w:rPr>
              <w:t>0.4</w:t>
            </w:r>
          </w:p>
        </w:tc>
        <w:tc>
          <w:tcPr>
            <w:tcW w:type="dxa" w:w="2493"/>
          </w:tcPr>
          <w:p>
            <w:pPr>
              <w:spacing w:after="0"/>
            </w:pPr>
            <w:r/>
            <w:r>
              <w:rPr>
                <w:sz w:val="15"/>
              </w:rPr>
              <w:t>-22.3</w:t>
            </w:r>
          </w:p>
        </w:tc>
      </w:tr>
      <w:tr>
        <w:tc>
          <w:tcPr>
            <w:tcW w:type="dxa" w:w="2493"/>
          </w:tcPr>
          <w:p>
            <w:pPr>
              <w:spacing w:after="0"/>
            </w:pPr>
            <w:r/>
            <w:r>
              <w:rPr>
                <w:sz w:val="15"/>
              </w:rPr>
              <w:t>0.40</w:t>
            </w:r>
          </w:p>
        </w:tc>
        <w:tc>
          <w:tcPr>
            <w:tcW w:type="dxa" w:w="2493"/>
          </w:tcPr>
          <w:p>
            <w:pPr>
              <w:spacing w:after="0"/>
            </w:pPr>
            <w:r/>
            <w:r>
              <w:rPr>
                <w:sz w:val="15"/>
              </w:rPr>
              <w:t>-17.4</w:t>
            </w:r>
          </w:p>
        </w:tc>
        <w:tc>
          <w:tcPr>
            <w:tcW w:type="dxa" w:w="2493"/>
          </w:tcPr>
          <w:p>
            <w:pPr>
              <w:spacing w:after="0"/>
            </w:pPr>
            <w:r/>
            <w:r>
              <w:rPr>
                <w:sz w:val="15"/>
              </w:rPr>
              <w:t>0.2</w:t>
            </w:r>
          </w:p>
        </w:tc>
        <w:tc>
          <w:tcPr>
            <w:tcW w:type="dxa" w:w="2493"/>
          </w:tcPr>
          <w:p>
            <w:pPr>
              <w:spacing w:after="0"/>
            </w:pPr>
            <w:r/>
            <w:r>
              <w:rPr>
                <w:sz w:val="15"/>
              </w:rPr>
              <w:t>-42.7</w:t>
            </w:r>
          </w:p>
        </w:tc>
      </w:tr>
      <w:tr>
        <w:tc>
          <w:tcPr>
            <w:tcW w:type="dxa" w:w="2493"/>
          </w:tcPr>
          <w:p>
            <w:pPr>
              <w:spacing w:after="0"/>
            </w:pPr>
            <w:r/>
            <w:r>
              <w:rPr>
                <w:sz w:val="15"/>
              </w:rPr>
              <w:t>0.50</w:t>
            </w:r>
          </w:p>
        </w:tc>
        <w:tc>
          <w:tcPr>
            <w:tcW w:type="dxa" w:w="2493"/>
          </w:tcPr>
          <w:p>
            <w:pPr>
              <w:spacing w:after="0"/>
            </w:pPr>
            <w:r/>
            <w:r>
              <w:rPr>
                <w:sz w:val="15"/>
              </w:rPr>
              <w:t>-14.3</w:t>
            </w:r>
          </w:p>
        </w:tc>
        <w:tc>
          <w:tcPr>
            <w:tcW w:type="dxa" w:w="2493"/>
          </w:tcPr>
          <w:p>
            <w:pPr>
              <w:spacing w:after="0"/>
            </w:pPr>
            <w:r/>
            <w:r>
              <w:rPr>
                <w:sz w:val="15"/>
              </w:rPr>
              <w:t>0.3</w:t>
            </w:r>
          </w:p>
        </w:tc>
        <w:tc>
          <w:tcPr>
            <w:tcW w:type="dxa" w:w="2493"/>
          </w:tcPr>
          <w:p>
            <w:pPr>
              <w:spacing w:after="0"/>
            </w:pPr>
            <w:r/>
            <w:r>
              <w:rPr>
                <w:sz w:val="15"/>
              </w:rPr>
              <w:t>-71.2</w:t>
            </w:r>
          </w:p>
        </w:tc>
      </w:tr>
      <w:tr>
        <w:tc>
          <w:tcPr>
            <w:tcW w:type="dxa" w:w="2493"/>
          </w:tcPr>
          <w:p>
            <w:pPr>
              <w:spacing w:after="0"/>
            </w:pPr>
            <w:r/>
            <w:r>
              <w:rPr>
                <w:sz w:val="15"/>
              </w:rPr>
              <w:t>0.60</w:t>
            </w:r>
          </w:p>
        </w:tc>
        <w:tc>
          <w:tcPr>
            <w:tcW w:type="dxa" w:w="2493"/>
          </w:tcPr>
          <w:p>
            <w:pPr>
              <w:spacing w:after="0"/>
            </w:pPr>
            <w:r/>
            <w:r>
              <w:rPr>
                <w:sz w:val="15"/>
              </w:rPr>
              <w:t>-25.8</w:t>
            </w:r>
          </w:p>
        </w:tc>
        <w:tc>
          <w:tcPr>
            <w:tcW w:type="dxa" w:w="2493"/>
          </w:tcPr>
          <w:p>
            <w:pPr>
              <w:spacing w:after="0"/>
            </w:pPr>
            <w:r/>
            <w:r>
              <w:rPr>
                <w:sz w:val="15"/>
              </w:rPr>
              <w:t>0.2</w:t>
            </w:r>
          </w:p>
        </w:tc>
        <w:tc>
          <w:tcPr>
            <w:tcW w:type="dxa" w:w="2493"/>
          </w:tcPr>
          <w:p>
            <w:pPr>
              <w:spacing w:after="0"/>
            </w:pPr>
            <w:r/>
            <w:r>
              <w:rPr>
                <w:sz w:val="15"/>
              </w:rPr>
              <w:t>-114.0</w:t>
            </w:r>
          </w:p>
        </w:tc>
      </w:tr>
      <w:tr>
        <w:tc>
          <w:tcPr>
            <w:tcW w:type="dxa" w:w="2493"/>
          </w:tcPr>
          <w:p>
            <w:pPr>
              <w:spacing w:after="0"/>
            </w:pPr>
            <w:r/>
            <w:r>
              <w:rPr>
                <w:sz w:val="15"/>
              </w:rPr>
              <w:t>0.70</w:t>
            </w:r>
          </w:p>
        </w:tc>
        <w:tc>
          <w:tcPr>
            <w:tcW w:type="dxa" w:w="2493"/>
          </w:tcPr>
          <w:p>
            <w:pPr>
              <w:spacing w:after="0"/>
            </w:pPr>
            <w:r/>
            <w:r>
              <w:rPr>
                <w:sz w:val="15"/>
              </w:rPr>
              <w:t>-43.8</w:t>
            </w:r>
          </w:p>
        </w:tc>
        <w:tc>
          <w:tcPr>
            <w:tcW w:type="dxa" w:w="2493"/>
          </w:tcPr>
          <w:p>
            <w:pPr>
              <w:spacing w:after="0"/>
            </w:pPr>
            <w:r/>
            <w:r>
              <w:rPr>
                <w:sz w:val="15"/>
              </w:rPr>
              <w:t>-0.1</w:t>
            </w:r>
          </w:p>
        </w:tc>
        <w:tc>
          <w:tcPr>
            <w:tcW w:type="dxa" w:w="2493"/>
          </w:tcPr>
          <w:p>
            <w:pPr>
              <w:spacing w:after="0"/>
            </w:pPr>
            <w:r/>
            <w:r>
              <w:rPr>
                <w:sz w:val="15"/>
              </w:rPr>
              <w:t>-185.4</w:t>
            </w:r>
          </w:p>
        </w:tc>
      </w:tr>
      <w:tr>
        <w:tc>
          <w:tcPr>
            <w:tcW w:type="dxa" w:w="2493"/>
          </w:tcPr>
          <w:p>
            <w:pPr>
              <w:spacing w:after="0"/>
            </w:pPr>
            <w:r/>
            <w:r>
              <w:rPr>
                <w:sz w:val="15"/>
              </w:rPr>
              <w:t>0.80</w:t>
            </w:r>
          </w:p>
        </w:tc>
        <w:tc>
          <w:tcPr>
            <w:tcW w:type="dxa" w:w="2493"/>
          </w:tcPr>
          <w:p>
            <w:pPr>
              <w:spacing w:after="0"/>
            </w:pPr>
            <w:r/>
            <w:r>
              <w:rPr>
                <w:sz w:val="15"/>
              </w:rPr>
              <w:t>-41.4</w:t>
            </w:r>
          </w:p>
        </w:tc>
        <w:tc>
          <w:tcPr>
            <w:tcW w:type="dxa" w:w="2493"/>
          </w:tcPr>
          <w:p>
            <w:pPr>
              <w:spacing w:after="0"/>
            </w:pPr>
            <w:r/>
            <w:r>
              <w:rPr>
                <w:sz w:val="15"/>
              </w:rPr>
              <w:t>0.0</w:t>
            </w:r>
          </w:p>
        </w:tc>
        <w:tc>
          <w:tcPr>
            <w:tcW w:type="dxa" w:w="2493"/>
          </w:tcPr>
          <w:p>
            <w:pPr>
              <w:spacing w:after="0"/>
            </w:pPr>
            <w:r/>
            <w:r>
              <w:rPr>
                <w:sz w:val="15"/>
              </w:rPr>
              <w:t>-328.1</w:t>
            </w:r>
          </w:p>
        </w:tc>
      </w:tr>
      <w:tr>
        <w:tc>
          <w:tcPr>
            <w:tcW w:type="dxa" w:w="2493"/>
          </w:tcPr>
          <w:p>
            <w:pPr>
              <w:spacing w:after="0"/>
            </w:pPr>
            <w:r/>
            <w:r>
              <w:rPr>
                <w:sz w:val="15"/>
              </w:rPr>
              <w:t>0.05</w:t>
            </w:r>
          </w:p>
        </w:tc>
        <w:tc>
          <w:tcPr>
            <w:tcW w:type="dxa" w:w="2493"/>
          </w:tcPr>
          <w:p>
            <w:pPr>
              <w:spacing w:after="0"/>
            </w:pPr>
            <w:r/>
            <w:r>
              <w:rPr>
                <w:sz w:val="15"/>
              </w:rPr>
              <w:t>6.5</w:t>
            </w:r>
          </w:p>
        </w:tc>
        <w:tc>
          <w:tcPr>
            <w:tcW w:type="dxa" w:w="2493"/>
          </w:tcPr>
          <w:p>
            <w:pPr>
              <w:spacing w:after="0"/>
            </w:pPr>
            <w:r/>
            <w:r>
              <w:rPr>
                <w:sz w:val="15"/>
              </w:rPr>
              <w:t>8.5</w:t>
            </w:r>
          </w:p>
        </w:tc>
        <w:tc>
          <w:tcPr>
            <w:tcW w:type="dxa" w:w="2493"/>
          </w:tcPr>
          <w:p>
            <w:pPr>
              <w:spacing w:after="0"/>
            </w:pPr>
            <w:r/>
            <w:r>
              <w:rPr>
                <w:sz w:val="15"/>
              </w:rPr>
              <w:t>8.5</w:t>
            </w:r>
          </w:p>
        </w:tc>
      </w:tr>
      <w:tr>
        <w:tc>
          <w:tcPr>
            <w:tcW w:type="dxa" w:w="2493"/>
          </w:tcPr>
          <w:p>
            <w:pPr>
              <w:spacing w:after="0"/>
            </w:pPr>
            <w:r/>
            <w:r>
              <w:rPr>
                <w:sz w:val="15"/>
              </w:rPr>
              <w:t>0.10</w:t>
            </w:r>
          </w:p>
        </w:tc>
        <w:tc>
          <w:tcPr>
            <w:tcW w:type="dxa" w:w="2493"/>
          </w:tcPr>
          <w:p>
            <w:pPr>
              <w:spacing w:after="0"/>
            </w:pPr>
            <w:r/>
            <w:r>
              <w:rPr>
                <w:sz w:val="15"/>
              </w:rPr>
              <w:t>4.9</w:t>
            </w:r>
          </w:p>
        </w:tc>
        <w:tc>
          <w:tcPr>
            <w:tcW w:type="dxa" w:w="2493"/>
          </w:tcPr>
          <w:p>
            <w:pPr>
              <w:spacing w:after="0"/>
            </w:pPr>
            <w:r/>
            <w:r>
              <w:rPr>
                <w:sz w:val="15"/>
              </w:rPr>
              <w:t>4.9</w:t>
            </w:r>
          </w:p>
        </w:tc>
        <w:tc>
          <w:tcPr>
            <w:tcW w:type="dxa" w:w="2493"/>
          </w:tcPr>
          <w:p>
            <w:pPr>
              <w:spacing w:after="0"/>
            </w:pPr>
            <w:r/>
            <w:r>
              <w:rPr>
                <w:sz w:val="15"/>
              </w:rPr>
              <w:t>3.4</w:t>
            </w:r>
          </w:p>
        </w:tc>
      </w:tr>
      <w:tr>
        <w:tc>
          <w:tcPr>
            <w:tcW w:type="dxa" w:w="2493"/>
          </w:tcPr>
          <w:p>
            <w:pPr>
              <w:spacing w:after="0"/>
            </w:pPr>
            <w:r/>
            <w:r>
              <w:rPr>
                <w:sz w:val="15"/>
              </w:rPr>
              <w:t>0.15</w:t>
            </w:r>
          </w:p>
        </w:tc>
        <w:tc>
          <w:tcPr>
            <w:tcW w:type="dxa" w:w="2493"/>
          </w:tcPr>
          <w:p>
            <w:pPr>
              <w:spacing w:after="0"/>
            </w:pPr>
            <w:r/>
            <w:r>
              <w:rPr>
                <w:sz w:val="15"/>
              </w:rPr>
              <w:t>3.3</w:t>
            </w:r>
          </w:p>
        </w:tc>
        <w:tc>
          <w:tcPr>
            <w:tcW w:type="dxa" w:w="2493"/>
          </w:tcPr>
          <w:p>
            <w:pPr>
              <w:spacing w:after="0"/>
            </w:pPr>
            <w:r/>
            <w:r>
              <w:rPr>
                <w:sz w:val="15"/>
              </w:rPr>
              <w:t>4.0</w:t>
            </w:r>
          </w:p>
        </w:tc>
        <w:tc>
          <w:tcPr>
            <w:tcW w:type="dxa" w:w="2493"/>
          </w:tcPr>
          <w:p>
            <w:pPr>
              <w:spacing w:after="0"/>
            </w:pPr>
            <w:r/>
            <w:r>
              <w:rPr>
                <w:sz w:val="15"/>
              </w:rPr>
              <w:t>-2.3</w:t>
            </w:r>
          </w:p>
        </w:tc>
      </w:tr>
      <w:tr>
        <w:tc>
          <w:tcPr>
            <w:tcW w:type="dxa" w:w="2493"/>
          </w:tcPr>
          <w:p>
            <w:pPr>
              <w:spacing w:after="0"/>
            </w:pPr>
            <w:r/>
            <w:r>
              <w:rPr>
                <w:sz w:val="15"/>
              </w:rPr>
              <w:t>0.20</w:t>
            </w:r>
          </w:p>
        </w:tc>
        <w:tc>
          <w:tcPr>
            <w:tcW w:type="dxa" w:w="2493"/>
          </w:tcPr>
          <w:p>
            <w:pPr>
              <w:spacing w:after="0"/>
            </w:pPr>
            <w:r/>
            <w:r>
              <w:rPr>
                <w:sz w:val="15"/>
              </w:rPr>
              <w:t>1.4</w:t>
            </w:r>
          </w:p>
        </w:tc>
        <w:tc>
          <w:tcPr>
            <w:tcW w:type="dxa" w:w="2493"/>
          </w:tcPr>
          <w:p>
            <w:pPr>
              <w:spacing w:after="0"/>
            </w:pPr>
            <w:r/>
            <w:r>
              <w:rPr>
                <w:sz w:val="15"/>
              </w:rPr>
              <w:t>2.9</w:t>
            </w:r>
          </w:p>
        </w:tc>
        <w:tc>
          <w:tcPr>
            <w:tcW w:type="dxa" w:w="2493"/>
          </w:tcPr>
          <w:p>
            <w:pPr>
              <w:spacing w:after="0"/>
            </w:pPr>
            <w:r/>
            <w:r>
              <w:rPr>
                <w:sz w:val="15"/>
              </w:rPr>
              <w:t>-8.7</w:t>
            </w:r>
          </w:p>
        </w:tc>
      </w:tr>
      <w:tr>
        <w:tc>
          <w:tcPr>
            <w:tcW w:type="dxa" w:w="2493"/>
          </w:tcPr>
          <w:p>
            <w:pPr>
              <w:spacing w:after="0"/>
            </w:pPr>
            <w:r/>
            <w:r>
              <w:rPr>
                <w:sz w:val="15"/>
              </w:rPr>
              <w:t>0.25</w:t>
            </w:r>
          </w:p>
        </w:tc>
        <w:tc>
          <w:tcPr>
            <w:tcW w:type="dxa" w:w="2493"/>
          </w:tcPr>
          <w:p>
            <w:pPr>
              <w:spacing w:after="0"/>
            </w:pPr>
            <w:r/>
            <w:r>
              <w:rPr>
                <w:sz w:val="15"/>
              </w:rPr>
              <w:t>-0.7</w:t>
            </w:r>
          </w:p>
        </w:tc>
        <w:tc>
          <w:tcPr>
            <w:tcW w:type="dxa" w:w="2493"/>
          </w:tcPr>
          <w:p>
            <w:pPr>
              <w:spacing w:after="0"/>
            </w:pPr>
            <w:r/>
            <w:r>
              <w:rPr>
                <w:sz w:val="15"/>
              </w:rPr>
              <w:t>1.6</w:t>
            </w:r>
          </w:p>
        </w:tc>
        <w:tc>
          <w:tcPr>
            <w:tcW w:type="dxa" w:w="2493"/>
          </w:tcPr>
          <w:p>
            <w:pPr>
              <w:spacing w:after="0"/>
            </w:pPr>
            <w:r/>
            <w:r>
              <w:rPr>
                <w:sz w:val="15"/>
              </w:rPr>
              <w:t>-15.9</w:t>
            </w:r>
          </w:p>
        </w:tc>
      </w:tr>
      <w:tr>
        <w:tc>
          <w:tcPr>
            <w:tcW w:type="dxa" w:w="2493"/>
          </w:tcPr>
          <w:p>
            <w:pPr>
              <w:spacing w:after="0"/>
            </w:pPr>
            <w:r/>
            <w:r>
              <w:rPr>
                <w:sz w:val="15"/>
              </w:rPr>
              <w:t>0.30</w:t>
            </w:r>
          </w:p>
        </w:tc>
        <w:tc>
          <w:tcPr>
            <w:tcW w:type="dxa" w:w="2493"/>
          </w:tcPr>
          <w:p>
            <w:pPr>
              <w:spacing w:after="0"/>
            </w:pPr>
            <w:r/>
            <w:r>
              <w:rPr>
                <w:sz w:val="15"/>
              </w:rPr>
              <w:t>-2.9</w:t>
            </w:r>
          </w:p>
        </w:tc>
        <w:tc>
          <w:tcPr>
            <w:tcW w:type="dxa" w:w="2493"/>
          </w:tcPr>
          <w:p>
            <w:pPr>
              <w:spacing w:after="0"/>
            </w:pPr>
            <w:r/>
            <w:r>
              <w:rPr>
                <w:sz w:val="15"/>
              </w:rPr>
              <w:t>1.2</w:t>
            </w:r>
          </w:p>
        </w:tc>
        <w:tc>
          <w:tcPr>
            <w:tcW w:type="dxa" w:w="2493"/>
          </w:tcPr>
          <w:p>
            <w:pPr>
              <w:spacing w:after="0"/>
            </w:pPr>
            <w:r/>
            <w:r>
              <w:rPr>
                <w:sz w:val="15"/>
              </w:rPr>
              <w:t>-24.2</w:t>
            </w:r>
          </w:p>
        </w:tc>
      </w:tr>
      <w:tr>
        <w:tc>
          <w:tcPr>
            <w:tcW w:type="dxa" w:w="2493"/>
          </w:tcPr>
          <w:p>
            <w:pPr>
              <w:spacing w:after="0"/>
            </w:pPr>
            <w:r/>
            <w:r>
              <w:rPr>
                <w:sz w:val="15"/>
              </w:rPr>
              <w:t>0.40</w:t>
            </w:r>
          </w:p>
        </w:tc>
        <w:tc>
          <w:tcPr>
            <w:tcW w:type="dxa" w:w="2493"/>
          </w:tcPr>
          <w:p>
            <w:pPr>
              <w:spacing w:after="0"/>
            </w:pPr>
            <w:r/>
            <w:r>
              <w:rPr>
                <w:sz w:val="15"/>
              </w:rPr>
              <w:t>-8.7</w:t>
            </w:r>
          </w:p>
        </w:tc>
        <w:tc>
          <w:tcPr>
            <w:tcW w:type="dxa" w:w="2493"/>
          </w:tcPr>
          <w:p>
            <w:pPr>
              <w:spacing w:after="0"/>
            </w:pPr>
            <w:r/>
            <w:r>
              <w:rPr>
                <w:sz w:val="15"/>
              </w:rPr>
              <w:t>-0.1</w:t>
            </w:r>
          </w:p>
        </w:tc>
        <w:tc>
          <w:tcPr>
            <w:tcW w:type="dxa" w:w="2493"/>
          </w:tcPr>
          <w:p>
            <w:pPr>
              <w:spacing w:after="0"/>
            </w:pPr>
            <w:r/>
            <w:r>
              <w:rPr>
                <w:sz w:val="15"/>
              </w:rPr>
              <w:t>-44.9</w:t>
            </w:r>
          </w:p>
        </w:tc>
      </w:tr>
      <w:tr>
        <w:tc>
          <w:tcPr>
            <w:tcW w:type="dxa" w:w="2493"/>
          </w:tcPr>
          <w:p>
            <w:pPr>
              <w:spacing w:after="0"/>
            </w:pPr>
            <w:r/>
            <w:r>
              <w:rPr>
                <w:sz w:val="15"/>
              </w:rPr>
              <w:t>0.50</w:t>
            </w:r>
          </w:p>
        </w:tc>
        <w:tc>
          <w:tcPr>
            <w:tcW w:type="dxa" w:w="2493"/>
          </w:tcPr>
          <w:p>
            <w:pPr>
              <w:spacing w:after="0"/>
            </w:pPr>
            <w:r/>
            <w:r>
              <w:rPr>
                <w:sz w:val="15"/>
              </w:rPr>
              <w:t>-8.7</w:t>
            </w:r>
          </w:p>
        </w:tc>
        <w:tc>
          <w:tcPr>
            <w:tcW w:type="dxa" w:w="2493"/>
          </w:tcPr>
          <w:p>
            <w:pPr>
              <w:spacing w:after="0"/>
            </w:pPr>
            <w:r/>
            <w:r>
              <w:rPr>
                <w:sz w:val="15"/>
              </w:rPr>
              <w:t>-0.2</w:t>
            </w:r>
          </w:p>
        </w:tc>
        <w:tc>
          <w:tcPr>
            <w:tcW w:type="dxa" w:w="2493"/>
          </w:tcPr>
          <w:p>
            <w:pPr>
              <w:spacing w:after="0"/>
            </w:pPr>
            <w:r/>
            <w:r>
              <w:rPr>
                <w:sz w:val="15"/>
              </w:rPr>
              <w:t>-73.9</w:t>
            </w:r>
          </w:p>
        </w:tc>
      </w:tr>
      <w:tr>
        <w:tc>
          <w:tcPr>
            <w:tcW w:type="dxa" w:w="2493"/>
          </w:tcPr>
          <w:p>
            <w:pPr>
              <w:spacing w:after="0"/>
            </w:pPr>
            <w:r/>
            <w:r>
              <w:rPr>
                <w:sz w:val="15"/>
              </w:rPr>
              <w:t>0.60</w:t>
            </w:r>
          </w:p>
        </w:tc>
        <w:tc>
          <w:tcPr>
            <w:tcW w:type="dxa" w:w="2493"/>
          </w:tcPr>
          <w:p>
            <w:pPr>
              <w:spacing w:after="0"/>
            </w:pPr>
            <w:r/>
            <w:r>
              <w:rPr>
                <w:sz w:val="15"/>
              </w:rPr>
              <w:t>-15.8</w:t>
            </w:r>
          </w:p>
        </w:tc>
        <w:tc>
          <w:tcPr>
            <w:tcW w:type="dxa" w:w="2493"/>
          </w:tcPr>
          <w:p>
            <w:pPr>
              <w:spacing w:after="0"/>
            </w:pPr>
            <w:r/>
            <w:r>
              <w:rPr>
                <w:sz w:val="15"/>
              </w:rPr>
              <w:t>-0.5</w:t>
            </w:r>
          </w:p>
        </w:tc>
        <w:tc>
          <w:tcPr>
            <w:tcW w:type="dxa" w:w="2493"/>
          </w:tcPr>
          <w:p>
            <w:pPr>
              <w:spacing w:after="0"/>
            </w:pPr>
            <w:r/>
            <w:r>
              <w:rPr>
                <w:sz w:val="15"/>
              </w:rPr>
              <w:t>-117.4</w:t>
            </w:r>
          </w:p>
        </w:tc>
      </w:tr>
      <w:tr>
        <w:tc>
          <w:tcPr>
            <w:tcW w:type="dxa" w:w="2493"/>
          </w:tcPr>
          <w:p>
            <w:pPr>
              <w:spacing w:after="0"/>
            </w:pPr>
            <w:r/>
            <w:r>
              <w:rPr>
                <w:sz w:val="15"/>
              </w:rPr>
              <w:t>0.70</w:t>
            </w:r>
          </w:p>
        </w:tc>
        <w:tc>
          <w:tcPr>
            <w:tcW w:type="dxa" w:w="2493"/>
          </w:tcPr>
          <w:p>
            <w:pPr>
              <w:spacing w:after="0"/>
            </w:pPr>
            <w:r/>
            <w:r>
              <w:rPr>
                <w:sz w:val="15"/>
              </w:rPr>
              <w:t>-28.2</w:t>
            </w:r>
          </w:p>
        </w:tc>
        <w:tc>
          <w:tcPr>
            <w:tcW w:type="dxa" w:w="2493"/>
          </w:tcPr>
          <w:p>
            <w:pPr>
              <w:spacing w:after="0"/>
            </w:pPr>
            <w:r/>
            <w:r>
              <w:rPr>
                <w:sz w:val="15"/>
              </w:rPr>
              <w:t>0.0</w:t>
            </w:r>
          </w:p>
        </w:tc>
        <w:tc>
          <w:tcPr>
            <w:tcW w:type="dxa" w:w="2493"/>
          </w:tcPr>
          <w:p>
            <w:pPr>
              <w:spacing w:after="0"/>
            </w:pPr>
            <w:r/>
            <w:r>
              <w:rPr>
                <w:sz w:val="15"/>
              </w:rPr>
              <w:t>-189.8</w:t>
            </w:r>
          </w:p>
        </w:tc>
      </w:tr>
      <w:tr>
        <w:tc>
          <w:tcPr>
            <w:tcW w:type="dxa" w:w="2493"/>
          </w:tcPr>
          <w:p>
            <w:pPr>
              <w:spacing w:after="0"/>
            </w:pPr>
            <w:r/>
            <w:r>
              <w:rPr>
                <w:sz w:val="15"/>
              </w:rPr>
              <w:t>0.80</w:t>
            </w:r>
          </w:p>
        </w:tc>
        <w:tc>
          <w:tcPr>
            <w:tcW w:type="dxa" w:w="2493"/>
          </w:tcPr>
          <w:p>
            <w:pPr>
              <w:spacing w:after="0"/>
            </w:pPr>
            <w:r/>
            <w:r>
              <w:rPr>
                <w:sz w:val="15"/>
              </w:rPr>
              <w:t>-17.7</w:t>
            </w:r>
          </w:p>
        </w:tc>
        <w:tc>
          <w:tcPr>
            <w:tcW w:type="dxa" w:w="2493"/>
          </w:tcPr>
          <w:p>
            <w:pPr>
              <w:spacing w:after="0"/>
            </w:pPr>
            <w:r/>
            <w:r>
              <w:rPr>
                <w:sz w:val="15"/>
              </w:rPr>
              <w:t>0.0</w:t>
            </w:r>
          </w:p>
        </w:tc>
        <w:tc>
          <w:tcPr>
            <w:tcW w:type="dxa" w:w="2493"/>
          </w:tcPr>
          <w:p>
            <w:pPr>
              <w:spacing w:after="0"/>
            </w:pPr>
            <w:r/>
            <w:r>
              <w:rPr>
                <w:sz w:val="15"/>
              </w:rPr>
              <w:t>-334.8</w:t>
            </w:r>
          </w:p>
        </w:tc>
      </w:tr>
      <w:tr>
        <w:tc>
          <w:tcPr>
            <w:tcW w:type="dxa" w:w="2493"/>
          </w:tcPr>
          <w:p>
            <w:pPr>
              <w:spacing w:after="0"/>
            </w:pPr>
            <w:r/>
            <w:r>
              <w:rPr>
                <w:sz w:val="15"/>
              </w:rPr>
              <w:t>0.05</w:t>
            </w:r>
          </w:p>
        </w:tc>
        <w:tc>
          <w:tcPr>
            <w:tcW w:type="dxa" w:w="2493"/>
          </w:tcPr>
          <w:p>
            <w:pPr>
              <w:spacing w:after="0"/>
            </w:pPr>
            <w:r/>
            <w:r>
              <w:rPr>
                <w:sz w:val="15"/>
              </w:rPr>
              <w:t>6.0</w:t>
            </w:r>
          </w:p>
        </w:tc>
        <w:tc>
          <w:tcPr>
            <w:tcW w:type="dxa" w:w="2493"/>
          </w:tcPr>
          <w:p>
            <w:pPr>
              <w:spacing w:after="0"/>
            </w:pPr>
            <w:r/>
            <w:r>
              <w:rPr>
                <w:sz w:val="15"/>
              </w:rPr>
              <w:t>6.0</w:t>
            </w:r>
          </w:p>
        </w:tc>
        <w:tc>
          <w:tcPr>
            <w:tcW w:type="dxa" w:w="2493"/>
          </w:tcPr>
          <w:p>
            <w:pPr>
              <w:spacing w:after="0"/>
            </w:pPr>
            <w:r/>
            <w:r>
              <w:rPr>
                <w:sz w:val="15"/>
              </w:rPr>
              <w:t>6.3</w:t>
            </w:r>
          </w:p>
        </w:tc>
      </w:tr>
      <w:tr>
        <w:tc>
          <w:tcPr>
            <w:tcW w:type="dxa" w:w="2493"/>
          </w:tcPr>
          <w:p>
            <w:pPr>
              <w:spacing w:after="0"/>
            </w:pPr>
            <w:r/>
            <w:r>
              <w:rPr>
                <w:sz w:val="15"/>
              </w:rPr>
              <w:t>0.10</w:t>
            </w:r>
          </w:p>
        </w:tc>
        <w:tc>
          <w:tcPr>
            <w:tcW w:type="dxa" w:w="2493"/>
          </w:tcPr>
          <w:p>
            <w:pPr>
              <w:spacing w:after="0"/>
            </w:pPr>
            <w:r/>
            <w:r>
              <w:rPr>
                <w:sz w:val="15"/>
              </w:rPr>
              <w:t>2.9</w:t>
            </w:r>
          </w:p>
        </w:tc>
        <w:tc>
          <w:tcPr>
            <w:tcW w:type="dxa" w:w="2493"/>
          </w:tcPr>
          <w:p>
            <w:pPr>
              <w:spacing w:after="0"/>
            </w:pPr>
            <w:r/>
            <w:r>
              <w:rPr>
                <w:sz w:val="15"/>
              </w:rPr>
              <w:t>3.6</w:t>
            </w:r>
          </w:p>
        </w:tc>
        <w:tc>
          <w:tcPr>
            <w:tcW w:type="dxa" w:w="2493"/>
          </w:tcPr>
          <w:p>
            <w:pPr>
              <w:spacing w:after="0"/>
            </w:pPr>
            <w:r/>
            <w:r>
              <w:rPr>
                <w:sz w:val="15"/>
              </w:rPr>
              <w:t>1.1</w:t>
            </w:r>
          </w:p>
        </w:tc>
      </w:tr>
      <w:tr>
        <w:tc>
          <w:tcPr>
            <w:tcW w:type="dxa" w:w="2493"/>
          </w:tcPr>
          <w:p>
            <w:pPr>
              <w:spacing w:after="0"/>
            </w:pPr>
            <w:r/>
            <w:r>
              <w:rPr>
                <w:sz w:val="15"/>
              </w:rPr>
              <w:t>0.15</w:t>
            </w:r>
          </w:p>
        </w:tc>
        <w:tc>
          <w:tcPr>
            <w:tcW w:type="dxa" w:w="2493"/>
          </w:tcPr>
          <w:p>
            <w:pPr>
              <w:spacing w:after="0"/>
            </w:pPr>
            <w:r/>
            <w:r>
              <w:rPr>
                <w:sz w:val="15"/>
              </w:rPr>
              <w:t>-0.6</w:t>
            </w:r>
          </w:p>
        </w:tc>
        <w:tc>
          <w:tcPr>
            <w:tcW w:type="dxa" w:w="2493"/>
          </w:tcPr>
          <w:p>
            <w:pPr>
              <w:spacing w:after="0"/>
            </w:pPr>
            <w:r/>
            <w:r>
              <w:rPr>
                <w:sz w:val="15"/>
              </w:rPr>
              <w:t>2.7</w:t>
            </w:r>
          </w:p>
        </w:tc>
        <w:tc>
          <w:tcPr>
            <w:tcW w:type="dxa" w:w="2493"/>
          </w:tcPr>
          <w:p>
            <w:pPr>
              <w:spacing w:after="0"/>
            </w:pPr>
            <w:r/>
            <w:r>
              <w:rPr>
                <w:sz w:val="15"/>
              </w:rPr>
              <w:t>-4.8</w:t>
            </w:r>
          </w:p>
        </w:tc>
      </w:tr>
      <w:tr>
        <w:tc>
          <w:tcPr>
            <w:tcW w:type="dxa" w:w="2493"/>
          </w:tcPr>
          <w:p>
            <w:pPr>
              <w:spacing w:after="0"/>
            </w:pPr>
            <w:r/>
            <w:r>
              <w:rPr>
                <w:sz w:val="15"/>
              </w:rPr>
              <w:t>0.20</w:t>
            </w:r>
          </w:p>
        </w:tc>
        <w:tc>
          <w:tcPr>
            <w:tcW w:type="dxa" w:w="2493"/>
          </w:tcPr>
          <w:p>
            <w:pPr>
              <w:spacing w:after="0"/>
            </w:pPr>
            <w:r/>
            <w:r>
              <w:rPr>
                <w:sz w:val="15"/>
              </w:rPr>
              <w:t>-4.5</w:t>
            </w:r>
          </w:p>
        </w:tc>
        <w:tc>
          <w:tcPr>
            <w:tcW w:type="dxa" w:w="2493"/>
          </w:tcPr>
          <w:p>
            <w:pPr>
              <w:spacing w:after="0"/>
            </w:pPr>
            <w:r/>
            <w:r>
              <w:rPr>
                <w:sz w:val="15"/>
              </w:rPr>
              <w:t>1.6</w:t>
            </w:r>
          </w:p>
        </w:tc>
        <w:tc>
          <w:tcPr>
            <w:tcW w:type="dxa" w:w="2493"/>
          </w:tcPr>
          <w:p>
            <w:pPr>
              <w:spacing w:after="0"/>
            </w:pPr>
            <w:r/>
            <w:r>
              <w:rPr>
                <w:sz w:val="15"/>
              </w:rPr>
              <w:t>-11.3</w:t>
            </w:r>
          </w:p>
        </w:tc>
      </w:tr>
      <w:tr>
        <w:tc>
          <w:tcPr>
            <w:tcW w:type="dxa" w:w="2493"/>
          </w:tcPr>
          <w:p>
            <w:pPr>
              <w:spacing w:after="0"/>
            </w:pPr>
            <w:r/>
            <w:r>
              <w:rPr>
                <w:sz w:val="15"/>
              </w:rPr>
              <w:t>0.25</w:t>
            </w:r>
          </w:p>
        </w:tc>
        <w:tc>
          <w:tcPr>
            <w:tcW w:type="dxa" w:w="2493"/>
          </w:tcPr>
          <w:p>
            <w:pPr>
              <w:spacing w:after="0"/>
            </w:pPr>
            <w:r/>
            <w:r>
              <w:rPr>
                <w:sz w:val="15"/>
              </w:rPr>
              <w:t>-8.4</w:t>
            </w:r>
          </w:p>
        </w:tc>
        <w:tc>
          <w:tcPr>
            <w:tcW w:type="dxa" w:w="2493"/>
          </w:tcPr>
          <w:p>
            <w:pPr>
              <w:spacing w:after="0"/>
            </w:pPr>
            <w:r/>
            <w:r>
              <w:rPr>
                <w:sz w:val="15"/>
              </w:rPr>
              <w:t>0.6</w:t>
            </w:r>
          </w:p>
        </w:tc>
        <w:tc>
          <w:tcPr>
            <w:tcW w:type="dxa" w:w="2493"/>
          </w:tcPr>
          <w:p>
            <w:pPr>
              <w:spacing w:after="0"/>
            </w:pPr>
            <w:r/>
            <w:r>
              <w:rPr>
                <w:sz w:val="15"/>
              </w:rPr>
              <w:t>-18.7</w:t>
            </w:r>
          </w:p>
        </w:tc>
      </w:tr>
      <w:tr>
        <w:tc>
          <w:tcPr>
            <w:tcW w:type="dxa" w:w="2493"/>
          </w:tcPr>
          <w:p>
            <w:pPr>
              <w:spacing w:after="0"/>
            </w:pPr>
            <w:r/>
            <w:r>
              <w:rPr>
                <w:sz w:val="15"/>
              </w:rPr>
              <w:t>0.30</w:t>
            </w:r>
          </w:p>
        </w:tc>
        <w:tc>
          <w:tcPr>
            <w:tcW w:type="dxa" w:w="2493"/>
          </w:tcPr>
          <w:p>
            <w:pPr>
              <w:spacing w:after="0"/>
            </w:pPr>
            <w:r/>
            <w:r>
              <w:rPr>
                <w:sz w:val="15"/>
              </w:rPr>
              <w:t>-10.7</w:t>
            </w:r>
          </w:p>
        </w:tc>
        <w:tc>
          <w:tcPr>
            <w:tcW w:type="dxa" w:w="2493"/>
          </w:tcPr>
          <w:p>
            <w:pPr>
              <w:spacing w:after="0"/>
            </w:pPr>
            <w:r/>
            <w:r>
              <w:rPr>
                <w:sz w:val="15"/>
              </w:rPr>
              <w:t>-0.2</w:t>
            </w:r>
          </w:p>
        </w:tc>
        <w:tc>
          <w:tcPr>
            <w:tcW w:type="dxa" w:w="2493"/>
          </w:tcPr>
          <w:p>
            <w:pPr>
              <w:spacing w:after="0"/>
            </w:pPr>
            <w:r/>
            <w:r>
              <w:rPr>
                <w:sz w:val="15"/>
              </w:rPr>
              <w:t>-27.2</w:t>
            </w:r>
          </w:p>
        </w:tc>
      </w:tr>
      <w:tr>
        <w:tc>
          <w:tcPr>
            <w:tcW w:type="dxa" w:w="2493"/>
          </w:tcPr>
          <w:p>
            <w:pPr>
              <w:spacing w:after="0"/>
            </w:pPr>
            <w:r/>
            <w:r>
              <w:rPr>
                <w:sz w:val="15"/>
              </w:rPr>
              <w:t>0.40</w:t>
            </w:r>
          </w:p>
        </w:tc>
        <w:tc>
          <w:tcPr>
            <w:tcW w:type="dxa" w:w="2493"/>
          </w:tcPr>
          <w:p>
            <w:pPr>
              <w:spacing w:after="0"/>
            </w:pPr>
            <w:r/>
            <w:r>
              <w:rPr>
                <w:sz w:val="15"/>
              </w:rPr>
              <w:t>-12.2</w:t>
            </w:r>
          </w:p>
        </w:tc>
        <w:tc>
          <w:tcPr>
            <w:tcW w:type="dxa" w:w="2493"/>
          </w:tcPr>
          <w:p>
            <w:pPr>
              <w:spacing w:after="0"/>
            </w:pPr>
            <w:r/>
            <w:r>
              <w:rPr>
                <w:sz w:val="15"/>
              </w:rPr>
              <w:t>0.0</w:t>
            </w:r>
          </w:p>
        </w:tc>
        <w:tc>
          <w:tcPr>
            <w:tcW w:type="dxa" w:w="2493"/>
          </w:tcPr>
          <w:p>
            <w:pPr>
              <w:spacing w:after="0"/>
            </w:pPr>
            <w:r/>
            <w:r>
              <w:rPr>
                <w:sz w:val="15"/>
              </w:rPr>
              <w:t>-48.4</w:t>
            </w:r>
          </w:p>
        </w:tc>
      </w:tr>
      <w:tr>
        <w:tc>
          <w:tcPr>
            <w:tcW w:type="dxa" w:w="2493"/>
          </w:tcPr>
          <w:p>
            <w:pPr>
              <w:spacing w:after="0"/>
            </w:pPr>
            <w:r/>
            <w:r>
              <w:rPr>
                <w:sz w:val="15"/>
              </w:rPr>
              <w:t>0.50</w:t>
            </w:r>
          </w:p>
        </w:tc>
        <w:tc>
          <w:tcPr>
            <w:tcW w:type="dxa" w:w="2493"/>
          </w:tcPr>
          <w:p>
            <w:pPr>
              <w:spacing w:after="0"/>
            </w:pPr>
            <w:r/>
            <w:r>
              <w:rPr>
                <w:sz w:val="15"/>
              </w:rPr>
              <w:t>-5.7</w:t>
            </w:r>
          </w:p>
        </w:tc>
        <w:tc>
          <w:tcPr>
            <w:tcW w:type="dxa" w:w="2493"/>
          </w:tcPr>
          <w:p>
            <w:pPr>
              <w:spacing w:after="0"/>
            </w:pPr>
            <w:r/>
            <w:r>
              <w:rPr>
                <w:sz w:val="15"/>
              </w:rPr>
              <w:t>0.0</w:t>
            </w:r>
          </w:p>
        </w:tc>
        <w:tc>
          <w:tcPr>
            <w:tcW w:type="dxa" w:w="2493"/>
          </w:tcPr>
          <w:p>
            <w:pPr>
              <w:spacing w:after="0"/>
            </w:pPr>
            <w:r/>
            <w:r>
              <w:rPr>
                <w:sz w:val="15"/>
              </w:rPr>
              <w:t>-78.1</w:t>
            </w:r>
          </w:p>
        </w:tc>
      </w:tr>
      <w:tr>
        <w:tc>
          <w:tcPr>
            <w:tcW w:type="dxa" w:w="2493"/>
          </w:tcPr>
          <w:p>
            <w:pPr>
              <w:spacing w:after="0"/>
            </w:pPr>
            <w:r/>
            <w:r>
              <w:rPr>
                <w:sz w:val="15"/>
              </w:rPr>
              <w:t>0.60</w:t>
            </w:r>
          </w:p>
        </w:tc>
        <w:tc>
          <w:tcPr>
            <w:tcW w:type="dxa" w:w="2493"/>
          </w:tcPr>
          <w:p>
            <w:pPr>
              <w:spacing w:after="0"/>
            </w:pPr>
            <w:r/>
            <w:r>
              <w:rPr>
                <w:sz w:val="15"/>
              </w:rPr>
              <w:t>-8.5</w:t>
            </w:r>
          </w:p>
        </w:tc>
        <w:tc>
          <w:tcPr>
            <w:tcW w:type="dxa" w:w="2493"/>
          </w:tcPr>
          <w:p>
            <w:pPr>
              <w:spacing w:after="0"/>
            </w:pPr>
            <w:r/>
            <w:r>
              <w:rPr>
                <w:sz w:val="15"/>
              </w:rPr>
              <w:t>-0.1</w:t>
            </w:r>
          </w:p>
        </w:tc>
        <w:tc>
          <w:tcPr>
            <w:tcW w:type="dxa" w:w="2493"/>
          </w:tcPr>
          <w:p>
            <w:pPr>
              <w:spacing w:after="0"/>
            </w:pPr>
            <w:r/>
            <w:r>
              <w:rPr>
                <w:sz w:val="15"/>
              </w:rPr>
              <w:t>-122.6</w:t>
            </w:r>
          </w:p>
        </w:tc>
      </w:tr>
      <w:tr>
        <w:tc>
          <w:tcPr>
            <w:tcW w:type="dxa" w:w="2493"/>
          </w:tcPr>
          <w:p>
            <w:pPr>
              <w:spacing w:after="0"/>
            </w:pPr>
            <w:r/>
            <w:r>
              <w:rPr>
                <w:sz w:val="15"/>
              </w:rPr>
              <w:t>0.70</w:t>
            </w:r>
          </w:p>
        </w:tc>
        <w:tc>
          <w:tcPr>
            <w:tcW w:type="dxa" w:w="2493"/>
          </w:tcPr>
          <w:p>
            <w:pPr>
              <w:spacing w:after="0"/>
            </w:pPr>
            <w:r/>
            <w:r>
              <w:rPr>
                <w:sz w:val="15"/>
              </w:rPr>
              <w:t>-3.7</w:t>
            </w:r>
          </w:p>
        </w:tc>
        <w:tc>
          <w:tcPr>
            <w:tcW w:type="dxa" w:w="2493"/>
          </w:tcPr>
          <w:p>
            <w:pPr>
              <w:spacing w:after="0"/>
            </w:pPr>
            <w:r/>
            <w:r>
              <w:rPr>
                <w:sz w:val="15"/>
              </w:rPr>
              <w:t>-0.1</w:t>
            </w:r>
          </w:p>
        </w:tc>
        <w:tc>
          <w:tcPr>
            <w:tcW w:type="dxa" w:w="2493"/>
          </w:tcPr>
          <w:p>
            <w:pPr>
              <w:spacing w:after="0"/>
            </w:pPr>
            <w:r/>
            <w:r>
              <w:rPr>
                <w:sz w:val="15"/>
              </w:rPr>
              <w:t>-196.8</w:t>
            </w:r>
          </w:p>
        </w:tc>
      </w:tr>
      <w:tr>
        <w:tc>
          <w:tcPr>
            <w:tcW w:type="dxa" w:w="2493"/>
          </w:tcPr>
          <w:p>
            <w:pPr>
              <w:spacing w:after="0"/>
            </w:pPr>
            <w:r/>
            <w:r>
              <w:rPr>
                <w:sz w:val="15"/>
              </w:rPr>
              <w:t>0.80</w:t>
            </w:r>
          </w:p>
        </w:tc>
        <w:tc>
          <w:tcPr>
            <w:tcW w:type="dxa" w:w="2493"/>
          </w:tcPr>
          <w:p>
            <w:pPr>
              <w:spacing w:after="0"/>
            </w:pPr>
            <w:r/>
            <w:r>
              <w:rPr>
                <w:sz w:val="15"/>
              </w:rPr>
              <w:t>-0.1</w:t>
            </w:r>
          </w:p>
        </w:tc>
        <w:tc>
          <w:tcPr>
            <w:tcW w:type="dxa" w:w="2493"/>
          </w:tcPr>
          <w:p>
            <w:pPr>
              <w:spacing w:after="0"/>
            </w:pPr>
            <w:r/>
            <w:r>
              <w:rPr>
                <w:sz w:val="15"/>
              </w:rPr>
              <w:t>-0.2</w:t>
            </w:r>
          </w:p>
        </w:tc>
        <w:tc>
          <w:tcPr>
            <w:tcW w:type="dxa" w:w="2493"/>
          </w:tcPr>
          <w:p>
            <w:pPr>
              <w:spacing w:after="0"/>
            </w:pPr>
            <w:r/>
            <w:r>
              <w:rPr>
                <w:sz w:val="15"/>
              </w:rPr>
              <w:t>-345.3</w:t>
            </w:r>
          </w:p>
        </w:tc>
      </w:tr>
      <w:tr>
        <w:tc>
          <w:tcPr>
            <w:tcW w:type="dxa" w:w="2493"/>
          </w:tcPr>
          <w:p>
            <w:pPr>
              <w:spacing w:after="0"/>
            </w:pPr>
            <w:r/>
            <w:r>
              <w:rPr>
                <w:sz w:val="15"/>
              </w:rPr>
              <w:t>0.05</w:t>
            </w:r>
          </w:p>
        </w:tc>
        <w:tc>
          <w:tcPr>
            <w:tcW w:type="dxa" w:w="2493"/>
          </w:tcPr>
          <w:p>
            <w:pPr>
              <w:spacing w:after="0"/>
            </w:pPr>
            <w:r/>
            <w:r>
              <w:rPr>
                <w:sz w:val="15"/>
              </w:rPr>
              <w:t>6.2</w:t>
            </w:r>
          </w:p>
        </w:tc>
        <w:tc>
          <w:tcPr>
            <w:tcW w:type="dxa" w:w="2493"/>
          </w:tcPr>
          <w:p>
            <w:pPr>
              <w:spacing w:after="0"/>
            </w:pPr>
            <w:r/>
            <w:r>
              <w:rPr>
                <w:sz w:val="15"/>
              </w:rPr>
              <w:t>6.5</w:t>
            </w:r>
          </w:p>
        </w:tc>
        <w:tc>
          <w:tcPr>
            <w:tcW w:type="dxa" w:w="2493"/>
          </w:tcPr>
          <w:p>
            <w:pPr>
              <w:spacing w:after="0"/>
            </w:pPr>
            <w:r/>
            <w:r>
              <w:rPr>
                <w:sz w:val="15"/>
              </w:rPr>
              <w:t>4.9</w:t>
            </w:r>
          </w:p>
        </w:tc>
      </w:tr>
      <w:tr>
        <w:tc>
          <w:tcPr>
            <w:tcW w:type="dxa" w:w="2493"/>
          </w:tcPr>
          <w:p>
            <w:pPr>
              <w:spacing w:after="0"/>
            </w:pPr>
            <w:r/>
            <w:r>
              <w:rPr>
                <w:sz w:val="15"/>
              </w:rPr>
              <w:t>0.10</w:t>
            </w:r>
          </w:p>
        </w:tc>
        <w:tc>
          <w:tcPr>
            <w:tcW w:type="dxa" w:w="2493"/>
          </w:tcPr>
          <w:p>
            <w:pPr>
              <w:spacing w:after="0"/>
            </w:pPr>
            <w:r/>
            <w:r>
              <w:rPr>
                <w:sz w:val="15"/>
              </w:rPr>
              <w:t>3.4</w:t>
            </w:r>
          </w:p>
        </w:tc>
        <w:tc>
          <w:tcPr>
            <w:tcW w:type="dxa" w:w="2493"/>
          </w:tcPr>
          <w:p>
            <w:pPr>
              <w:spacing w:after="0"/>
            </w:pPr>
            <w:r/>
            <w:r>
              <w:rPr>
                <w:sz w:val="15"/>
              </w:rPr>
              <w:t>5.0</w:t>
            </w:r>
          </w:p>
        </w:tc>
        <w:tc>
          <w:tcPr>
            <w:tcW w:type="dxa" w:w="2493"/>
          </w:tcPr>
          <w:p>
            <w:pPr>
              <w:spacing w:after="0"/>
            </w:pPr>
            <w:r/>
            <w:r>
              <w:rPr>
                <w:sz w:val="15"/>
              </w:rPr>
              <w:t>-0.4</w:t>
            </w:r>
          </w:p>
        </w:tc>
      </w:tr>
      <w:tr>
        <w:tc>
          <w:tcPr>
            <w:tcW w:type="dxa" w:w="2493"/>
          </w:tcPr>
          <w:p>
            <w:pPr>
              <w:spacing w:after="0"/>
            </w:pPr>
            <w:r/>
            <w:r>
              <w:rPr>
                <w:sz w:val="15"/>
              </w:rPr>
              <w:t>0.15</w:t>
            </w:r>
          </w:p>
        </w:tc>
        <w:tc>
          <w:tcPr>
            <w:tcW w:type="dxa" w:w="2493"/>
          </w:tcPr>
          <w:p>
            <w:pPr>
              <w:spacing w:after="0"/>
            </w:pPr>
            <w:r/>
            <w:r>
              <w:rPr>
                <w:sz w:val="15"/>
              </w:rPr>
              <w:t>0.2</w:t>
            </w:r>
          </w:p>
        </w:tc>
        <w:tc>
          <w:tcPr>
            <w:tcW w:type="dxa" w:w="2493"/>
          </w:tcPr>
          <w:p>
            <w:pPr>
              <w:spacing w:after="0"/>
            </w:pPr>
            <w:r/>
            <w:r>
              <w:rPr>
                <w:sz w:val="15"/>
              </w:rPr>
              <w:t>3.4</w:t>
            </w:r>
          </w:p>
        </w:tc>
        <w:tc>
          <w:tcPr>
            <w:tcW w:type="dxa" w:w="2493"/>
          </w:tcPr>
          <w:p>
            <w:pPr>
              <w:spacing w:after="0"/>
            </w:pPr>
            <w:r/>
            <w:r>
              <w:rPr>
                <w:sz w:val="15"/>
              </w:rPr>
              <w:t>-6.3</w:t>
            </w:r>
          </w:p>
        </w:tc>
      </w:tr>
      <w:tr>
        <w:tc>
          <w:tcPr>
            <w:tcW w:type="dxa" w:w="2493"/>
          </w:tcPr>
          <w:p>
            <w:pPr>
              <w:spacing w:after="0"/>
            </w:pPr>
            <w:r/>
            <w:r>
              <w:rPr>
                <w:sz w:val="15"/>
              </w:rPr>
              <w:t>0.20</w:t>
            </w:r>
          </w:p>
        </w:tc>
        <w:tc>
          <w:tcPr>
            <w:tcW w:type="dxa" w:w="2493"/>
          </w:tcPr>
          <w:p>
            <w:pPr>
              <w:spacing w:after="0"/>
            </w:pPr>
            <w:r/>
            <w:r>
              <w:rPr>
                <w:sz w:val="15"/>
              </w:rPr>
              <w:t>-3.3</w:t>
            </w:r>
          </w:p>
        </w:tc>
        <w:tc>
          <w:tcPr>
            <w:tcW w:type="dxa" w:w="2493"/>
          </w:tcPr>
          <w:p>
            <w:pPr>
              <w:spacing w:after="0"/>
            </w:pPr>
            <w:r/>
            <w:r>
              <w:rPr>
                <w:sz w:val="15"/>
              </w:rPr>
              <w:t>1.6</w:t>
            </w:r>
          </w:p>
        </w:tc>
        <w:tc>
          <w:tcPr>
            <w:tcW w:type="dxa" w:w="2493"/>
          </w:tcPr>
          <w:p>
            <w:pPr>
              <w:spacing w:after="0"/>
            </w:pPr>
            <w:r/>
            <w:r>
              <w:rPr>
                <w:sz w:val="15"/>
              </w:rPr>
              <w:t>-13.0</w:t>
            </w:r>
          </w:p>
        </w:tc>
      </w:tr>
      <w:tr>
        <w:tc>
          <w:tcPr>
            <w:tcW w:type="dxa" w:w="2493"/>
          </w:tcPr>
          <w:p>
            <w:pPr>
              <w:spacing w:after="0"/>
            </w:pPr>
            <w:r/>
            <w:r>
              <w:rPr>
                <w:sz w:val="15"/>
              </w:rPr>
              <w:t>0.25</w:t>
            </w:r>
          </w:p>
        </w:tc>
        <w:tc>
          <w:tcPr>
            <w:tcW w:type="dxa" w:w="2493"/>
          </w:tcPr>
          <w:p>
            <w:pPr>
              <w:spacing w:after="0"/>
            </w:pPr>
            <w:r/>
            <w:r>
              <w:rPr>
                <w:sz w:val="15"/>
              </w:rPr>
              <w:t>-7.2</w:t>
            </w:r>
          </w:p>
        </w:tc>
        <w:tc>
          <w:tcPr>
            <w:tcW w:type="dxa" w:w="2493"/>
          </w:tcPr>
          <w:p>
            <w:pPr>
              <w:spacing w:after="0"/>
            </w:pPr>
            <w:r/>
            <w:r>
              <w:rPr>
                <w:sz w:val="15"/>
              </w:rPr>
              <w:t>0.3</w:t>
            </w:r>
          </w:p>
        </w:tc>
        <w:tc>
          <w:tcPr>
            <w:tcW w:type="dxa" w:w="2493"/>
          </w:tcPr>
          <w:p>
            <w:pPr>
              <w:spacing w:after="0"/>
            </w:pPr>
            <w:r/>
            <w:r>
              <w:rPr>
                <w:sz w:val="15"/>
              </w:rPr>
              <w:t>-20.5</w:t>
            </w:r>
          </w:p>
        </w:tc>
      </w:tr>
      <w:tr>
        <w:tc>
          <w:tcPr>
            <w:tcW w:type="dxa" w:w="2493"/>
          </w:tcPr>
          <w:p>
            <w:pPr>
              <w:spacing w:after="0"/>
            </w:pPr>
            <w:r/>
            <w:r>
              <w:rPr>
                <w:sz w:val="15"/>
              </w:rPr>
              <w:t>0.30</w:t>
            </w:r>
          </w:p>
        </w:tc>
        <w:tc>
          <w:tcPr>
            <w:tcW w:type="dxa" w:w="2493"/>
          </w:tcPr>
          <w:p>
            <w:pPr>
              <w:spacing w:after="0"/>
            </w:pPr>
            <w:r/>
            <w:r>
              <w:rPr>
                <w:sz w:val="15"/>
              </w:rPr>
              <w:t>-11.7</w:t>
            </w:r>
          </w:p>
        </w:tc>
        <w:tc>
          <w:tcPr>
            <w:tcW w:type="dxa" w:w="2493"/>
          </w:tcPr>
          <w:p>
            <w:pPr>
              <w:spacing w:after="0"/>
            </w:pPr>
            <w:r/>
            <w:r>
              <w:rPr>
                <w:sz w:val="15"/>
              </w:rPr>
              <w:t>-0.3</w:t>
            </w:r>
          </w:p>
        </w:tc>
        <w:tc>
          <w:tcPr>
            <w:tcW w:type="dxa" w:w="2493"/>
          </w:tcPr>
          <w:p>
            <w:pPr>
              <w:spacing w:after="0"/>
            </w:pPr>
            <w:r/>
            <w:r>
              <w:rPr>
                <w:sz w:val="15"/>
              </w:rPr>
              <w:t>-29.1</w:t>
            </w:r>
          </w:p>
        </w:tc>
      </w:tr>
      <w:tr>
        <w:tc>
          <w:tcPr>
            <w:tcW w:type="dxa" w:w="2493"/>
          </w:tcPr>
          <w:p>
            <w:pPr>
              <w:spacing w:after="0"/>
            </w:pPr>
            <w:r/>
            <w:r>
              <w:rPr>
                <w:sz w:val="15"/>
              </w:rPr>
              <w:t>0.40</w:t>
            </w:r>
          </w:p>
        </w:tc>
        <w:tc>
          <w:tcPr>
            <w:tcW w:type="dxa" w:w="2493"/>
          </w:tcPr>
          <w:p>
            <w:pPr>
              <w:spacing w:after="0"/>
            </w:pPr>
            <w:r/>
            <w:r>
              <w:rPr>
                <w:sz w:val="15"/>
              </w:rPr>
              <w:t>-22.7</w:t>
            </w:r>
          </w:p>
        </w:tc>
        <w:tc>
          <w:tcPr>
            <w:tcW w:type="dxa" w:w="2493"/>
          </w:tcPr>
          <w:p>
            <w:pPr>
              <w:spacing w:after="0"/>
            </w:pPr>
            <w:r/>
            <w:r>
              <w:rPr>
                <w:sz w:val="15"/>
              </w:rPr>
              <w:t>0.0</w:t>
            </w:r>
          </w:p>
        </w:tc>
        <w:tc>
          <w:tcPr>
            <w:tcW w:type="dxa" w:w="2493"/>
          </w:tcPr>
          <w:p>
            <w:pPr>
              <w:spacing w:after="0"/>
            </w:pPr>
            <w:r/>
            <w:r>
              <w:rPr>
                <w:sz w:val="15"/>
              </w:rPr>
              <w:t>-50.6</w:t>
            </w:r>
          </w:p>
        </w:tc>
      </w:tr>
      <w:tr>
        <w:tc>
          <w:tcPr>
            <w:tcW w:type="dxa" w:w="2493"/>
          </w:tcPr>
          <w:p>
            <w:pPr>
              <w:spacing w:after="0"/>
            </w:pPr>
            <w:r/>
            <w:r>
              <w:rPr>
                <w:sz w:val="15"/>
              </w:rPr>
              <w:t>0.50</w:t>
            </w:r>
          </w:p>
        </w:tc>
        <w:tc>
          <w:tcPr>
            <w:tcW w:type="dxa" w:w="2493"/>
          </w:tcPr>
          <w:p>
            <w:pPr>
              <w:spacing w:after="0"/>
            </w:pPr>
            <w:r/>
            <w:r>
              <w:rPr>
                <w:sz w:val="15"/>
              </w:rPr>
              <w:t>-18.1</w:t>
            </w:r>
          </w:p>
        </w:tc>
        <w:tc>
          <w:tcPr>
            <w:tcW w:type="dxa" w:w="2493"/>
          </w:tcPr>
          <w:p>
            <w:pPr>
              <w:spacing w:after="0"/>
            </w:pPr>
            <w:r/>
            <w:r>
              <w:rPr>
                <w:sz w:val="15"/>
              </w:rPr>
              <w:t>0.0</w:t>
            </w:r>
          </w:p>
        </w:tc>
        <w:tc>
          <w:tcPr>
            <w:tcW w:type="dxa" w:w="2493"/>
          </w:tcPr>
          <w:p>
            <w:pPr>
              <w:spacing w:after="0"/>
            </w:pPr>
            <w:r/>
            <w:r>
              <w:rPr>
                <w:sz w:val="15"/>
              </w:rPr>
              <w:t>-80.8</w:t>
            </w:r>
          </w:p>
        </w:tc>
      </w:tr>
      <w:tr>
        <w:tc>
          <w:tcPr>
            <w:tcW w:type="dxa" w:w="2493"/>
          </w:tcPr>
          <w:p>
            <w:pPr>
              <w:spacing w:after="0"/>
            </w:pPr>
            <w:r/>
            <w:r>
              <w:rPr>
                <w:sz w:val="15"/>
              </w:rPr>
              <w:t>0.60</w:t>
            </w:r>
          </w:p>
        </w:tc>
        <w:tc>
          <w:tcPr>
            <w:tcW w:type="dxa" w:w="2493"/>
          </w:tcPr>
          <w:p>
            <w:pPr>
              <w:spacing w:after="0"/>
            </w:pPr>
            <w:r/>
            <w:r>
              <w:rPr>
                <w:sz w:val="15"/>
              </w:rPr>
              <w:t>-27.4</w:t>
            </w:r>
          </w:p>
        </w:tc>
        <w:tc>
          <w:tcPr>
            <w:tcW w:type="dxa" w:w="2493"/>
          </w:tcPr>
          <w:p>
            <w:pPr>
              <w:spacing w:after="0"/>
            </w:pPr>
            <w:r/>
            <w:r>
              <w:rPr>
                <w:sz w:val="15"/>
              </w:rPr>
              <w:t>-0.1</w:t>
            </w:r>
          </w:p>
        </w:tc>
        <w:tc>
          <w:tcPr>
            <w:tcW w:type="dxa" w:w="2493"/>
          </w:tcPr>
          <w:p>
            <w:pPr>
              <w:spacing w:after="0"/>
            </w:pPr>
            <w:r/>
            <w:r>
              <w:rPr>
                <w:sz w:val="15"/>
              </w:rPr>
              <w:t>-125.9</w:t>
            </w:r>
          </w:p>
        </w:tc>
      </w:tr>
      <w:tr>
        <w:tc>
          <w:tcPr>
            <w:tcW w:type="dxa" w:w="2493"/>
          </w:tcPr>
          <w:p>
            <w:pPr>
              <w:spacing w:after="0"/>
            </w:pPr>
            <w:r/>
            <w:r>
              <w:rPr>
                <w:sz w:val="15"/>
              </w:rPr>
              <w:t>0.70</w:t>
            </w:r>
          </w:p>
        </w:tc>
        <w:tc>
          <w:tcPr>
            <w:tcW w:type="dxa" w:w="2493"/>
          </w:tcPr>
          <w:p>
            <w:pPr>
              <w:spacing w:after="0"/>
            </w:pPr>
            <w:r/>
            <w:r>
              <w:rPr>
                <w:sz w:val="15"/>
              </w:rPr>
              <w:t>-38.0</w:t>
            </w:r>
          </w:p>
        </w:tc>
        <w:tc>
          <w:tcPr>
            <w:tcW w:type="dxa" w:w="2493"/>
          </w:tcPr>
          <w:p>
            <w:pPr>
              <w:spacing w:after="0"/>
            </w:pPr>
            <w:r/>
            <w:r>
              <w:rPr>
                <w:sz w:val="15"/>
              </w:rPr>
              <w:t>0.0</w:t>
            </w:r>
          </w:p>
        </w:tc>
        <w:tc>
          <w:tcPr>
            <w:tcW w:type="dxa" w:w="2493"/>
          </w:tcPr>
          <w:p>
            <w:pPr>
              <w:spacing w:after="0"/>
            </w:pPr>
            <w:r/>
            <w:r>
              <w:rPr>
                <w:sz w:val="15"/>
              </w:rPr>
              <w:t>-201.3</w:t>
            </w:r>
          </w:p>
        </w:tc>
      </w:tr>
      <w:tr>
        <w:tc>
          <w:tcPr>
            <w:tcW w:type="dxa" w:w="2493"/>
          </w:tcPr>
          <w:p>
            <w:pPr>
              <w:spacing w:after="0"/>
            </w:pPr>
            <w:r/>
            <w:r>
              <w:rPr>
                <w:sz w:val="15"/>
              </w:rPr>
              <w:t>0.80</w:t>
            </w:r>
          </w:p>
        </w:tc>
        <w:tc>
          <w:tcPr>
            <w:tcW w:type="dxa" w:w="2493"/>
          </w:tcPr>
          <w:p>
            <w:pPr>
              <w:spacing w:after="0"/>
            </w:pPr>
            <w:r/>
            <w:r>
              <w:rPr>
                <w:sz w:val="15"/>
              </w:rPr>
              <w:t>-13.7</w:t>
            </w:r>
          </w:p>
        </w:tc>
        <w:tc>
          <w:tcPr>
            <w:tcW w:type="dxa" w:w="2493"/>
          </w:tcPr>
          <w:p>
            <w:pPr>
              <w:spacing w:after="0"/>
            </w:pPr>
            <w:r/>
            <w:r>
              <w:rPr>
                <w:sz w:val="15"/>
              </w:rPr>
              <w:t>0.0</w:t>
            </w:r>
          </w:p>
        </w:tc>
        <w:tc>
          <w:tcPr>
            <w:tcW w:type="dxa" w:w="2493"/>
          </w:tcPr>
          <w:p>
            <w:pPr>
              <w:spacing w:after="0"/>
            </w:pPr>
            <w:r/>
            <w:r>
              <w:rPr>
                <w:sz w:val="15"/>
              </w:rPr>
              <w:t>-351.9</w:t>
            </w:r>
          </w:p>
        </w:tc>
      </w:tr>
      <w:tr>
        <w:tc>
          <w:tcPr>
            <w:tcW w:type="dxa" w:w="2493"/>
          </w:tcPr>
          <w:p>
            <w:pPr>
              <w:spacing w:after="0"/>
            </w:pPr>
            <w:r/>
            <w:r>
              <w:rPr>
                <w:sz w:val="15"/>
              </w:rPr>
              <w:t>0.05</w:t>
            </w:r>
          </w:p>
        </w:tc>
        <w:tc>
          <w:tcPr>
            <w:tcW w:type="dxa" w:w="2493"/>
          </w:tcPr>
          <w:p>
            <w:pPr>
              <w:spacing w:after="0"/>
            </w:pPr>
            <w:r/>
            <w:r>
              <w:rPr>
                <w:sz w:val="15"/>
              </w:rPr>
              <w:t>3.2</w:t>
            </w:r>
          </w:p>
        </w:tc>
        <w:tc>
          <w:tcPr>
            <w:tcW w:type="dxa" w:w="2493"/>
          </w:tcPr>
          <w:p>
            <w:pPr>
              <w:spacing w:after="0"/>
            </w:pPr>
            <w:r/>
            <w:r>
              <w:rPr>
                <w:sz w:val="15"/>
              </w:rPr>
              <w:t>3.3</w:t>
            </w:r>
          </w:p>
        </w:tc>
        <w:tc>
          <w:tcPr>
            <w:tcW w:type="dxa" w:w="2493"/>
          </w:tcPr>
          <w:p>
            <w:pPr>
              <w:spacing w:after="0"/>
            </w:pPr>
            <w:r/>
            <w:r>
              <w:rPr>
                <w:sz w:val="15"/>
              </w:rPr>
              <w:t>1.7</w:t>
            </w:r>
          </w:p>
        </w:tc>
      </w:tr>
      <w:tr>
        <w:tc>
          <w:tcPr>
            <w:tcW w:type="dxa" w:w="2493"/>
          </w:tcPr>
          <w:p>
            <w:pPr>
              <w:spacing w:after="0"/>
            </w:pPr>
            <w:r/>
            <w:r>
              <w:rPr>
                <w:sz w:val="15"/>
              </w:rPr>
              <w:t>0.10</w:t>
            </w:r>
          </w:p>
        </w:tc>
        <w:tc>
          <w:tcPr>
            <w:tcW w:type="dxa" w:w="2493"/>
          </w:tcPr>
          <w:p>
            <w:pPr>
              <w:spacing w:after="0"/>
            </w:pPr>
            <w:r/>
            <w:r>
              <w:rPr>
                <w:sz w:val="15"/>
              </w:rPr>
              <w:t>-0.2</w:t>
            </w:r>
          </w:p>
        </w:tc>
        <w:tc>
          <w:tcPr>
            <w:tcW w:type="dxa" w:w="2493"/>
          </w:tcPr>
          <w:p>
            <w:pPr>
              <w:spacing w:after="0"/>
            </w:pPr>
            <w:r/>
            <w:r>
              <w:rPr>
                <w:sz w:val="15"/>
              </w:rPr>
              <w:t>1.8</w:t>
            </w:r>
          </w:p>
        </w:tc>
        <w:tc>
          <w:tcPr>
            <w:tcW w:type="dxa" w:w="2493"/>
          </w:tcPr>
          <w:p>
            <w:pPr>
              <w:spacing w:after="0"/>
            </w:pPr>
            <w:r/>
            <w:r>
              <w:rPr>
                <w:sz w:val="15"/>
              </w:rPr>
              <w:t>-3.7</w:t>
            </w:r>
          </w:p>
        </w:tc>
      </w:tr>
      <w:tr>
        <w:tc>
          <w:tcPr>
            <w:tcW w:type="dxa" w:w="2493"/>
          </w:tcPr>
          <w:p>
            <w:pPr>
              <w:spacing w:after="0"/>
            </w:pPr>
            <w:r/>
            <w:r>
              <w:rPr>
                <w:sz w:val="15"/>
              </w:rPr>
              <w:t>0.15</w:t>
            </w:r>
          </w:p>
        </w:tc>
        <w:tc>
          <w:tcPr>
            <w:tcW w:type="dxa" w:w="2493"/>
          </w:tcPr>
          <w:p>
            <w:pPr>
              <w:spacing w:after="0"/>
            </w:pPr>
            <w:r/>
            <w:r>
              <w:rPr>
                <w:sz w:val="15"/>
              </w:rPr>
              <w:t>-4.1</w:t>
            </w:r>
          </w:p>
        </w:tc>
        <w:tc>
          <w:tcPr>
            <w:tcW w:type="dxa" w:w="2493"/>
          </w:tcPr>
          <w:p>
            <w:pPr>
              <w:spacing w:after="0"/>
            </w:pPr>
            <w:r/>
            <w:r>
              <w:rPr>
                <w:sz w:val="15"/>
              </w:rPr>
              <w:t>1.5</w:t>
            </w:r>
          </w:p>
        </w:tc>
        <w:tc>
          <w:tcPr>
            <w:tcW w:type="dxa" w:w="2493"/>
          </w:tcPr>
          <w:p>
            <w:pPr>
              <w:spacing w:after="0"/>
            </w:pPr>
            <w:r/>
            <w:r>
              <w:rPr>
                <w:sz w:val="15"/>
              </w:rPr>
              <w:t>-9.8</w:t>
            </w:r>
          </w:p>
        </w:tc>
      </w:tr>
      <w:tr>
        <w:tc>
          <w:tcPr>
            <w:tcW w:type="dxa" w:w="2493"/>
          </w:tcPr>
          <w:p>
            <w:pPr>
              <w:spacing w:after="0"/>
            </w:pPr>
            <w:r/>
            <w:r>
              <w:rPr>
                <w:sz w:val="15"/>
              </w:rPr>
              <w:t>0.20</w:t>
            </w:r>
          </w:p>
        </w:tc>
        <w:tc>
          <w:tcPr>
            <w:tcW w:type="dxa" w:w="2493"/>
          </w:tcPr>
          <w:p>
            <w:pPr>
              <w:spacing w:after="0"/>
            </w:pPr>
            <w:r/>
            <w:r>
              <w:rPr>
                <w:sz w:val="15"/>
              </w:rPr>
              <w:t>-8.3</w:t>
            </w:r>
          </w:p>
        </w:tc>
        <w:tc>
          <w:tcPr>
            <w:tcW w:type="dxa" w:w="2493"/>
          </w:tcPr>
          <w:p>
            <w:pPr>
              <w:spacing w:after="0"/>
            </w:pPr>
            <w:r/>
            <w:r>
              <w:rPr>
                <w:sz w:val="15"/>
              </w:rPr>
              <w:t>0.6</w:t>
            </w:r>
          </w:p>
        </w:tc>
        <w:tc>
          <w:tcPr>
            <w:tcW w:type="dxa" w:w="2493"/>
          </w:tcPr>
          <w:p>
            <w:pPr>
              <w:spacing w:after="0"/>
            </w:pPr>
            <w:r/>
            <w:r>
              <w:rPr>
                <w:sz w:val="15"/>
              </w:rPr>
              <w:t>-16.7</w:t>
            </w:r>
          </w:p>
        </w:tc>
      </w:tr>
      <w:tr>
        <w:tc>
          <w:tcPr>
            <w:tcW w:type="dxa" w:w="2493"/>
          </w:tcPr>
          <w:p>
            <w:pPr>
              <w:spacing w:after="0"/>
            </w:pPr>
            <w:r/>
            <w:r>
              <w:rPr>
                <w:sz w:val="15"/>
              </w:rPr>
              <w:t>0.25</w:t>
            </w:r>
          </w:p>
        </w:tc>
        <w:tc>
          <w:tcPr>
            <w:tcW w:type="dxa" w:w="2493"/>
          </w:tcPr>
          <w:p>
            <w:pPr>
              <w:spacing w:after="0"/>
            </w:pPr>
            <w:r/>
            <w:r>
              <w:rPr>
                <w:sz w:val="15"/>
              </w:rPr>
              <w:t>-13.1</w:t>
            </w:r>
          </w:p>
        </w:tc>
        <w:tc>
          <w:tcPr>
            <w:tcW w:type="dxa" w:w="2493"/>
          </w:tcPr>
          <w:p>
            <w:pPr>
              <w:spacing w:after="0"/>
            </w:pPr>
            <w:r/>
            <w:r>
              <w:rPr>
                <w:sz w:val="15"/>
              </w:rPr>
              <w:t>0.5</w:t>
            </w:r>
          </w:p>
        </w:tc>
        <w:tc>
          <w:tcPr>
            <w:tcW w:type="dxa" w:w="2493"/>
          </w:tcPr>
          <w:p>
            <w:pPr>
              <w:spacing w:after="0"/>
            </w:pPr>
            <w:r/>
            <w:r>
              <w:rPr>
                <w:sz w:val="15"/>
              </w:rPr>
              <w:t>-24.5</w:t>
            </w:r>
          </w:p>
        </w:tc>
      </w:tr>
      <w:tr>
        <w:tc>
          <w:tcPr>
            <w:tcW w:type="dxa" w:w="2493"/>
          </w:tcPr>
          <w:p>
            <w:pPr>
              <w:spacing w:after="0"/>
            </w:pPr>
            <w:r/>
            <w:r>
              <w:rPr>
                <w:sz w:val="15"/>
              </w:rPr>
              <w:t>0.30</w:t>
            </w:r>
          </w:p>
        </w:tc>
        <w:tc>
          <w:tcPr>
            <w:tcW w:type="dxa" w:w="2493"/>
          </w:tcPr>
          <w:p>
            <w:pPr>
              <w:spacing w:after="0"/>
            </w:pPr>
            <w:r/>
            <w:r>
              <w:rPr>
                <w:sz w:val="15"/>
              </w:rPr>
              <w:t>-18.6</w:t>
            </w:r>
          </w:p>
        </w:tc>
        <w:tc>
          <w:tcPr>
            <w:tcW w:type="dxa" w:w="2493"/>
          </w:tcPr>
          <w:p>
            <w:pPr>
              <w:spacing w:after="0"/>
            </w:pPr>
            <w:r/>
            <w:r>
              <w:rPr>
                <w:sz w:val="15"/>
              </w:rPr>
              <w:t>0.4</w:t>
            </w:r>
          </w:p>
        </w:tc>
        <w:tc>
          <w:tcPr>
            <w:tcW w:type="dxa" w:w="2493"/>
          </w:tcPr>
          <w:p>
            <w:pPr>
              <w:spacing w:after="0"/>
            </w:pPr>
            <w:r/>
            <w:r>
              <w:rPr>
                <w:sz w:val="15"/>
              </w:rPr>
              <w:t>-33.3</w:t>
            </w:r>
          </w:p>
        </w:tc>
      </w:tr>
      <w:tr>
        <w:tc>
          <w:tcPr>
            <w:tcW w:type="dxa" w:w="2493"/>
          </w:tcPr>
          <w:p>
            <w:pPr>
              <w:spacing w:after="0"/>
            </w:pPr>
            <w:r/>
            <w:r>
              <w:rPr>
                <w:sz w:val="15"/>
              </w:rPr>
              <w:t>0.40</w:t>
            </w:r>
          </w:p>
        </w:tc>
        <w:tc>
          <w:tcPr>
            <w:tcW w:type="dxa" w:w="2493"/>
          </w:tcPr>
          <w:p>
            <w:pPr>
              <w:spacing w:after="0"/>
            </w:pPr>
            <w:r/>
            <w:r>
              <w:rPr>
                <w:sz w:val="15"/>
              </w:rPr>
              <w:t>-30.5</w:t>
            </w:r>
          </w:p>
        </w:tc>
        <w:tc>
          <w:tcPr>
            <w:tcW w:type="dxa" w:w="2493"/>
          </w:tcPr>
          <w:p>
            <w:pPr>
              <w:spacing w:after="0"/>
            </w:pPr>
            <w:r/>
            <w:r>
              <w:rPr>
                <w:sz w:val="15"/>
              </w:rPr>
              <w:t>0.1</w:t>
            </w:r>
          </w:p>
        </w:tc>
        <w:tc>
          <w:tcPr>
            <w:tcW w:type="dxa" w:w="2493"/>
          </w:tcPr>
          <w:p>
            <w:pPr>
              <w:spacing w:after="0"/>
            </w:pPr>
            <w:r/>
            <w:r>
              <w:rPr>
                <w:sz w:val="15"/>
              </w:rPr>
              <w:t>-55.6</w:t>
            </w:r>
          </w:p>
        </w:tc>
      </w:tr>
      <w:tr>
        <w:tc>
          <w:tcPr>
            <w:tcW w:type="dxa" w:w="2493"/>
          </w:tcPr>
          <w:p>
            <w:pPr>
              <w:spacing w:after="0"/>
            </w:pPr>
            <w:r/>
            <w:r>
              <w:rPr>
                <w:sz w:val="15"/>
              </w:rPr>
              <w:t>0.50</w:t>
            </w:r>
          </w:p>
        </w:tc>
        <w:tc>
          <w:tcPr>
            <w:tcW w:type="dxa" w:w="2493"/>
          </w:tcPr>
          <w:p>
            <w:pPr>
              <w:spacing w:after="0"/>
            </w:pPr>
            <w:r/>
            <w:r>
              <w:rPr>
                <w:sz w:val="15"/>
              </w:rPr>
              <w:t>-46.9</w:t>
            </w:r>
          </w:p>
        </w:tc>
        <w:tc>
          <w:tcPr>
            <w:tcW w:type="dxa" w:w="2493"/>
          </w:tcPr>
          <w:p>
            <w:pPr>
              <w:spacing w:after="0"/>
            </w:pPr>
            <w:r/>
            <w:r>
              <w:rPr>
                <w:sz w:val="15"/>
              </w:rPr>
              <w:t>-0.4</w:t>
            </w:r>
          </w:p>
        </w:tc>
        <w:tc>
          <w:tcPr>
            <w:tcW w:type="dxa" w:w="2493"/>
          </w:tcPr>
          <w:p>
            <w:pPr>
              <w:spacing w:after="0"/>
            </w:pPr>
            <w:r/>
            <w:r>
              <w:rPr>
                <w:sz w:val="15"/>
              </w:rPr>
              <w:t>-86.7</w:t>
            </w:r>
          </w:p>
        </w:tc>
      </w:tr>
      <w:tr>
        <w:tc>
          <w:tcPr>
            <w:tcW w:type="dxa" w:w="2493"/>
          </w:tcPr>
          <w:p>
            <w:pPr>
              <w:spacing w:after="0"/>
            </w:pPr>
            <w:r/>
            <w:r>
              <w:rPr>
                <w:sz w:val="15"/>
              </w:rPr>
              <w:t>0.60</w:t>
            </w:r>
          </w:p>
        </w:tc>
        <w:tc>
          <w:tcPr>
            <w:tcW w:type="dxa" w:w="2493"/>
          </w:tcPr>
          <w:p>
            <w:pPr>
              <w:spacing w:after="0"/>
            </w:pPr>
            <w:r/>
            <w:r>
              <w:rPr>
                <w:sz w:val="15"/>
              </w:rPr>
              <w:t>-45.2</w:t>
            </w:r>
          </w:p>
        </w:tc>
        <w:tc>
          <w:tcPr>
            <w:tcW w:type="dxa" w:w="2493"/>
          </w:tcPr>
          <w:p>
            <w:pPr>
              <w:spacing w:after="0"/>
            </w:pPr>
            <w:r/>
            <w:r>
              <w:rPr>
                <w:sz w:val="15"/>
              </w:rPr>
              <w:t>0.0</w:t>
            </w:r>
          </w:p>
        </w:tc>
        <w:tc>
          <w:tcPr>
            <w:tcW w:type="dxa" w:w="2493"/>
          </w:tcPr>
          <w:p>
            <w:pPr>
              <w:spacing w:after="0"/>
            </w:pPr>
            <w:r/>
            <w:r>
              <w:rPr>
                <w:sz w:val="15"/>
              </w:rPr>
              <w:t>-133.3</w:t>
            </w:r>
          </w:p>
        </w:tc>
      </w:tr>
      <w:tr>
        <w:tc>
          <w:tcPr>
            <w:tcW w:type="dxa" w:w="2493"/>
          </w:tcPr>
          <w:p>
            <w:pPr>
              <w:spacing w:after="0"/>
            </w:pPr>
            <w:r/>
            <w:r>
              <w:rPr>
                <w:sz w:val="15"/>
              </w:rPr>
              <w:t>0.70</w:t>
            </w:r>
          </w:p>
        </w:tc>
        <w:tc>
          <w:tcPr>
            <w:tcW w:type="dxa" w:w="2493"/>
          </w:tcPr>
          <w:p>
            <w:pPr>
              <w:spacing w:after="0"/>
            </w:pPr>
            <w:r/>
            <w:r>
              <w:rPr>
                <w:sz w:val="15"/>
              </w:rPr>
              <w:t>-22.5</w:t>
            </w:r>
          </w:p>
        </w:tc>
        <w:tc>
          <w:tcPr>
            <w:tcW w:type="dxa" w:w="2493"/>
          </w:tcPr>
          <w:p>
            <w:pPr>
              <w:spacing w:after="0"/>
            </w:pPr>
            <w:r/>
            <w:r>
              <w:rPr>
                <w:sz w:val="15"/>
              </w:rPr>
              <w:t>0.0</w:t>
            </w:r>
          </w:p>
        </w:tc>
        <w:tc>
          <w:tcPr>
            <w:tcW w:type="dxa" w:w="2493"/>
          </w:tcPr>
          <w:p>
            <w:pPr>
              <w:spacing w:after="0"/>
            </w:pPr>
            <w:r/>
            <w:r>
              <w:rPr>
                <w:sz w:val="15"/>
              </w:rPr>
              <w:t>-211.1</w:t>
            </w:r>
          </w:p>
        </w:tc>
      </w:tr>
      <w:tr>
        <w:tc>
          <w:tcPr>
            <w:tcW w:type="dxa" w:w="2493"/>
          </w:tcPr>
          <w:p>
            <w:pPr>
              <w:spacing w:after="0"/>
            </w:pPr>
            <w:r/>
            <w:r>
              <w:rPr>
                <w:sz w:val="15"/>
              </w:rPr>
              <w:t>0.80</w:t>
            </w:r>
          </w:p>
        </w:tc>
        <w:tc>
          <w:tcPr>
            <w:tcW w:type="dxa" w:w="2493"/>
          </w:tcPr>
          <w:p>
            <w:pPr>
              <w:spacing w:after="0"/>
            </w:pPr>
            <w:r/>
            <w:r>
              <w:rPr>
                <w:sz w:val="15"/>
              </w:rPr>
              <w:t>-10.9</w:t>
            </w:r>
          </w:p>
        </w:tc>
        <w:tc>
          <w:tcPr>
            <w:tcW w:type="dxa" w:w="2493"/>
          </w:tcPr>
          <w:p>
            <w:pPr>
              <w:spacing w:after="0"/>
            </w:pPr>
            <w:r/>
            <w:r>
              <w:rPr>
                <w:sz w:val="15"/>
              </w:rPr>
              <w:t>0.0</w:t>
            </w:r>
          </w:p>
        </w:tc>
        <w:tc>
          <w:tcPr>
            <w:tcW w:type="dxa" w:w="2493"/>
          </w:tcPr>
          <w:p>
            <w:pPr>
              <w:spacing w:after="0"/>
            </w:pPr>
            <w:r/>
            <w:r>
              <w:rPr>
                <w:sz w:val="15"/>
              </w:rPr>
              <w:t>-366.7</w:t>
            </w:r>
          </w:p>
        </w:tc>
      </w:tr>
      <w:tr>
        <w:tc>
          <w:tcPr>
            <w:tcW w:type="dxa" w:w="2493"/>
          </w:tcPr>
          <w:p>
            <w:pPr>
              <w:spacing w:after="0"/>
            </w:pPr>
            <w:r/>
            <w:r>
              <w:rPr>
                <w:sz w:val="15"/>
              </w:rPr>
              <w:t>renal_impairment</w:t>
            </w:r>
          </w:p>
        </w:tc>
        <w:tc>
          <w:tcPr>
            <w:tcW w:type="dxa" w:w="2493"/>
          </w:tcPr>
          <w:p>
            <w:pPr>
              <w:spacing w:after="0"/>
            </w:pPr>
            <w:r/>
            <w:r>
              <w:rPr>
                <w:sz w:val="15"/>
              </w:rPr>
              <w:t>326</w:t>
            </w:r>
          </w:p>
        </w:tc>
        <w:tc>
          <w:tcPr>
            <w:tcW w:type="dxa" w:w="2493"/>
          </w:tcPr>
          <w:p>
            <w:pPr>
              <w:spacing w:after="0"/>
            </w:pPr>
            <w:r/>
            <w:r>
              <w:rPr>
                <w:sz w:val="15"/>
              </w:rPr>
              <w:t>0.777</w:t>
            </w:r>
          </w:p>
        </w:tc>
        <w:tc>
          <w:tcPr>
            <w:tcW w:type="dxa" w:w="2493"/>
          </w:tcPr>
          <w:p>
            <w:pPr>
              <w:spacing w:after="0"/>
            </w:pPr>
            <w:r/>
            <w:r>
              <w:rPr>
                <w:sz w:val="15"/>
              </w:rPr>
              <w:t>4.39e-62</w:t>
            </w:r>
          </w:p>
        </w:tc>
      </w:tr>
      <w:tr>
        <w:tc>
          <w:tcPr>
            <w:tcW w:type="dxa" w:w="2493"/>
          </w:tcPr>
          <w:p>
            <w:pPr>
              <w:spacing w:after="0"/>
            </w:pPr>
            <w:r/>
            <w:r>
              <w:rPr>
                <w:sz w:val="15"/>
              </w:rPr>
              <w:t>sepsis</w:t>
            </w:r>
          </w:p>
        </w:tc>
        <w:tc>
          <w:tcPr>
            <w:tcW w:type="dxa" w:w="2493"/>
          </w:tcPr>
          <w:p>
            <w:pPr>
              <w:spacing w:after="0"/>
            </w:pPr>
            <w:r/>
            <w:r>
              <w:rPr>
                <w:sz w:val="15"/>
              </w:rPr>
              <w:t>289</w:t>
            </w:r>
          </w:p>
        </w:tc>
        <w:tc>
          <w:tcPr>
            <w:tcW w:type="dxa" w:w="2493"/>
          </w:tcPr>
          <w:p>
            <w:pPr>
              <w:spacing w:after="0"/>
            </w:pPr>
            <w:r/>
            <w:r>
              <w:rPr>
                <w:sz w:val="15"/>
              </w:rPr>
              <w:t>0.682</w:t>
            </w:r>
          </w:p>
        </w:tc>
        <w:tc>
          <w:tcPr>
            <w:tcW w:type="dxa" w:w="2493"/>
          </w:tcPr>
          <w:p>
            <w:pPr>
              <w:spacing w:after="0"/>
            </w:pPr>
            <w:r/>
            <w:r>
              <w:rPr>
                <w:sz w:val="15"/>
              </w:rPr>
              <w:t>2.09e-31</w:t>
            </w:r>
          </w:p>
        </w:tc>
      </w:tr>
      <w:tr>
        <w:tc>
          <w:tcPr>
            <w:tcW w:type="dxa" w:w="2493"/>
          </w:tcPr>
          <w:p>
            <w:pPr>
              <w:spacing w:after="0"/>
            </w:pPr>
            <w:r/>
            <w:r>
              <w:rPr>
                <w:sz w:val="15"/>
              </w:rPr>
              <w:t>diabetes</w:t>
            </w:r>
          </w:p>
        </w:tc>
        <w:tc>
          <w:tcPr>
            <w:tcW w:type="dxa" w:w="2493"/>
          </w:tcPr>
          <w:p>
            <w:pPr>
              <w:spacing w:after="0"/>
            </w:pPr>
            <w:r/>
            <w:r>
              <w:rPr>
                <w:sz w:val="15"/>
              </w:rPr>
              <w:t>246</w:t>
            </w:r>
          </w:p>
        </w:tc>
        <w:tc>
          <w:tcPr>
            <w:tcW w:type="dxa" w:w="2493"/>
          </w:tcPr>
          <w:p>
            <w:pPr>
              <w:spacing w:after="0"/>
            </w:pPr>
            <w:r/>
            <w:r>
              <w:rPr>
                <w:sz w:val="15"/>
              </w:rPr>
              <w:t>0.692</w:t>
            </w:r>
          </w:p>
        </w:tc>
        <w:tc>
          <w:tcPr>
            <w:tcW w:type="dxa" w:w="2493"/>
          </w:tcPr>
          <w:p>
            <w:pPr>
              <w:spacing w:after="0"/>
            </w:pPr>
            <w:r/>
            <w:r>
              <w:rPr>
                <w:sz w:val="15"/>
              </w:rPr>
              <w:t>5.28e-24</w:t>
            </w:r>
          </w:p>
        </w:tc>
      </w:tr>
      <w:tr>
        <w:tc>
          <w:tcPr>
            <w:tcW w:type="dxa" w:w="2493"/>
          </w:tcPr>
          <w:p>
            <w:pPr>
              <w:spacing w:after="0"/>
            </w:pPr>
            <w:r/>
            <w:r>
              <w:rPr>
                <w:sz w:val="15"/>
              </w:rPr>
              <w:t>acute_kidney_injury</w:t>
            </w:r>
          </w:p>
        </w:tc>
        <w:tc>
          <w:tcPr>
            <w:tcW w:type="dxa" w:w="2493"/>
          </w:tcPr>
          <w:p>
            <w:pPr>
              <w:spacing w:after="0"/>
            </w:pPr>
            <w:r/>
            <w:r>
              <w:rPr>
                <w:sz w:val="15"/>
              </w:rPr>
              <w:t>218</w:t>
            </w:r>
          </w:p>
        </w:tc>
        <w:tc>
          <w:tcPr>
            <w:tcW w:type="dxa" w:w="2493"/>
          </w:tcPr>
          <w:p>
            <w:pPr>
              <w:spacing w:after="0"/>
            </w:pPr>
            <w:r/>
            <w:r>
              <w:rPr>
                <w:sz w:val="15"/>
              </w:rPr>
              <w:t>0.774</w:t>
            </w:r>
          </w:p>
        </w:tc>
        <w:tc>
          <w:tcPr>
            <w:tcW w:type="dxa" w:w="2493"/>
          </w:tcPr>
          <w:p>
            <w:pPr>
              <w:spacing w:after="0"/>
            </w:pPr>
            <w:r/>
            <w:r>
              <w:rPr>
                <w:sz w:val="15"/>
              </w:rPr>
              <w:t>3.14e-44</w:t>
            </w:r>
          </w:p>
        </w:tc>
      </w:tr>
      <w:tr>
        <w:tc>
          <w:tcPr>
            <w:tcW w:type="dxa" w:w="2493"/>
          </w:tcPr>
          <w:p>
            <w:pPr>
              <w:spacing w:after="0"/>
            </w:pPr>
            <w:r/>
            <w:r>
              <w:rPr>
                <w:sz w:val="15"/>
              </w:rPr>
              <w:t>chronic_kidney_disease</w:t>
            </w:r>
          </w:p>
        </w:tc>
        <w:tc>
          <w:tcPr>
            <w:tcW w:type="dxa" w:w="2493"/>
          </w:tcPr>
          <w:p>
            <w:pPr>
              <w:spacing w:after="0"/>
            </w:pPr>
            <w:r/>
            <w:r>
              <w:rPr>
                <w:sz w:val="15"/>
              </w:rPr>
              <w:t>148</w:t>
            </w:r>
          </w:p>
        </w:tc>
        <w:tc>
          <w:tcPr>
            <w:tcW w:type="dxa" w:w="2493"/>
          </w:tcPr>
          <w:p>
            <w:pPr>
              <w:spacing w:after="0"/>
            </w:pPr>
            <w:r/>
            <w:r>
              <w:rPr>
                <w:sz w:val="15"/>
              </w:rPr>
              <w:t>0.783</w:t>
            </w:r>
          </w:p>
        </w:tc>
        <w:tc>
          <w:tcPr>
            <w:tcW w:type="dxa" w:w="2493"/>
          </w:tcPr>
          <w:p>
            <w:pPr>
              <w:spacing w:after="0"/>
            </w:pPr>
            <w:r/>
            <w:r>
              <w:rPr>
                <w:sz w:val="15"/>
              </w:rPr>
              <w:t>3.77e-39</w:t>
            </w:r>
          </w:p>
        </w:tc>
      </w:tr>
      <w:tr>
        <w:tc>
          <w:tcPr>
            <w:tcW w:type="dxa" w:w="2493"/>
          </w:tcPr>
          <w:p>
            <w:pPr>
              <w:spacing w:after="0"/>
            </w:pPr>
            <w:r/>
            <w:r>
              <w:rPr>
                <w:sz w:val="15"/>
              </w:rPr>
              <w:t>anemia</w:t>
            </w:r>
          </w:p>
        </w:tc>
        <w:tc>
          <w:tcPr>
            <w:tcW w:type="dxa" w:w="2493"/>
          </w:tcPr>
          <w:p>
            <w:pPr>
              <w:spacing w:after="0"/>
            </w:pPr>
            <w:r/>
            <w:r>
              <w:rPr>
                <w:sz w:val="15"/>
              </w:rPr>
              <w:t>147</w:t>
            </w:r>
          </w:p>
        </w:tc>
        <w:tc>
          <w:tcPr>
            <w:tcW w:type="dxa" w:w="2493"/>
          </w:tcPr>
          <w:p>
            <w:pPr>
              <w:spacing w:after="0"/>
            </w:pPr>
            <w:r/>
            <w:r>
              <w:rPr>
                <w:sz w:val="15"/>
              </w:rPr>
              <w:t>0.782</w:t>
            </w:r>
          </w:p>
        </w:tc>
        <w:tc>
          <w:tcPr>
            <w:tcW w:type="dxa" w:w="2493"/>
          </w:tcPr>
          <w:p>
            <w:pPr>
              <w:spacing w:after="0"/>
            </w:pPr>
            <w:r/>
            <w:r>
              <w:rPr>
                <w:sz w:val="15"/>
              </w:rPr>
              <w:t>1.28e-31</w:t>
            </w:r>
          </w:p>
        </w:tc>
      </w:tr>
      <w:tr>
        <w:tc>
          <w:tcPr>
            <w:tcW w:type="dxa" w:w="2493"/>
          </w:tcPr>
          <w:p>
            <w:pPr>
              <w:spacing w:after="0"/>
            </w:pPr>
            <w:r/>
            <w:r>
              <w:rPr>
                <w:sz w:val="15"/>
              </w:rPr>
              <w:t>gi_bleeding</w:t>
            </w:r>
          </w:p>
        </w:tc>
        <w:tc>
          <w:tcPr>
            <w:tcW w:type="dxa" w:w="2493"/>
          </w:tcPr>
          <w:p>
            <w:pPr>
              <w:spacing w:after="0"/>
            </w:pPr>
            <w:r/>
            <w:r>
              <w:rPr>
                <w:sz w:val="15"/>
              </w:rPr>
              <w:t>145</w:t>
            </w:r>
          </w:p>
        </w:tc>
        <w:tc>
          <w:tcPr>
            <w:tcW w:type="dxa" w:w="2493"/>
          </w:tcPr>
          <w:p>
            <w:pPr>
              <w:spacing w:after="0"/>
            </w:pPr>
            <w:r/>
            <w:r>
              <w:rPr>
                <w:sz w:val="15"/>
              </w:rPr>
              <w:t>0.751</w:t>
            </w:r>
          </w:p>
        </w:tc>
        <w:tc>
          <w:tcPr>
            <w:tcW w:type="dxa" w:w="2493"/>
          </w:tcPr>
          <w:p>
            <w:pPr>
              <w:spacing w:after="0"/>
            </w:pPr>
            <w:r/>
            <w:r>
              <w:rPr>
                <w:sz w:val="15"/>
              </w:rPr>
              <w:t>3.82e-25</w:t>
            </w:r>
          </w:p>
        </w:tc>
      </w:tr>
      <w:tr>
        <w:tc>
          <w:tcPr>
            <w:tcW w:type="dxa" w:w="2493"/>
          </w:tcPr>
          <w:p>
            <w:pPr>
              <w:spacing w:after="0"/>
            </w:pPr>
            <w:r/>
            <w:r>
              <w:rPr>
                <w:sz w:val="15"/>
              </w:rPr>
              <w:t>diabetic_ketoacidosis</w:t>
            </w:r>
          </w:p>
        </w:tc>
        <w:tc>
          <w:tcPr>
            <w:tcW w:type="dxa" w:w="2493"/>
          </w:tcPr>
          <w:p>
            <w:pPr>
              <w:spacing w:after="0"/>
            </w:pPr>
            <w:r/>
            <w:r>
              <w:rPr>
                <w:sz w:val="15"/>
              </w:rPr>
              <w:t>107</w:t>
            </w:r>
          </w:p>
        </w:tc>
        <w:tc>
          <w:tcPr>
            <w:tcW w:type="dxa" w:w="2493"/>
          </w:tcPr>
          <w:p>
            <w:pPr>
              <w:spacing w:after="0"/>
            </w:pPr>
            <w:r/>
            <w:r>
              <w:rPr>
                <w:sz w:val="15"/>
              </w:rPr>
              <w:t>0.855</w:t>
            </w:r>
          </w:p>
        </w:tc>
        <w:tc>
          <w:tcPr>
            <w:tcW w:type="dxa" w:w="2493"/>
          </w:tcPr>
          <w:p>
            <w:pPr>
              <w:spacing w:after="0"/>
            </w:pPr>
            <w:r/>
            <w:r>
              <w:rPr>
                <w:sz w:val="15"/>
              </w:rPr>
              <w:t>1.19e-89</w:t>
            </w:r>
          </w:p>
        </w:tc>
      </w:tr>
      <w:tr>
        <w:tc>
          <w:tcPr>
            <w:tcW w:type="dxa" w:w="2493"/>
          </w:tcPr>
          <w:p>
            <w:pPr>
              <w:spacing w:after="0"/>
            </w:pPr>
            <w:r/>
            <w:r>
              <w:rPr>
                <w:sz w:val="15"/>
              </w:rPr>
              <w:t>hyperglycemia</w:t>
            </w:r>
          </w:p>
        </w:tc>
        <w:tc>
          <w:tcPr>
            <w:tcW w:type="dxa" w:w="2493"/>
          </w:tcPr>
          <w:p>
            <w:pPr>
              <w:spacing w:after="0"/>
            </w:pPr>
            <w:r/>
            <w:r>
              <w:rPr>
                <w:sz w:val="15"/>
              </w:rPr>
              <w:t>96</w:t>
            </w:r>
          </w:p>
        </w:tc>
        <w:tc>
          <w:tcPr>
            <w:tcW w:type="dxa" w:w="2493"/>
          </w:tcPr>
          <w:p>
            <w:pPr>
              <w:spacing w:after="0"/>
            </w:pPr>
            <w:r/>
            <w:r>
              <w:rPr>
                <w:sz w:val="15"/>
              </w:rPr>
              <w:t>0.699</w:t>
            </w:r>
          </w:p>
        </w:tc>
        <w:tc>
          <w:tcPr>
            <w:tcW w:type="dxa" w:w="2493"/>
          </w:tcPr>
          <w:p>
            <w:pPr>
              <w:spacing w:after="0"/>
            </w:pPr>
            <w:r/>
            <w:r>
              <w:rPr>
                <w:sz w:val="15"/>
              </w:rPr>
              <w:t>1.28e-11</w:t>
            </w:r>
          </w:p>
        </w:tc>
      </w:tr>
      <w:tr>
        <w:tc>
          <w:tcPr>
            <w:tcW w:type="dxa" w:w="2493"/>
          </w:tcPr>
          <w:p>
            <w:pPr>
              <w:spacing w:after="0"/>
            </w:pPr>
            <w:r/>
            <w:r>
              <w:rPr>
                <w:sz w:val="15"/>
              </w:rPr>
              <w:t>acute_myocardial_infarction</w:t>
            </w:r>
          </w:p>
        </w:tc>
        <w:tc>
          <w:tcPr>
            <w:tcW w:type="dxa" w:w="2493"/>
          </w:tcPr>
          <w:p>
            <w:pPr>
              <w:spacing w:after="0"/>
            </w:pPr>
            <w:r/>
            <w:r>
              <w:rPr>
                <w:sz w:val="15"/>
              </w:rPr>
              <w:t>84</w:t>
            </w:r>
          </w:p>
        </w:tc>
        <w:tc>
          <w:tcPr>
            <w:tcW w:type="dxa" w:w="2493"/>
          </w:tcPr>
          <w:p>
            <w:pPr>
              <w:spacing w:after="0"/>
            </w:pPr>
            <w:r/>
            <w:r>
              <w:rPr>
                <w:sz w:val="15"/>
              </w:rPr>
              <w:t>0.758</w:t>
            </w:r>
          </w:p>
        </w:tc>
        <w:tc>
          <w:tcPr>
            <w:tcW w:type="dxa" w:w="2493"/>
          </w:tcPr>
          <w:p>
            <w:pPr>
              <w:spacing w:after="0"/>
            </w:pPr>
            <w:r/>
            <w:r>
              <w:rPr>
                <w:sz w:val="15"/>
              </w:rPr>
              <w:t>1.32e-14</w:t>
            </w:r>
          </w:p>
        </w:tc>
      </w:tr>
      <w:tr>
        <w:tc>
          <w:tcPr>
            <w:tcW w:type="dxa" w:w="2493"/>
          </w:tcPr>
          <w:p>
            <w:pPr>
              <w:spacing w:after="0"/>
            </w:pPr>
            <w:r/>
            <w:r>
              <w:rPr>
                <w:sz w:val="15"/>
              </w:rPr>
              <w:t>hypokalemia</w:t>
            </w:r>
          </w:p>
        </w:tc>
        <w:tc>
          <w:tcPr>
            <w:tcW w:type="dxa" w:w="2493"/>
          </w:tcPr>
          <w:p>
            <w:pPr>
              <w:spacing w:after="0"/>
            </w:pPr>
            <w:r/>
            <w:r>
              <w:rPr>
                <w:sz w:val="15"/>
              </w:rPr>
              <w:t>67</w:t>
            </w:r>
          </w:p>
        </w:tc>
        <w:tc>
          <w:tcPr>
            <w:tcW w:type="dxa" w:w="2493"/>
          </w:tcPr>
          <w:p>
            <w:pPr>
              <w:spacing w:after="0"/>
            </w:pPr>
            <w:r/>
            <w:r>
              <w:rPr>
                <w:sz w:val="15"/>
              </w:rPr>
              <w:t>0.716</w:t>
            </w:r>
          </w:p>
        </w:tc>
        <w:tc>
          <w:tcPr>
            <w:tcW w:type="dxa" w:w="2493"/>
          </w:tcPr>
          <w:p>
            <w:pPr>
              <w:spacing w:after="0"/>
            </w:pPr>
            <w:r/>
            <w:r>
              <w:rPr>
                <w:sz w:val="15"/>
              </w:rPr>
              <w:t>3.06e-24</w:t>
            </w:r>
          </w:p>
        </w:tc>
      </w:tr>
      <w:tr>
        <w:tc>
          <w:tcPr>
            <w:tcW w:type="dxa" w:w="2493"/>
          </w:tcPr>
          <w:p>
            <w:pPr>
              <w:spacing w:after="0"/>
            </w:pPr>
            <w:r/>
            <w:r>
              <w:rPr>
                <w:sz w:val="15"/>
              </w:rPr>
              <w:t>heart_failure</w:t>
            </w:r>
          </w:p>
        </w:tc>
        <w:tc>
          <w:tcPr>
            <w:tcW w:type="dxa" w:w="2493"/>
          </w:tcPr>
          <w:p>
            <w:pPr>
              <w:spacing w:after="0"/>
            </w:pPr>
            <w:r/>
            <w:r>
              <w:rPr>
                <w:sz w:val="15"/>
              </w:rPr>
              <w:t>58</w:t>
            </w:r>
          </w:p>
        </w:tc>
        <w:tc>
          <w:tcPr>
            <w:tcW w:type="dxa" w:w="2493"/>
          </w:tcPr>
          <w:p>
            <w:pPr>
              <w:spacing w:after="0"/>
            </w:pPr>
            <w:r/>
            <w:r>
              <w:rPr>
                <w:sz w:val="15"/>
              </w:rPr>
              <w:t>0.664</w:t>
            </w:r>
          </w:p>
        </w:tc>
        <w:tc>
          <w:tcPr>
            <w:tcW w:type="dxa" w:w="2493"/>
          </w:tcPr>
          <w:p>
            <w:pPr>
              <w:spacing w:after="0"/>
            </w:pPr>
            <w:r/>
            <w:r>
              <w:rPr>
                <w:sz w:val="15"/>
              </w:rPr>
              <w:t>1.35e-04</w:t>
            </w:r>
          </w:p>
        </w:tc>
      </w:tr>
      <w:tr>
        <w:tc>
          <w:tcPr>
            <w:tcW w:type="dxa" w:w="2493"/>
          </w:tcPr>
          <w:p>
            <w:pPr>
              <w:spacing w:after="0"/>
            </w:pPr>
            <w:r/>
            <w:r>
              <w:rPr>
                <w:sz w:val="15"/>
              </w:rPr>
              <w:t>leukocytosis</w:t>
            </w:r>
          </w:p>
        </w:tc>
        <w:tc>
          <w:tcPr>
            <w:tcW w:type="dxa" w:w="2493"/>
          </w:tcPr>
          <w:p>
            <w:pPr>
              <w:spacing w:after="0"/>
            </w:pPr>
            <w:r/>
            <w:r>
              <w:rPr>
                <w:sz w:val="15"/>
              </w:rPr>
              <w:t>57</w:t>
            </w:r>
          </w:p>
        </w:tc>
        <w:tc>
          <w:tcPr>
            <w:tcW w:type="dxa" w:w="2493"/>
          </w:tcPr>
          <w:p>
            <w:pPr>
              <w:spacing w:after="0"/>
            </w:pPr>
            <w:r/>
            <w:r>
              <w:rPr>
                <w:sz w:val="15"/>
              </w:rPr>
              <w:t>0.729</w:t>
            </w:r>
          </w:p>
        </w:tc>
        <w:tc>
          <w:tcPr>
            <w:tcW w:type="dxa" w:w="2493"/>
          </w:tcPr>
          <w:p>
            <w:pPr>
              <w:spacing w:after="0"/>
            </w:pPr>
            <w:r/>
            <w:r>
              <w:rPr>
                <w:sz w:val="15"/>
              </w:rPr>
              <w:t>7.85e-12</w:t>
            </w:r>
          </w:p>
        </w:tc>
      </w:tr>
      <w:tr>
        <w:tc>
          <w:tcPr>
            <w:tcW w:type="dxa" w:w="2493"/>
          </w:tcPr>
          <w:p>
            <w:pPr>
              <w:spacing w:after="0"/>
            </w:pPr>
            <w:r/>
            <w:r>
              <w:rPr>
                <w:sz w:val="15"/>
              </w:rPr>
              <w:t>hyponatremia</w:t>
            </w:r>
          </w:p>
        </w:tc>
        <w:tc>
          <w:tcPr>
            <w:tcW w:type="dxa" w:w="2493"/>
          </w:tcPr>
          <w:p>
            <w:pPr>
              <w:spacing w:after="0"/>
            </w:pPr>
            <w:r/>
            <w:r>
              <w:rPr>
                <w:sz w:val="15"/>
              </w:rPr>
              <w:t>52</w:t>
            </w:r>
          </w:p>
        </w:tc>
        <w:tc>
          <w:tcPr>
            <w:tcW w:type="dxa" w:w="2493"/>
          </w:tcPr>
          <w:p>
            <w:pPr>
              <w:spacing w:after="0"/>
            </w:pPr>
            <w:r/>
            <w:r>
              <w:rPr>
                <w:sz w:val="15"/>
              </w:rPr>
              <w:t>0.887</w:t>
            </w:r>
          </w:p>
        </w:tc>
        <w:tc>
          <w:tcPr>
            <w:tcW w:type="dxa" w:w="2493"/>
          </w:tcPr>
          <w:p>
            <w:pPr>
              <w:spacing w:after="0"/>
            </w:pPr>
            <w:r/>
            <w:r>
              <w:rPr>
                <w:sz w:val="15"/>
              </w:rPr>
              <w:t>7.25e-41</w:t>
            </w:r>
          </w:p>
        </w:tc>
      </w:tr>
      <w:tr>
        <w:tc>
          <w:tcPr>
            <w:tcW w:type="dxa" w:w="2493"/>
          </w:tcPr>
          <w:p>
            <w:pPr>
              <w:spacing w:after="0"/>
            </w:pPr>
            <w:r/>
            <w:r>
              <w:rPr>
                <w:sz w:val="15"/>
              </w:rPr>
              <w:t>metabolic_acidosis</w:t>
            </w:r>
          </w:p>
        </w:tc>
        <w:tc>
          <w:tcPr>
            <w:tcW w:type="dxa" w:w="2493"/>
          </w:tcPr>
          <w:p>
            <w:pPr>
              <w:spacing w:after="0"/>
            </w:pPr>
            <w:r/>
            <w:r>
              <w:rPr>
                <w:sz w:val="15"/>
              </w:rPr>
              <w:t>51</w:t>
            </w:r>
          </w:p>
        </w:tc>
        <w:tc>
          <w:tcPr>
            <w:tcW w:type="dxa" w:w="2493"/>
          </w:tcPr>
          <w:p>
            <w:pPr>
              <w:spacing w:after="0"/>
            </w:pPr>
            <w:r/>
            <w:r>
              <w:rPr>
                <w:sz w:val="15"/>
              </w:rPr>
              <w:t>0.757</w:t>
            </w:r>
          </w:p>
        </w:tc>
        <w:tc>
          <w:tcPr>
            <w:tcW w:type="dxa" w:w="2493"/>
          </w:tcPr>
          <w:p>
            <w:pPr>
              <w:spacing w:after="0"/>
            </w:pPr>
            <w:r/>
            <w:r>
              <w:rPr>
                <w:sz w:val="15"/>
              </w:rPr>
              <w:t>1.77e-13</w:t>
            </w:r>
          </w:p>
        </w:tc>
      </w:tr>
      <w:tr>
        <w:tc>
          <w:tcPr>
            <w:tcW w:type="dxa" w:w="2493"/>
          </w:tcPr>
          <w:p>
            <w:pPr>
              <w:spacing w:after="0"/>
            </w:pPr>
            <w:r/>
            <w:r>
              <w:rPr>
                <w:sz w:val="15"/>
              </w:rPr>
              <w:t>hyperkalemia</w:t>
            </w:r>
          </w:p>
        </w:tc>
        <w:tc>
          <w:tcPr>
            <w:tcW w:type="dxa" w:w="2493"/>
          </w:tcPr>
          <w:p>
            <w:pPr>
              <w:spacing w:after="0"/>
            </w:pPr>
            <w:r/>
            <w:r>
              <w:rPr>
                <w:sz w:val="15"/>
              </w:rPr>
              <w:t>49</w:t>
            </w:r>
          </w:p>
        </w:tc>
        <w:tc>
          <w:tcPr>
            <w:tcW w:type="dxa" w:w="2493"/>
          </w:tcPr>
          <w:p>
            <w:pPr>
              <w:spacing w:after="0"/>
            </w:pPr>
            <w:r/>
            <w:r>
              <w:rPr>
                <w:sz w:val="15"/>
              </w:rPr>
              <w:t>0.917</w:t>
            </w:r>
          </w:p>
        </w:tc>
        <w:tc>
          <w:tcPr>
            <w:tcW w:type="dxa" w:w="2493"/>
          </w:tcPr>
          <w:p>
            <w:pPr>
              <w:spacing w:after="0"/>
            </w:pPr>
            <w:r/>
            <w:r>
              <w:rPr>
                <w:sz w:val="15"/>
              </w:rPr>
              <w:t>6.31e-90</w:t>
            </w:r>
          </w:p>
        </w:tc>
      </w:tr>
      <w:tr>
        <w:tc>
          <w:tcPr>
            <w:tcW w:type="dxa" w:w="2493"/>
          </w:tcPr>
          <w:p>
            <w:pPr>
              <w:spacing w:after="0"/>
            </w:pPr>
            <w:r/>
            <w:r>
              <w:rPr>
                <w:sz w:val="15"/>
              </w:rPr>
              <w:t>thrombocytopenia</w:t>
            </w:r>
          </w:p>
        </w:tc>
        <w:tc>
          <w:tcPr>
            <w:tcW w:type="dxa" w:w="2493"/>
          </w:tcPr>
          <w:p>
            <w:pPr>
              <w:spacing w:after="0"/>
            </w:pPr>
            <w:r/>
            <w:r>
              <w:rPr>
                <w:sz w:val="15"/>
              </w:rPr>
              <w:t>40</w:t>
            </w:r>
          </w:p>
        </w:tc>
        <w:tc>
          <w:tcPr>
            <w:tcW w:type="dxa" w:w="2493"/>
          </w:tcPr>
          <w:p>
            <w:pPr>
              <w:spacing w:after="0"/>
            </w:pPr>
            <w:r/>
            <w:r>
              <w:rPr>
                <w:sz w:val="15"/>
              </w:rPr>
              <w:t>0.889</w:t>
            </w:r>
          </w:p>
        </w:tc>
        <w:tc>
          <w:tcPr>
            <w:tcW w:type="dxa" w:w="2493"/>
          </w:tcPr>
          <w:p>
            <w:pPr>
              <w:spacing w:after="0"/>
            </w:pPr>
            <w:r/>
            <w:r>
              <w:rPr>
                <w:sz w:val="15"/>
              </w:rPr>
              <w:t>1.03e-31</w:t>
            </w:r>
          </w:p>
        </w:tc>
      </w:tr>
      <w:tr>
        <w:tc>
          <w:tcPr>
            <w:tcW w:type="dxa" w:w="2493"/>
          </w:tcPr>
          <w:p>
            <w:pPr>
              <w:spacing w:after="0"/>
            </w:pPr>
            <w:r/>
            <w:r>
              <w:rPr>
                <w:sz w:val="15"/>
              </w:rPr>
              <w:t>hypomagnesemia</w:t>
            </w:r>
          </w:p>
        </w:tc>
        <w:tc>
          <w:tcPr>
            <w:tcW w:type="dxa" w:w="2493"/>
          </w:tcPr>
          <w:p>
            <w:pPr>
              <w:spacing w:after="0"/>
            </w:pPr>
            <w:r/>
            <w:r>
              <w:rPr>
                <w:sz w:val="15"/>
              </w:rPr>
              <w:t>37</w:t>
            </w:r>
          </w:p>
        </w:tc>
        <w:tc>
          <w:tcPr>
            <w:tcW w:type="dxa" w:w="2493"/>
          </w:tcPr>
          <w:p>
            <w:pPr>
              <w:spacing w:after="0"/>
            </w:pPr>
            <w:r/>
            <w:r>
              <w:rPr>
                <w:sz w:val="15"/>
              </w:rPr>
              <w:t>0.673</w:t>
            </w:r>
          </w:p>
        </w:tc>
        <w:tc>
          <w:tcPr>
            <w:tcW w:type="dxa" w:w="2493"/>
          </w:tcPr>
          <w:p>
            <w:pPr>
              <w:spacing w:after="0"/>
            </w:pPr>
            <w:r/>
            <w:r>
              <w:rPr>
                <w:sz w:val="15"/>
              </w:rPr>
              <w:t>1.42e-06</w:t>
            </w:r>
          </w:p>
        </w:tc>
      </w:tr>
      <w:tr>
        <w:tc>
          <w:tcPr>
            <w:tcW w:type="dxa" w:w="2493"/>
          </w:tcPr>
          <w:p>
            <w:pPr>
              <w:spacing w:after="0"/>
            </w:pPr>
            <w:r/>
            <w:r>
              <w:rPr>
                <w:sz w:val="15"/>
              </w:rPr>
              <w:t>alcohol_withdrawal</w:t>
            </w:r>
          </w:p>
        </w:tc>
        <w:tc>
          <w:tcPr>
            <w:tcW w:type="dxa" w:w="2493"/>
          </w:tcPr>
          <w:p>
            <w:pPr>
              <w:spacing w:after="0"/>
            </w:pPr>
            <w:r/>
            <w:r>
              <w:rPr>
                <w:sz w:val="15"/>
              </w:rPr>
              <w:t>33</w:t>
            </w:r>
          </w:p>
        </w:tc>
        <w:tc>
          <w:tcPr>
            <w:tcW w:type="dxa" w:w="2493"/>
          </w:tcPr>
          <w:p>
            <w:pPr>
              <w:spacing w:after="0"/>
            </w:pPr>
            <w:r/>
            <w:r>
              <w:rPr>
                <w:sz w:val="15"/>
              </w:rPr>
              <w:t>0.652</w:t>
            </w:r>
          </w:p>
        </w:tc>
        <w:tc>
          <w:tcPr>
            <w:tcW w:type="dxa" w:w="2493"/>
          </w:tcPr>
          <w:p>
            <w:pPr>
              <w:spacing w:after="0"/>
            </w:pPr>
            <w:r/>
            <w:r>
              <w:rPr>
                <w:sz w:val="15"/>
              </w:rPr>
              <w:t>5.67e-07</w:t>
            </w:r>
          </w:p>
        </w:tc>
      </w:tr>
      <w:tr>
        <w:tc>
          <w:tcPr>
            <w:tcW w:type="dxa" w:w="2493"/>
          </w:tcPr>
          <w:p>
            <w:pPr>
              <w:spacing w:after="0"/>
            </w:pPr>
            <w:r/>
            <w:r>
              <w:rPr>
                <w:sz w:val="15"/>
              </w:rPr>
              <w:t>coagulopathy</w:t>
            </w:r>
          </w:p>
        </w:tc>
        <w:tc>
          <w:tcPr>
            <w:tcW w:type="dxa" w:w="2493"/>
          </w:tcPr>
          <w:p>
            <w:pPr>
              <w:spacing w:after="0"/>
            </w:pPr>
            <w:r/>
            <w:r>
              <w:rPr>
                <w:sz w:val="15"/>
              </w:rPr>
              <w:t>28</w:t>
            </w:r>
          </w:p>
        </w:tc>
        <w:tc>
          <w:tcPr>
            <w:tcW w:type="dxa" w:w="2493"/>
          </w:tcPr>
          <w:p>
            <w:pPr>
              <w:spacing w:after="0"/>
            </w:pPr>
            <w:r/>
            <w:r>
              <w:rPr>
                <w:sz w:val="15"/>
              </w:rPr>
              <w:t>0.751</w:t>
            </w:r>
          </w:p>
        </w:tc>
        <w:tc>
          <w:tcPr>
            <w:tcW w:type="dxa" w:w="2493"/>
          </w:tcPr>
          <w:p>
            <w:pPr>
              <w:spacing w:after="0"/>
            </w:pPr>
            <w:r/>
            <w:r>
              <w:rPr>
                <w:sz w:val="15"/>
              </w:rPr>
              <w:t>1.86e-11</w:t>
            </w:r>
          </w:p>
        </w:tc>
      </w:tr>
      <w:tr>
        <w:tc>
          <w:tcPr>
            <w:tcW w:type="dxa" w:w="2493"/>
          </w:tcPr>
          <w:p>
            <w:pPr>
              <w:spacing w:after="0"/>
            </w:pPr>
            <w:r/>
            <w:r>
              <w:rPr>
                <w:sz w:val="15"/>
              </w:rPr>
              <w:t>cirrhosis_liver_failure</w:t>
            </w:r>
          </w:p>
        </w:tc>
        <w:tc>
          <w:tcPr>
            <w:tcW w:type="dxa" w:w="2493"/>
          </w:tcPr>
          <w:p>
            <w:pPr>
              <w:spacing w:after="0"/>
            </w:pPr>
            <w:r/>
            <w:r>
              <w:rPr>
                <w:sz w:val="15"/>
              </w:rPr>
              <w:t>25</w:t>
            </w:r>
          </w:p>
        </w:tc>
        <w:tc>
          <w:tcPr>
            <w:tcW w:type="dxa" w:w="2493"/>
          </w:tcPr>
          <w:p>
            <w:pPr>
              <w:spacing w:after="0"/>
            </w:pPr>
            <w:r/>
            <w:r>
              <w:rPr>
                <w:sz w:val="15"/>
              </w:rPr>
              <w:t>0.865</w:t>
            </w:r>
          </w:p>
        </w:tc>
        <w:tc>
          <w:tcPr>
            <w:tcW w:type="dxa" w:w="2493"/>
          </w:tcPr>
          <w:p>
            <w:pPr>
              <w:spacing w:after="0"/>
            </w:pPr>
            <w:r/>
            <w:r>
              <w:rPr>
                <w:sz w:val="15"/>
              </w:rPr>
              <w:t>4.79e-14</w:t>
            </w:r>
          </w:p>
        </w:tc>
      </w:tr>
      <w:tr>
        <w:tc>
          <w:tcPr>
            <w:tcW w:type="dxa" w:w="2493"/>
          </w:tcPr>
          <w:p>
            <w:pPr>
              <w:spacing w:after="0"/>
            </w:pPr>
            <w:r/>
            <w:r>
              <w:rPr>
                <w:sz w:val="15"/>
              </w:rPr>
              <w:t>hypoglycemia</w:t>
            </w:r>
          </w:p>
        </w:tc>
        <w:tc>
          <w:tcPr>
            <w:tcW w:type="dxa" w:w="2493"/>
          </w:tcPr>
          <w:p>
            <w:pPr>
              <w:spacing w:after="0"/>
            </w:pPr>
            <w:r/>
            <w:r>
              <w:rPr>
                <w:sz w:val="15"/>
              </w:rPr>
              <w:t>21</w:t>
            </w:r>
          </w:p>
        </w:tc>
        <w:tc>
          <w:tcPr>
            <w:tcW w:type="dxa" w:w="2493"/>
          </w:tcPr>
          <w:p>
            <w:pPr>
              <w:spacing w:after="0"/>
            </w:pPr>
            <w:r/>
            <w:r>
              <w:rPr>
                <w:sz w:val="15"/>
              </w:rPr>
              <w:t>0.641</w:t>
            </w:r>
          </w:p>
        </w:tc>
        <w:tc>
          <w:tcPr>
            <w:tcW w:type="dxa" w:w="2493"/>
          </w:tcPr>
          <w:p>
            <w:pPr>
              <w:spacing w:after="0"/>
            </w:pPr>
            <w:r/>
            <w:r>
              <w:rPr>
                <w:sz w:val="15"/>
              </w:rPr>
              <w:t>1.28e-52</w:t>
            </w:r>
          </w:p>
        </w:tc>
      </w:tr>
      <w:tr>
        <w:tc>
          <w:tcPr>
            <w:tcW w:type="dxa" w:w="2493"/>
          </w:tcPr>
          <w:p>
            <w:pPr>
              <w:spacing w:after="0"/>
            </w:pPr>
            <w:r/>
            <w:r>
              <w:rPr>
                <w:sz w:val="15"/>
              </w:rPr>
              <w:t>lactic_acidosis</w:t>
            </w:r>
          </w:p>
        </w:tc>
        <w:tc>
          <w:tcPr>
            <w:tcW w:type="dxa" w:w="2493"/>
          </w:tcPr>
          <w:p>
            <w:pPr>
              <w:spacing w:after="0"/>
            </w:pPr>
            <w:r/>
            <w:r>
              <w:rPr>
                <w:sz w:val="15"/>
              </w:rPr>
              <w:t>19</w:t>
            </w:r>
          </w:p>
        </w:tc>
        <w:tc>
          <w:tcPr>
            <w:tcW w:type="dxa" w:w="2493"/>
          </w:tcPr>
          <w:p>
            <w:pPr>
              <w:spacing w:after="0"/>
            </w:pPr>
            <w:r/>
            <w:r>
              <w:rPr>
                <w:sz w:val="15"/>
              </w:rPr>
              <w:t>0.735</w:t>
            </w:r>
          </w:p>
        </w:tc>
        <w:tc>
          <w:tcPr>
            <w:tcW w:type="dxa" w:w="2493"/>
          </w:tcPr>
          <w:p>
            <w:pPr>
              <w:spacing w:after="0"/>
            </w:pPr>
            <w:r/>
            <w:r>
              <w:rPr>
                <w:sz w:val="15"/>
              </w:rPr>
              <w:t>1.97e-06</w:t>
            </w:r>
          </w:p>
        </w:tc>
      </w:tr>
      <w:tr>
        <w:tc>
          <w:tcPr>
            <w:tcW w:type="dxa" w:w="2493"/>
          </w:tcPr>
          <w:p>
            <w:pPr>
              <w:spacing w:after="0"/>
            </w:pPr>
            <w:r/>
            <w:r>
              <w:rPr>
                <w:sz w:val="15"/>
              </w:rPr>
              <w:t>acute_pancreatitis</w:t>
            </w:r>
          </w:p>
        </w:tc>
        <w:tc>
          <w:tcPr>
            <w:tcW w:type="dxa" w:w="2493"/>
          </w:tcPr>
          <w:p>
            <w:pPr>
              <w:spacing w:after="0"/>
            </w:pPr>
            <w:r/>
            <w:r>
              <w:rPr>
                <w:sz w:val="15"/>
              </w:rPr>
              <w:t>18</w:t>
            </w:r>
          </w:p>
        </w:tc>
        <w:tc>
          <w:tcPr>
            <w:tcW w:type="dxa" w:w="2493"/>
          </w:tcPr>
          <w:p>
            <w:pPr>
              <w:spacing w:after="0"/>
            </w:pPr>
            <w:r/>
            <w:r>
              <w:rPr>
                <w:sz w:val="15"/>
              </w:rPr>
              <w:t>0.733</w:t>
            </w:r>
          </w:p>
        </w:tc>
        <w:tc>
          <w:tcPr>
            <w:tcW w:type="dxa" w:w="2493"/>
          </w:tcPr>
          <w:p>
            <w:pPr>
              <w:spacing w:after="0"/>
            </w:pPr>
            <w:r/>
            <w:r>
              <w:rPr>
                <w:sz w:val="15"/>
              </w:rPr>
              <w:t>8.08e-06</w:t>
            </w:r>
          </w:p>
        </w:tc>
      </w:tr>
      <w:tr>
        <w:tc>
          <w:tcPr>
            <w:tcW w:type="dxa" w:w="2493"/>
          </w:tcPr>
          <w:p>
            <w:pPr>
              <w:spacing w:after="0"/>
            </w:pPr>
            <w:r/>
            <w:r>
              <w:rPr>
                <w:sz w:val="15"/>
              </w:rPr>
              <w:t>malnutrition</w:t>
            </w:r>
          </w:p>
        </w:tc>
        <w:tc>
          <w:tcPr>
            <w:tcW w:type="dxa" w:w="2493"/>
          </w:tcPr>
          <w:p>
            <w:pPr>
              <w:spacing w:after="0"/>
            </w:pPr>
            <w:r/>
            <w:r>
              <w:rPr>
                <w:sz w:val="15"/>
              </w:rPr>
              <w:t>16</w:t>
            </w:r>
          </w:p>
        </w:tc>
        <w:tc>
          <w:tcPr>
            <w:tcW w:type="dxa" w:w="2493"/>
          </w:tcPr>
          <w:p>
            <w:pPr>
              <w:spacing w:after="0"/>
            </w:pPr>
            <w:r/>
            <w:r>
              <w:rPr>
                <w:sz w:val="15"/>
              </w:rPr>
              <w:t>0.515</w:t>
            </w:r>
          </w:p>
        </w:tc>
        <w:tc>
          <w:tcPr>
            <w:tcW w:type="dxa" w:w="2493"/>
          </w:tcPr>
          <w:p>
            <w:pPr>
              <w:spacing w:after="0"/>
            </w:pPr>
            <w:r/>
            <w:r>
              <w:rPr>
                <w:sz w:val="15"/>
              </w:rPr>
              <w:t>8.33e-01</w:t>
            </w:r>
          </w:p>
        </w:tc>
      </w:tr>
      <w:tr>
        <w:tc>
          <w:tcPr>
            <w:tcW w:type="dxa" w:w="2493"/>
          </w:tcPr>
          <w:p>
            <w:pPr>
              <w:spacing w:after="0"/>
            </w:pPr>
            <w:r/>
            <w:r>
              <w:rPr>
                <w:sz w:val="15"/>
              </w:rPr>
              <w:t>hypernatremia</w:t>
            </w:r>
          </w:p>
        </w:tc>
        <w:tc>
          <w:tcPr>
            <w:tcW w:type="dxa" w:w="2493"/>
          </w:tcPr>
          <w:p>
            <w:pPr>
              <w:spacing w:after="0"/>
            </w:pPr>
            <w:r/>
            <w:r>
              <w:rPr>
                <w:sz w:val="15"/>
              </w:rPr>
              <w:t>14</w:t>
            </w:r>
          </w:p>
        </w:tc>
        <w:tc>
          <w:tcPr>
            <w:tcW w:type="dxa" w:w="2493"/>
          </w:tcPr>
          <w:p>
            <w:pPr>
              <w:spacing w:after="0"/>
            </w:pPr>
            <w:r/>
            <w:r>
              <w:rPr>
                <w:sz w:val="15"/>
              </w:rPr>
              <w:t>0.883</w:t>
            </w:r>
          </w:p>
        </w:tc>
        <w:tc>
          <w:tcPr>
            <w:tcW w:type="dxa" w:w="2493"/>
          </w:tcPr>
          <w:p>
            <w:pPr>
              <w:spacing w:after="0"/>
            </w:pPr>
            <w:r/>
            <w:r>
              <w:rPr>
                <w:sz w:val="15"/>
              </w:rPr>
              <w:t>6.04e-49</w:t>
            </w:r>
          </w:p>
        </w:tc>
      </w:tr>
      <w:tr>
        <w:tc>
          <w:tcPr>
            <w:tcW w:type="dxa" w:w="2493"/>
          </w:tcPr>
          <w:p>
            <w:pPr>
              <w:spacing w:after="0"/>
            </w:pPr>
            <w:r/>
            <w:r>
              <w:rPr>
                <w:sz w:val="15"/>
              </w:rPr>
              <w:t>rhabdomyolysis</w:t>
            </w:r>
          </w:p>
        </w:tc>
        <w:tc>
          <w:tcPr>
            <w:tcW w:type="dxa" w:w="2493"/>
          </w:tcPr>
          <w:p>
            <w:pPr>
              <w:spacing w:after="0"/>
            </w:pPr>
            <w:r/>
            <w:r>
              <w:rPr>
                <w:sz w:val="15"/>
              </w:rPr>
              <w:t>11</w:t>
            </w:r>
          </w:p>
        </w:tc>
        <w:tc>
          <w:tcPr>
            <w:tcW w:type="dxa" w:w="2493"/>
          </w:tcPr>
          <w:p>
            <w:pPr>
              <w:spacing w:after="0"/>
            </w:pPr>
            <w:r/>
            <w:r>
              <w:rPr>
                <w:sz w:val="15"/>
              </w:rPr>
              <w:t>0.919</w:t>
            </w:r>
          </w:p>
        </w:tc>
        <w:tc>
          <w:tcPr>
            <w:tcW w:type="dxa" w:w="2493"/>
          </w:tcPr>
          <w:p>
            <w:pPr>
              <w:spacing w:after="0"/>
            </w:pPr>
            <w:r/>
            <w:r>
              <w:rPr>
                <w:sz w:val="15"/>
              </w:rPr>
              <w:t>9.60e-09</w:t>
            </w:r>
          </w:p>
        </w:tc>
      </w:tr>
      <w:tr>
        <w:tc>
          <w:tcPr>
            <w:tcW w:type="dxa" w:w="2493"/>
          </w:tcPr>
          <w:p>
            <w:pPr>
              <w:spacing w:after="0"/>
            </w:pPr>
            <w:r/>
            <w:r>
              <w:rPr>
                <w:sz w:val="15"/>
              </w:rPr>
              <w:t>hypocalcemia</w:t>
            </w:r>
          </w:p>
        </w:tc>
        <w:tc>
          <w:tcPr>
            <w:tcW w:type="dxa" w:w="2493"/>
          </w:tcPr>
          <w:p>
            <w:pPr>
              <w:spacing w:after="0"/>
            </w:pPr>
            <w:r/>
            <w:r>
              <w:rPr>
                <w:sz w:val="15"/>
              </w:rPr>
              <w:t>10</w:t>
            </w:r>
          </w:p>
        </w:tc>
        <w:tc>
          <w:tcPr>
            <w:tcW w:type="dxa" w:w="2493"/>
          </w:tcPr>
          <w:p>
            <w:pPr>
              <w:spacing w:after="0"/>
            </w:pPr>
            <w:r/>
            <w:r>
              <w:rPr>
                <w:sz w:val="15"/>
              </w:rPr>
              <w:t>0.627</w:t>
            </w:r>
          </w:p>
        </w:tc>
        <w:tc>
          <w:tcPr>
            <w:tcW w:type="dxa" w:w="2493"/>
          </w:tcPr>
          <w:p>
            <w:pPr>
              <w:spacing w:after="0"/>
            </w:pPr>
            <w:r/>
            <w:r>
              <w:rPr>
                <w:sz w:val="15"/>
              </w:rPr>
              <w:t>1.19e-01</w:t>
            </w:r>
          </w:p>
        </w:tc>
      </w:tr>
      <w:tr>
        <w:tc>
          <w:tcPr>
            <w:tcW w:type="dxa" w:w="2493"/>
          </w:tcPr>
          <w:p>
            <w:pPr>
              <w:spacing w:after="0"/>
            </w:pPr>
            <w:r/>
            <w:r>
              <w:rPr>
                <w:sz w:val="15"/>
              </w:rPr>
              <w:t>hypothyroidism</w:t>
            </w:r>
          </w:p>
        </w:tc>
        <w:tc>
          <w:tcPr>
            <w:tcW w:type="dxa" w:w="2493"/>
          </w:tcPr>
          <w:p>
            <w:pPr>
              <w:spacing w:after="0"/>
            </w:pPr>
            <w:r/>
            <w:r>
              <w:rPr>
                <w:sz w:val="15"/>
              </w:rPr>
              <w:t>10</w:t>
            </w:r>
          </w:p>
        </w:tc>
        <w:tc>
          <w:tcPr>
            <w:tcW w:type="dxa" w:w="2493"/>
          </w:tcPr>
          <w:p>
            <w:pPr>
              <w:spacing w:after="0"/>
            </w:pPr>
            <w:r/>
            <w:r>
              <w:rPr>
                <w:sz w:val="15"/>
              </w:rPr>
              <w:t>0.684</w:t>
            </w:r>
          </w:p>
        </w:tc>
        <w:tc>
          <w:tcPr>
            <w:tcW w:type="dxa" w:w="2493"/>
          </w:tcPr>
          <w:p>
            <w:pPr>
              <w:spacing w:after="0"/>
            </w:pPr>
            <w:r/>
            <w:r>
              <w:rPr>
                <w:sz w:val="15"/>
              </w:rPr>
              <w:t>1.37e-03</w:t>
            </w:r>
          </w:p>
        </w:tc>
      </w:tr>
      <w:tr>
        <w:tc>
          <w:tcPr>
            <w:tcW w:type="dxa" w:w="2493"/>
          </w:tcPr>
          <w:p>
            <w:pPr>
              <w:spacing w:after="0"/>
            </w:pPr>
            <w:r/>
            <w:r>
              <w:rPr>
                <w:sz w:val="15"/>
              </w:rPr>
              <w:t>≥ 8</w:t>
            </w:r>
          </w:p>
        </w:tc>
        <w:tc>
          <w:tcPr>
            <w:tcW w:type="dxa" w:w="2493"/>
          </w:tcPr>
          <w:p>
            <w:pPr>
              <w:spacing w:after="0"/>
            </w:pPr>
            <w:r/>
            <w:r>
              <w:rPr>
                <w:sz w:val="15"/>
              </w:rPr>
              <w:t>2314</w:t>
            </w:r>
          </w:p>
        </w:tc>
        <w:tc>
          <w:tcPr>
            <w:tcW w:type="dxa" w:w="2493"/>
          </w:tcPr>
          <w:p>
            <w:pPr>
              <w:spacing w:after="0"/>
            </w:pPr>
            <w:r/>
            <w:r>
              <w:rPr>
                <w:sz w:val="15"/>
              </w:rPr>
              <w:t>2432</w:t>
            </w:r>
          </w:p>
        </w:tc>
        <w:tc>
          <w:tcPr>
            <w:tcW w:type="dxa" w:w="2493"/>
          </w:tcPr>
          <w:p>
            <w:pPr>
              <w:spacing w:after="0"/>
            </w:pPr>
            <w:r/>
            <w:r>
              <w:rPr>
                <w:sz w:val="15"/>
              </w:rPr>
              <w:t>47.9</w:t>
            </w:r>
          </w:p>
        </w:tc>
      </w:tr>
      <w:tr>
        <w:tc>
          <w:tcPr>
            <w:tcW w:type="dxa" w:w="2493"/>
          </w:tcPr>
          <w:p>
            <w:pPr>
              <w:spacing w:after="0"/>
            </w:pPr>
            <w:r/>
            <w:r>
              <w:rPr>
                <w:sz w:val="15"/>
              </w:rPr>
              <w:t>≥ 10</w:t>
            </w:r>
          </w:p>
        </w:tc>
        <w:tc>
          <w:tcPr>
            <w:tcW w:type="dxa" w:w="2493"/>
          </w:tcPr>
          <w:p>
            <w:pPr>
              <w:spacing w:after="0"/>
            </w:pPr>
            <w:r/>
            <w:r>
              <w:rPr>
                <w:sz w:val="15"/>
              </w:rPr>
              <w:t>2269</w:t>
            </w:r>
          </w:p>
        </w:tc>
        <w:tc>
          <w:tcPr>
            <w:tcW w:type="dxa" w:w="2493"/>
          </w:tcPr>
          <w:p>
            <w:pPr>
              <w:spacing w:after="0"/>
            </w:pPr>
            <w:r/>
            <w:r>
              <w:rPr>
                <w:sz w:val="15"/>
              </w:rPr>
              <w:t>2401</w:t>
            </w:r>
          </w:p>
        </w:tc>
        <w:tc>
          <w:tcPr>
            <w:tcW w:type="dxa" w:w="2493"/>
          </w:tcPr>
          <w:p>
            <w:pPr>
              <w:spacing w:after="0"/>
            </w:pPr>
            <w:r/>
            <w:r>
              <w:rPr>
                <w:sz w:val="15"/>
              </w:rPr>
              <w:t>47.6</w:t>
            </w:r>
          </w:p>
        </w:tc>
      </w:tr>
      <w:tr>
        <w:tc>
          <w:tcPr>
            <w:tcW w:type="dxa" w:w="2493"/>
          </w:tcPr>
          <w:p>
            <w:pPr>
              <w:spacing w:after="0"/>
            </w:pPr>
            <w:r/>
            <w:r>
              <w:rPr>
                <w:sz w:val="15"/>
              </w:rPr>
              <w:t>≥ 12</w:t>
            </w:r>
          </w:p>
        </w:tc>
        <w:tc>
          <w:tcPr>
            <w:tcW w:type="dxa" w:w="2493"/>
          </w:tcPr>
          <w:p>
            <w:pPr>
              <w:spacing w:after="0"/>
            </w:pPr>
            <w:r/>
            <w:r>
              <w:rPr>
                <w:sz w:val="15"/>
              </w:rPr>
              <w:t>2236</w:t>
            </w:r>
          </w:p>
        </w:tc>
        <w:tc>
          <w:tcPr>
            <w:tcW w:type="dxa" w:w="2493"/>
          </w:tcPr>
          <w:p>
            <w:pPr>
              <w:spacing w:after="0"/>
            </w:pPr>
            <w:r/>
            <w:r>
              <w:rPr>
                <w:sz w:val="15"/>
              </w:rPr>
              <w:t>2389</w:t>
            </w:r>
          </w:p>
        </w:tc>
        <w:tc>
          <w:tcPr>
            <w:tcW w:type="dxa" w:w="2493"/>
          </w:tcPr>
          <w:p>
            <w:pPr>
              <w:spacing w:after="0"/>
            </w:pPr>
            <w:r/>
            <w:r>
              <w:rPr>
                <w:sz w:val="15"/>
              </w:rPr>
              <w:t>47.4</w:t>
            </w:r>
          </w:p>
        </w:tc>
      </w:tr>
      <w:tr>
        <w:tc>
          <w:tcPr>
            <w:tcW w:type="dxa" w:w="2493"/>
          </w:tcPr>
          <w:p>
            <w:pPr>
              <w:spacing w:after="0"/>
            </w:pPr>
            <w:r/>
            <w:r>
              <w:rPr>
                <w:sz w:val="15"/>
              </w:rPr>
              <w:t>≥ 16</w:t>
            </w:r>
          </w:p>
        </w:tc>
        <w:tc>
          <w:tcPr>
            <w:tcW w:type="dxa" w:w="2493"/>
          </w:tcPr>
          <w:p>
            <w:pPr>
              <w:spacing w:after="0"/>
            </w:pPr>
            <w:r/>
            <w:r>
              <w:rPr>
                <w:sz w:val="15"/>
              </w:rPr>
              <w:t>2186</w:t>
            </w:r>
          </w:p>
        </w:tc>
        <w:tc>
          <w:tcPr>
            <w:tcW w:type="dxa" w:w="2493"/>
          </w:tcPr>
          <w:p>
            <w:pPr>
              <w:spacing w:after="0"/>
            </w:pPr>
            <w:r/>
            <w:r>
              <w:rPr>
                <w:sz w:val="15"/>
              </w:rPr>
              <w:t>2349</w:t>
            </w:r>
          </w:p>
        </w:tc>
        <w:tc>
          <w:tcPr>
            <w:tcW w:type="dxa" w:w="2493"/>
          </w:tcPr>
          <w:p>
            <w:pPr>
              <w:spacing w:after="0"/>
            </w:pPr>
            <w:r/>
            <w:r>
              <w:rPr>
                <w:sz w:val="15"/>
              </w:rPr>
              <w:t>47.3</w:t>
            </w:r>
          </w:p>
        </w:tc>
      </w:tr>
      <w:tr>
        <w:tc>
          <w:tcPr>
            <w:tcW w:type="dxa" w:w="2493"/>
          </w:tcPr>
          <w:p>
            <w:pPr>
              <w:spacing w:after="0"/>
            </w:pPr>
            <w:r/>
            <w:r>
              <w:rPr>
                <w:sz w:val="15"/>
              </w:rPr>
              <w:t>≥ 20</w:t>
            </w:r>
          </w:p>
        </w:tc>
        <w:tc>
          <w:tcPr>
            <w:tcW w:type="dxa" w:w="2493"/>
          </w:tcPr>
          <w:p>
            <w:pPr>
              <w:spacing w:after="0"/>
            </w:pPr>
            <w:r/>
            <w:r>
              <w:rPr>
                <w:sz w:val="15"/>
              </w:rPr>
              <w:t>2099</w:t>
            </w:r>
          </w:p>
        </w:tc>
        <w:tc>
          <w:tcPr>
            <w:tcW w:type="dxa" w:w="2493"/>
          </w:tcPr>
          <w:p>
            <w:pPr>
              <w:spacing w:after="0"/>
            </w:pPr>
            <w:r/>
            <w:r>
              <w:rPr>
                <w:sz w:val="15"/>
              </w:rPr>
              <w:t>2294</w:t>
            </w:r>
          </w:p>
        </w:tc>
        <w:tc>
          <w:tcPr>
            <w:tcW w:type="dxa" w:w="2493"/>
          </w:tcPr>
          <w:p>
            <w:pPr>
              <w:spacing w:after="0"/>
            </w:pPr>
            <w:r/>
            <w:r>
              <w:rPr>
                <w:sz w:val="15"/>
              </w:rPr>
              <w:t>47.1</w:t>
            </w:r>
          </w:p>
        </w:tc>
      </w:tr>
      <w:tr>
        <w:tc>
          <w:tcPr>
            <w:tcW w:type="dxa" w:w="2493"/>
          </w:tcPr>
          <w:p>
            <w:pPr>
              <w:spacing w:after="0"/>
            </w:pPr>
            <w:r/>
            <w:r>
              <w:rPr>
                <w:sz w:val="15"/>
              </w:rPr>
              <w:t>≥ 25</w:t>
            </w:r>
          </w:p>
        </w:tc>
        <w:tc>
          <w:tcPr>
            <w:tcW w:type="dxa" w:w="2493"/>
          </w:tcPr>
          <w:p>
            <w:pPr>
              <w:spacing w:after="0"/>
            </w:pPr>
            <w:r/>
            <w:r>
              <w:rPr>
                <w:sz w:val="15"/>
              </w:rPr>
              <w:t>1829</w:t>
            </w:r>
          </w:p>
        </w:tc>
        <w:tc>
          <w:tcPr>
            <w:tcW w:type="dxa" w:w="2493"/>
          </w:tcPr>
          <w:p>
            <w:pPr>
              <w:spacing w:after="0"/>
            </w:pPr>
            <w:r/>
            <w:r>
              <w:rPr>
                <w:sz w:val="15"/>
              </w:rPr>
              <w:t>2090</w:t>
            </w:r>
          </w:p>
        </w:tc>
        <w:tc>
          <w:tcPr>
            <w:tcW w:type="dxa" w:w="2493"/>
          </w:tcPr>
          <w:p>
            <w:pPr>
              <w:spacing w:after="0"/>
            </w:pPr>
            <w:r/>
            <w:r>
              <w:rPr>
                <w:sz w:val="15"/>
              </w:rPr>
              <w:t>46.2</w:t>
            </w:r>
          </w:p>
        </w:tc>
      </w:tr>
      <w:tr>
        <w:tc>
          <w:tcPr>
            <w:tcW w:type="dxa" w:w="2493"/>
          </w:tcPr>
          <w:p>
            <w:pPr>
              <w:spacing w:after="0"/>
            </w:pPr>
            <w:r/>
            <w:r>
              <w:rPr>
                <w:sz w:val="15"/>
              </w:rPr>
              <w:t>diabetes</w:t>
            </w:r>
          </w:p>
        </w:tc>
        <w:tc>
          <w:tcPr>
            <w:tcW w:type="dxa" w:w="2493"/>
          </w:tcPr>
          <w:p>
            <w:pPr>
              <w:spacing w:after="0"/>
            </w:pPr>
            <w:r/>
            <w:r>
              <w:rPr>
                <w:sz w:val="15"/>
              </w:rPr>
              <w:t>J 2017–18</w:t>
            </w:r>
          </w:p>
        </w:tc>
        <w:tc>
          <w:tcPr>
            <w:tcW w:type="dxa" w:w="2493"/>
          </w:tcPr>
          <w:p>
            <w:pPr>
              <w:spacing w:after="0"/>
            </w:pPr>
            <w:r/>
            <w:r>
              <w:rPr>
                <w:sz w:val="15"/>
              </w:rPr>
              <w:t>2996 (605)</w:t>
            </w:r>
          </w:p>
        </w:tc>
        <w:tc>
          <w:tcPr>
            <w:tcW w:type="dxa" w:w="2493"/>
          </w:tcPr>
          <w:p>
            <w:pPr>
              <w:spacing w:after="0"/>
            </w:pPr>
            <w:r/>
            <w:r>
              <w:rPr>
                <w:sz w:val="15"/>
              </w:rPr>
              <w:t>0.946</w:t>
            </w:r>
          </w:p>
        </w:tc>
      </w:tr>
      <w:tr>
        <w:tc>
          <w:tcPr>
            <w:tcW w:type="dxa" w:w="2493"/>
          </w:tcPr>
          <w:p>
            <w:pPr>
              <w:spacing w:after="0"/>
            </w:pPr>
            <w:r/>
            <w:r>
              <w:rPr>
                <w:sz w:val="15"/>
              </w:rPr>
              <w:t>diabetes_selfreport</w:t>
            </w:r>
          </w:p>
        </w:tc>
        <w:tc>
          <w:tcPr>
            <w:tcW w:type="dxa" w:w="2493"/>
          </w:tcPr>
          <w:p>
            <w:pPr>
              <w:spacing w:after="0"/>
            </w:pPr>
            <w:r/>
            <w:r>
              <w:rPr>
                <w:sz w:val="15"/>
              </w:rPr>
              <w:t>J 2017–18</w:t>
            </w:r>
          </w:p>
        </w:tc>
        <w:tc>
          <w:tcPr>
            <w:tcW w:type="dxa" w:w="2493"/>
          </w:tcPr>
          <w:p>
            <w:pPr>
              <w:spacing w:after="0"/>
            </w:pPr>
            <w:r/>
            <w:r>
              <w:rPr>
                <w:sz w:val="15"/>
              </w:rPr>
              <w:t>2916 (460)</w:t>
            </w:r>
          </w:p>
        </w:tc>
        <w:tc>
          <w:tcPr>
            <w:tcW w:type="dxa" w:w="2493"/>
          </w:tcPr>
          <w:p>
            <w:pPr>
              <w:spacing w:after="0"/>
            </w:pPr>
            <w:r/>
            <w:r>
              <w:rPr>
                <w:sz w:val="15"/>
              </w:rPr>
              <w:t>0.919</w:t>
            </w:r>
          </w:p>
        </w:tc>
      </w:tr>
      <w:tr>
        <w:tc>
          <w:tcPr>
            <w:tcW w:type="dxa" w:w="2493"/>
          </w:tcPr>
          <w:p>
            <w:pPr>
              <w:spacing w:after="0"/>
            </w:pPr>
            <w:r/>
            <w:r>
              <w:rPr>
                <w:sz w:val="15"/>
              </w:rPr>
              <w:t>ckd</w:t>
            </w:r>
          </w:p>
        </w:tc>
        <w:tc>
          <w:tcPr>
            <w:tcW w:type="dxa" w:w="2493"/>
          </w:tcPr>
          <w:p>
            <w:pPr>
              <w:spacing w:after="0"/>
            </w:pPr>
            <w:r/>
            <w:r>
              <w:rPr>
                <w:sz w:val="15"/>
              </w:rPr>
              <w:t>J 2017–18</w:t>
            </w:r>
          </w:p>
        </w:tc>
        <w:tc>
          <w:tcPr>
            <w:tcW w:type="dxa" w:w="2493"/>
          </w:tcPr>
          <w:p>
            <w:pPr>
              <w:spacing w:after="0"/>
            </w:pPr>
            <w:r/>
            <w:r>
              <w:rPr>
                <w:sz w:val="15"/>
              </w:rPr>
              <w:t>2952 (556)</w:t>
            </w:r>
          </w:p>
        </w:tc>
        <w:tc>
          <w:tcPr>
            <w:tcW w:type="dxa" w:w="2493"/>
          </w:tcPr>
          <w:p>
            <w:pPr>
              <w:spacing w:after="0"/>
            </w:pPr>
            <w:r/>
            <w:r>
              <w:rPr>
                <w:sz w:val="15"/>
              </w:rPr>
              <w:t>0.959</w:t>
            </w:r>
          </w:p>
        </w:tc>
      </w:tr>
      <w:tr>
        <w:tc>
          <w:tcPr>
            <w:tcW w:type="dxa" w:w="2493"/>
          </w:tcPr>
          <w:p>
            <w:pPr>
              <w:spacing w:after="0"/>
            </w:pPr>
            <w:r/>
            <w:r>
              <w:rPr>
                <w:sz w:val="15"/>
              </w:rPr>
              <w:t>ckd_selfreport</w:t>
            </w:r>
          </w:p>
        </w:tc>
        <w:tc>
          <w:tcPr>
            <w:tcW w:type="dxa" w:w="2493"/>
          </w:tcPr>
          <w:p>
            <w:pPr>
              <w:spacing w:after="0"/>
            </w:pPr>
            <w:r/>
            <w:r>
              <w:rPr>
                <w:sz w:val="15"/>
              </w:rPr>
              <w:t>J 2017–18</w:t>
            </w:r>
          </w:p>
        </w:tc>
        <w:tc>
          <w:tcPr>
            <w:tcW w:type="dxa" w:w="2493"/>
          </w:tcPr>
          <w:p>
            <w:pPr>
              <w:spacing w:after="0"/>
            </w:pPr>
            <w:r/>
            <w:r>
              <w:rPr>
                <w:sz w:val="15"/>
              </w:rPr>
              <w:t>2843 (131)</w:t>
            </w:r>
          </w:p>
        </w:tc>
        <w:tc>
          <w:tcPr>
            <w:tcW w:type="dxa" w:w="2493"/>
          </w:tcPr>
          <w:p>
            <w:pPr>
              <w:spacing w:after="0"/>
            </w:pPr>
            <w:r/>
            <w:r>
              <w:rPr>
                <w:sz w:val="15"/>
              </w:rPr>
              <w:t>0.816</w:t>
            </w:r>
          </w:p>
        </w:tc>
      </w:tr>
      <w:tr>
        <w:tc>
          <w:tcPr>
            <w:tcW w:type="dxa" w:w="2493"/>
          </w:tcPr>
          <w:p>
            <w:pPr>
              <w:spacing w:after="0"/>
            </w:pPr>
            <w:r/>
            <w:r>
              <w:rPr>
                <w:sz w:val="15"/>
              </w:rPr>
              <w:t>anemia</w:t>
            </w:r>
          </w:p>
        </w:tc>
        <w:tc>
          <w:tcPr>
            <w:tcW w:type="dxa" w:w="2493"/>
          </w:tcPr>
          <w:p>
            <w:pPr>
              <w:spacing w:after="0"/>
            </w:pPr>
            <w:r/>
            <w:r>
              <w:rPr>
                <w:sz w:val="15"/>
              </w:rPr>
              <w:t>J 2017–18</w:t>
            </w:r>
          </w:p>
        </w:tc>
        <w:tc>
          <w:tcPr>
            <w:tcW w:type="dxa" w:w="2493"/>
          </w:tcPr>
          <w:p>
            <w:pPr>
              <w:spacing w:after="0"/>
            </w:pPr>
            <w:r/>
            <w:r>
              <w:rPr>
                <w:sz w:val="15"/>
              </w:rPr>
              <w:t>3000 (306)</w:t>
            </w:r>
          </w:p>
        </w:tc>
        <w:tc>
          <w:tcPr>
            <w:tcW w:type="dxa" w:w="2493"/>
          </w:tcPr>
          <w:p>
            <w:pPr>
              <w:spacing w:after="0"/>
            </w:pPr>
            <w:r/>
            <w:r>
              <w:rPr>
                <w:sz w:val="15"/>
              </w:rPr>
              <w:t>0.972</w:t>
            </w:r>
          </w:p>
        </w:tc>
      </w:tr>
      <w:tr>
        <w:tc>
          <w:tcPr>
            <w:tcW w:type="dxa" w:w="2493"/>
          </w:tcPr>
          <w:p>
            <w:pPr>
              <w:spacing w:after="0"/>
            </w:pPr>
            <w:r/>
            <w:r>
              <w:rPr>
                <w:sz w:val="15"/>
              </w:rPr>
              <w:t>iron_deficiency</w:t>
            </w:r>
          </w:p>
        </w:tc>
        <w:tc>
          <w:tcPr>
            <w:tcW w:type="dxa" w:w="2493"/>
          </w:tcPr>
          <w:p>
            <w:pPr>
              <w:spacing w:after="0"/>
            </w:pPr>
            <w:r/>
            <w:r>
              <w:rPr>
                <w:sz w:val="15"/>
              </w:rPr>
              <w:t>J 2017–18</w:t>
            </w:r>
          </w:p>
        </w:tc>
        <w:tc>
          <w:tcPr>
            <w:tcW w:type="dxa" w:w="2493"/>
          </w:tcPr>
          <w:p>
            <w:pPr>
              <w:spacing w:after="0"/>
            </w:pPr>
            <w:r/>
            <w:r>
              <w:rPr>
                <w:sz w:val="15"/>
              </w:rPr>
              <w:t>2990 (163)</w:t>
            </w:r>
          </w:p>
        </w:tc>
        <w:tc>
          <w:tcPr>
            <w:tcW w:type="dxa" w:w="2493"/>
          </w:tcPr>
          <w:p>
            <w:pPr>
              <w:spacing w:after="0"/>
            </w:pPr>
            <w:r/>
            <w:r>
              <w:rPr>
                <w:sz w:val="15"/>
              </w:rPr>
              <w:t>0.989</w:t>
            </w:r>
          </w:p>
        </w:tc>
      </w:tr>
      <w:tr>
        <w:tc>
          <w:tcPr>
            <w:tcW w:type="dxa" w:w="2493"/>
          </w:tcPr>
          <w:p>
            <w:pPr>
              <w:spacing w:after="0"/>
            </w:pPr>
            <w:r/>
            <w:r>
              <w:rPr>
                <w:sz w:val="15"/>
              </w:rPr>
              <w:t>hypercholesterolemia</w:t>
            </w:r>
          </w:p>
        </w:tc>
        <w:tc>
          <w:tcPr>
            <w:tcW w:type="dxa" w:w="2493"/>
          </w:tcPr>
          <w:p>
            <w:pPr>
              <w:spacing w:after="0"/>
            </w:pPr>
            <w:r/>
            <w:r>
              <w:rPr>
                <w:sz w:val="15"/>
              </w:rPr>
              <w:t>J 2017–18</w:t>
            </w:r>
          </w:p>
        </w:tc>
        <w:tc>
          <w:tcPr>
            <w:tcW w:type="dxa" w:w="2493"/>
          </w:tcPr>
          <w:p>
            <w:pPr>
              <w:spacing w:after="0"/>
            </w:pPr>
            <w:r/>
            <w:r>
              <w:rPr>
                <w:sz w:val="15"/>
              </w:rPr>
              <w:t>2997 (306)</w:t>
            </w:r>
          </w:p>
        </w:tc>
        <w:tc>
          <w:tcPr>
            <w:tcW w:type="dxa" w:w="2493"/>
          </w:tcPr>
          <w:p>
            <w:pPr>
              <w:spacing w:after="0"/>
            </w:pPr>
            <w:r/>
            <w:r>
              <w:rPr>
                <w:sz w:val="15"/>
              </w:rPr>
              <w:t>0.905</w:t>
            </w:r>
          </w:p>
        </w:tc>
      </w:tr>
      <w:tr>
        <w:tc>
          <w:tcPr>
            <w:tcW w:type="dxa" w:w="2493"/>
          </w:tcPr>
          <w:p>
            <w:pPr>
              <w:spacing w:after="0"/>
            </w:pPr>
            <w:r/>
            <w:r>
              <w:rPr>
                <w:sz w:val="15"/>
              </w:rPr>
              <w:t>hyperuricemia</w:t>
            </w:r>
          </w:p>
        </w:tc>
        <w:tc>
          <w:tcPr>
            <w:tcW w:type="dxa" w:w="2493"/>
          </w:tcPr>
          <w:p>
            <w:pPr>
              <w:spacing w:after="0"/>
            </w:pPr>
            <w:r/>
            <w:r>
              <w:rPr>
                <w:sz w:val="15"/>
              </w:rPr>
              <w:t>J 2017–18</w:t>
            </w:r>
          </w:p>
        </w:tc>
        <w:tc>
          <w:tcPr>
            <w:tcW w:type="dxa" w:w="2493"/>
          </w:tcPr>
          <w:p>
            <w:pPr>
              <w:spacing w:after="0"/>
            </w:pPr>
            <w:r/>
            <w:r>
              <w:rPr>
                <w:sz w:val="15"/>
              </w:rPr>
              <w:t>2999 (589)</w:t>
            </w:r>
          </w:p>
        </w:tc>
        <w:tc>
          <w:tcPr>
            <w:tcW w:type="dxa" w:w="2493"/>
          </w:tcPr>
          <w:p>
            <w:pPr>
              <w:spacing w:after="0"/>
            </w:pPr>
            <w:r/>
            <w:r>
              <w:rPr>
                <w:sz w:val="15"/>
              </w:rPr>
              <w:t>0.943</w:t>
            </w:r>
          </w:p>
        </w:tc>
      </w:tr>
      <w:tr>
        <w:tc>
          <w:tcPr>
            <w:tcW w:type="dxa" w:w="2493"/>
          </w:tcPr>
          <w:p>
            <w:pPr>
              <w:spacing w:after="0"/>
            </w:pPr>
            <w:r/>
            <w:r>
              <w:rPr>
                <w:sz w:val="15"/>
              </w:rPr>
              <w:t>alt_elevation</w:t>
            </w:r>
          </w:p>
        </w:tc>
        <w:tc>
          <w:tcPr>
            <w:tcW w:type="dxa" w:w="2493"/>
          </w:tcPr>
          <w:p>
            <w:pPr>
              <w:spacing w:after="0"/>
            </w:pPr>
            <w:r/>
            <w:r>
              <w:rPr>
                <w:sz w:val="15"/>
              </w:rPr>
              <w:t>J 2017–18</w:t>
            </w:r>
          </w:p>
        </w:tc>
        <w:tc>
          <w:tcPr>
            <w:tcW w:type="dxa" w:w="2493"/>
          </w:tcPr>
          <w:p>
            <w:pPr>
              <w:spacing w:after="0"/>
            </w:pPr>
            <w:r/>
            <w:r>
              <w:rPr>
                <w:sz w:val="15"/>
              </w:rPr>
              <w:t>3000 (535)</w:t>
            </w:r>
          </w:p>
        </w:tc>
        <w:tc>
          <w:tcPr>
            <w:tcW w:type="dxa" w:w="2493"/>
          </w:tcPr>
          <w:p>
            <w:pPr>
              <w:spacing w:after="0"/>
            </w:pPr>
            <w:r/>
            <w:r>
              <w:rPr>
                <w:sz w:val="15"/>
              </w:rPr>
              <w:t>0.872</w:t>
            </w:r>
          </w:p>
        </w:tc>
      </w:tr>
      <w:tr>
        <w:tc>
          <w:tcPr>
            <w:tcW w:type="dxa" w:w="2493"/>
          </w:tcPr>
          <w:p>
            <w:pPr>
              <w:spacing w:after="0"/>
            </w:pPr>
            <w:r/>
            <w:r>
              <w:rPr>
                <w:sz w:val="15"/>
              </w:rPr>
              <w:t>guideline-healthy adults, any disease asserted</w:t>
            </w:r>
          </w:p>
        </w:tc>
        <w:tc>
          <w:tcPr>
            <w:tcW w:type="dxa" w:w="2493"/>
          </w:tcPr>
          <w:p>
            <w:pPr>
              <w:spacing w:after="0"/>
            </w:pPr>
            <w:r/>
            <w:r>
              <w:rPr>
                <w:sz w:val="15"/>
              </w:rPr>
              <w:t>J</w:t>
            </w:r>
          </w:p>
        </w:tc>
        <w:tc>
          <w:tcPr>
            <w:tcW w:type="dxa" w:w="2493"/>
          </w:tcPr>
          <w:p>
            <w:pPr>
              <w:spacing w:after="0"/>
            </w:pPr>
            <w:r/>
            <w:r>
              <w:rPr>
                <w:sz w:val="15"/>
              </w:rPr>
              <w:t>160</w:t>
            </w:r>
          </w:p>
        </w:tc>
        <w:tc>
          <w:tcPr>
            <w:tcW w:type="dxa" w:w="2493"/>
          </w:tcPr>
          <w:p>
            <w:pPr>
              <w:spacing w:after="0"/>
            </w:pPr>
            <w:r/>
            <w:r>
              <w:rPr>
                <w:sz w:val="15"/>
              </w:rPr>
              <w:t>1/160 unweighted</w:t>
            </w:r>
          </w:p>
        </w:tc>
      </w:tr>
      <w:tr>
        <w:tc>
          <w:tcPr>
            <w:tcW w:type="dxa" w:w="2493"/>
          </w:tcPr>
          <w:p>
            <w:pPr>
              <w:spacing w:after="0"/>
            </w:pPr>
            <w:r/>
            <w:r>
              <w:rPr>
                <w:sz w:val="15"/>
              </w:rPr>
              <w:t>diabetes</w:t>
            </w:r>
          </w:p>
        </w:tc>
        <w:tc>
          <w:tcPr>
            <w:tcW w:type="dxa" w:w="2493"/>
          </w:tcPr>
          <w:p>
            <w:pPr>
              <w:spacing w:after="0"/>
            </w:pPr>
            <w:r/>
            <w:r>
              <w:rPr>
                <w:sz w:val="15"/>
              </w:rPr>
              <w:t>H 2013–14</w:t>
            </w:r>
          </w:p>
        </w:tc>
        <w:tc>
          <w:tcPr>
            <w:tcW w:type="dxa" w:w="2493"/>
          </w:tcPr>
          <w:p>
            <w:pPr>
              <w:spacing w:after="0"/>
            </w:pPr>
            <w:r/>
            <w:r>
              <w:rPr>
                <w:sz w:val="15"/>
              </w:rPr>
              <w:t>2998 (483)</w:t>
            </w:r>
          </w:p>
        </w:tc>
        <w:tc>
          <w:tcPr>
            <w:tcW w:type="dxa" w:w="2493"/>
          </w:tcPr>
          <w:p>
            <w:pPr>
              <w:spacing w:after="0"/>
            </w:pPr>
            <w:r/>
            <w:r>
              <w:rPr>
                <w:sz w:val="15"/>
              </w:rPr>
              <w:t>0.938</w:t>
            </w:r>
          </w:p>
        </w:tc>
      </w:tr>
      <w:tr>
        <w:tc>
          <w:tcPr>
            <w:tcW w:type="dxa" w:w="2493"/>
          </w:tcPr>
          <w:p>
            <w:pPr>
              <w:spacing w:after="0"/>
            </w:pPr>
            <w:r/>
            <w:r>
              <w:rPr>
                <w:sz w:val="15"/>
              </w:rPr>
              <w:t>diabetes_selfreport</w:t>
            </w:r>
          </w:p>
        </w:tc>
        <w:tc>
          <w:tcPr>
            <w:tcW w:type="dxa" w:w="2493"/>
          </w:tcPr>
          <w:p>
            <w:pPr>
              <w:spacing w:after="0"/>
            </w:pPr>
            <w:r/>
            <w:r>
              <w:rPr>
                <w:sz w:val="15"/>
              </w:rPr>
              <w:t>H 2013–14</w:t>
            </w:r>
          </w:p>
        </w:tc>
        <w:tc>
          <w:tcPr>
            <w:tcW w:type="dxa" w:w="2493"/>
          </w:tcPr>
          <w:p>
            <w:pPr>
              <w:spacing w:after="0"/>
            </w:pPr>
            <w:r/>
            <w:r>
              <w:rPr>
                <w:sz w:val="15"/>
              </w:rPr>
              <w:t>2908 (369)</w:t>
            </w:r>
          </w:p>
        </w:tc>
        <w:tc>
          <w:tcPr>
            <w:tcW w:type="dxa" w:w="2493"/>
          </w:tcPr>
          <w:p>
            <w:pPr>
              <w:spacing w:after="0"/>
            </w:pPr>
            <w:r/>
            <w:r>
              <w:rPr>
                <w:sz w:val="15"/>
              </w:rPr>
              <w:t>0.914</w:t>
            </w:r>
          </w:p>
        </w:tc>
      </w:tr>
      <w:tr>
        <w:tc>
          <w:tcPr>
            <w:tcW w:type="dxa" w:w="2493"/>
          </w:tcPr>
          <w:p>
            <w:pPr>
              <w:spacing w:after="0"/>
            </w:pPr>
            <w:r/>
            <w:r>
              <w:rPr>
                <w:sz w:val="15"/>
              </w:rPr>
              <w:t>ckd</w:t>
            </w:r>
          </w:p>
        </w:tc>
        <w:tc>
          <w:tcPr>
            <w:tcW w:type="dxa" w:w="2493"/>
          </w:tcPr>
          <w:p>
            <w:pPr>
              <w:spacing w:after="0"/>
            </w:pPr>
            <w:r/>
            <w:r>
              <w:rPr>
                <w:sz w:val="15"/>
              </w:rPr>
              <w:t>H 2013–14</w:t>
            </w:r>
          </w:p>
        </w:tc>
        <w:tc>
          <w:tcPr>
            <w:tcW w:type="dxa" w:w="2493"/>
          </w:tcPr>
          <w:p>
            <w:pPr>
              <w:spacing w:after="0"/>
            </w:pPr>
            <w:r/>
            <w:r>
              <w:rPr>
                <w:sz w:val="15"/>
              </w:rPr>
              <w:t>2958 (497)</w:t>
            </w:r>
          </w:p>
        </w:tc>
        <w:tc>
          <w:tcPr>
            <w:tcW w:type="dxa" w:w="2493"/>
          </w:tcPr>
          <w:p>
            <w:pPr>
              <w:spacing w:after="0"/>
            </w:pPr>
            <w:r/>
            <w:r>
              <w:rPr>
                <w:sz w:val="15"/>
              </w:rPr>
              <w:t>0.968</w:t>
            </w:r>
          </w:p>
        </w:tc>
      </w:tr>
      <w:tr>
        <w:tc>
          <w:tcPr>
            <w:tcW w:type="dxa" w:w="2493"/>
          </w:tcPr>
          <w:p>
            <w:pPr>
              <w:spacing w:after="0"/>
            </w:pPr>
            <w:r/>
            <w:r>
              <w:rPr>
                <w:sz w:val="15"/>
              </w:rPr>
              <w:t>ckd_selfreport</w:t>
            </w:r>
          </w:p>
        </w:tc>
        <w:tc>
          <w:tcPr>
            <w:tcW w:type="dxa" w:w="2493"/>
          </w:tcPr>
          <w:p>
            <w:pPr>
              <w:spacing w:after="0"/>
            </w:pPr>
            <w:r/>
            <w:r>
              <w:rPr>
                <w:sz w:val="15"/>
              </w:rPr>
              <w:t>H 2013–14</w:t>
            </w:r>
          </w:p>
        </w:tc>
        <w:tc>
          <w:tcPr>
            <w:tcW w:type="dxa" w:w="2493"/>
          </w:tcPr>
          <w:p>
            <w:pPr>
              <w:spacing w:after="0"/>
            </w:pPr>
            <w:r/>
            <w:r>
              <w:rPr>
                <w:sz w:val="15"/>
              </w:rPr>
              <w:t>2834 (101)</w:t>
            </w:r>
          </w:p>
        </w:tc>
        <w:tc>
          <w:tcPr>
            <w:tcW w:type="dxa" w:w="2493"/>
          </w:tcPr>
          <w:p>
            <w:pPr>
              <w:spacing w:after="0"/>
            </w:pPr>
            <w:r/>
            <w:r>
              <w:rPr>
                <w:sz w:val="15"/>
              </w:rPr>
              <w:t>0.748</w:t>
            </w:r>
          </w:p>
        </w:tc>
      </w:tr>
      <w:tr>
        <w:tc>
          <w:tcPr>
            <w:tcW w:type="dxa" w:w="2493"/>
          </w:tcPr>
          <w:p>
            <w:pPr>
              <w:spacing w:after="0"/>
            </w:pPr>
            <w:r/>
            <w:r>
              <w:rPr>
                <w:sz w:val="15"/>
              </w:rPr>
              <w:t>anemia</w:t>
            </w:r>
          </w:p>
        </w:tc>
        <w:tc>
          <w:tcPr>
            <w:tcW w:type="dxa" w:w="2493"/>
          </w:tcPr>
          <w:p>
            <w:pPr>
              <w:spacing w:after="0"/>
            </w:pPr>
            <w:r/>
            <w:r>
              <w:rPr>
                <w:sz w:val="15"/>
              </w:rPr>
              <w:t>H 2013–14</w:t>
            </w:r>
          </w:p>
        </w:tc>
        <w:tc>
          <w:tcPr>
            <w:tcW w:type="dxa" w:w="2493"/>
          </w:tcPr>
          <w:p>
            <w:pPr>
              <w:spacing w:after="0"/>
            </w:pPr>
            <w:r/>
            <w:r>
              <w:rPr>
                <w:sz w:val="15"/>
              </w:rPr>
              <w:t>3000 (295)</w:t>
            </w:r>
          </w:p>
        </w:tc>
        <w:tc>
          <w:tcPr>
            <w:tcW w:type="dxa" w:w="2493"/>
          </w:tcPr>
          <w:p>
            <w:pPr>
              <w:spacing w:after="0"/>
            </w:pPr>
            <w:r/>
            <w:r>
              <w:rPr>
                <w:sz w:val="15"/>
              </w:rPr>
              <w:t>0.994</w:t>
            </w:r>
          </w:p>
        </w:tc>
      </w:tr>
      <w:tr>
        <w:tc>
          <w:tcPr>
            <w:tcW w:type="dxa" w:w="2493"/>
          </w:tcPr>
          <w:p>
            <w:pPr>
              <w:spacing w:after="0"/>
            </w:pPr>
            <w:r/>
            <w:r>
              <w:rPr>
                <w:sz w:val="15"/>
              </w:rPr>
              <w:t>hypercholesterolemia</w:t>
            </w:r>
          </w:p>
        </w:tc>
        <w:tc>
          <w:tcPr>
            <w:tcW w:type="dxa" w:w="2493"/>
          </w:tcPr>
          <w:p>
            <w:pPr>
              <w:spacing w:after="0"/>
            </w:pPr>
            <w:r/>
            <w:r>
              <w:rPr>
                <w:sz w:val="15"/>
              </w:rPr>
              <w:t>H 2013–14</w:t>
            </w:r>
          </w:p>
        </w:tc>
        <w:tc>
          <w:tcPr>
            <w:tcW w:type="dxa" w:w="2493"/>
          </w:tcPr>
          <w:p>
            <w:pPr>
              <w:spacing w:after="0"/>
            </w:pPr>
            <w:r/>
            <w:r>
              <w:rPr>
                <w:sz w:val="15"/>
              </w:rPr>
              <w:t>3000 (312)</w:t>
            </w:r>
          </w:p>
        </w:tc>
        <w:tc>
          <w:tcPr>
            <w:tcW w:type="dxa" w:w="2493"/>
          </w:tcPr>
          <w:p>
            <w:pPr>
              <w:spacing w:after="0"/>
            </w:pPr>
            <w:r/>
            <w:r>
              <w:rPr>
                <w:sz w:val="15"/>
              </w:rPr>
              <w:t>0.884</w:t>
            </w:r>
          </w:p>
        </w:tc>
      </w:tr>
      <w:tr>
        <w:tc>
          <w:tcPr>
            <w:tcW w:type="dxa" w:w="2493"/>
          </w:tcPr>
          <w:p>
            <w:pPr>
              <w:spacing w:after="0"/>
            </w:pPr>
            <w:r/>
            <w:r>
              <w:rPr>
                <w:sz w:val="15"/>
              </w:rPr>
              <w:t>hyperuricemia</w:t>
            </w:r>
          </w:p>
        </w:tc>
        <w:tc>
          <w:tcPr>
            <w:tcW w:type="dxa" w:w="2493"/>
          </w:tcPr>
          <w:p>
            <w:pPr>
              <w:spacing w:after="0"/>
            </w:pPr>
            <w:r/>
            <w:r>
              <w:rPr>
                <w:sz w:val="15"/>
              </w:rPr>
              <w:t>H 2013–14</w:t>
            </w:r>
          </w:p>
        </w:tc>
        <w:tc>
          <w:tcPr>
            <w:tcW w:type="dxa" w:w="2493"/>
          </w:tcPr>
          <w:p>
            <w:pPr>
              <w:spacing w:after="0"/>
            </w:pPr>
            <w:r/>
            <w:r>
              <w:rPr>
                <w:sz w:val="15"/>
              </w:rPr>
              <w:t>3000 (547)</w:t>
            </w:r>
          </w:p>
        </w:tc>
        <w:tc>
          <w:tcPr>
            <w:tcW w:type="dxa" w:w="2493"/>
          </w:tcPr>
          <w:p>
            <w:pPr>
              <w:spacing w:after="0"/>
            </w:pPr>
            <w:r/>
            <w:r>
              <w:rPr>
                <w:sz w:val="15"/>
              </w:rPr>
              <w:t>0.958</w:t>
            </w:r>
          </w:p>
        </w:tc>
      </w:tr>
      <w:tr>
        <w:tc>
          <w:tcPr>
            <w:tcW w:type="dxa" w:w="2493"/>
          </w:tcPr>
          <w:p>
            <w:pPr>
              <w:spacing w:after="0"/>
            </w:pPr>
            <w:r/>
            <w:r>
              <w:rPr>
                <w:sz w:val="15"/>
              </w:rPr>
              <w:t>alt_elevation</w:t>
            </w:r>
          </w:p>
        </w:tc>
        <w:tc>
          <w:tcPr>
            <w:tcW w:type="dxa" w:w="2493"/>
          </w:tcPr>
          <w:p>
            <w:pPr>
              <w:spacing w:after="0"/>
            </w:pPr>
            <w:r/>
            <w:r>
              <w:rPr>
                <w:sz w:val="15"/>
              </w:rPr>
              <w:t>H 2013–14</w:t>
            </w:r>
          </w:p>
        </w:tc>
        <w:tc>
          <w:tcPr>
            <w:tcW w:type="dxa" w:w="2493"/>
          </w:tcPr>
          <w:p>
            <w:pPr>
              <w:spacing w:after="0"/>
            </w:pPr>
            <w:r/>
            <w:r>
              <w:rPr>
                <w:sz w:val="15"/>
              </w:rPr>
              <w:t>3000 (649)</w:t>
            </w:r>
          </w:p>
        </w:tc>
        <w:tc>
          <w:tcPr>
            <w:tcW w:type="dxa" w:w="2493"/>
          </w:tcPr>
          <w:p>
            <w:pPr>
              <w:spacing w:after="0"/>
            </w:pPr>
            <w:r/>
            <w:r>
              <w:rPr>
                <w:sz w:val="15"/>
              </w:rPr>
              <w:t>0.880</w:t>
            </w:r>
          </w:p>
        </w:tc>
      </w:tr>
      <w:tr>
        <w:tc>
          <w:tcPr>
            <w:tcW w:type="dxa" w:w="2493"/>
          </w:tcPr>
          <w:p>
            <w:pPr>
              <w:spacing w:after="0"/>
            </w:pPr>
            <w:r/>
            <w:r>
              <w:rPr>
                <w:sz w:val="15"/>
              </w:rPr>
              <w:t>guideline-healthy adults, any disease asserted</w:t>
            </w:r>
          </w:p>
        </w:tc>
        <w:tc>
          <w:tcPr>
            <w:tcW w:type="dxa" w:w="2493"/>
          </w:tcPr>
          <w:p>
            <w:pPr>
              <w:spacing w:after="0"/>
            </w:pPr>
            <w:r/>
            <w:r>
              <w:rPr>
                <w:sz w:val="15"/>
              </w:rPr>
              <w:t>H</w:t>
            </w:r>
          </w:p>
        </w:tc>
        <w:tc>
          <w:tcPr>
            <w:tcW w:type="dxa" w:w="2493"/>
          </w:tcPr>
          <w:p>
            <w:pPr>
              <w:spacing w:after="0"/>
            </w:pPr>
            <w:r/>
            <w:r>
              <w:rPr>
                <w:sz w:val="15"/>
              </w:rPr>
              <w:t>246</w:t>
            </w:r>
          </w:p>
        </w:tc>
        <w:tc>
          <w:tcPr>
            <w:tcW w:type="dxa" w:w="2493"/>
          </w:tcPr>
          <w:p>
            <w:pPr>
              <w:spacing w:after="0"/>
            </w:pPr>
            <w:r/>
            <w:r>
              <w:rPr>
                <w:sz w:val="15"/>
              </w:rPr>
              <w:t>1/246 unweighted</w:t>
            </w:r>
          </w:p>
        </w:tc>
      </w:tr>
      <w:tr>
        <w:tc>
          <w:tcPr>
            <w:tcW w:type="dxa" w:w="2493"/>
          </w:tcPr>
          <w:p>
            <w:pPr>
              <w:spacing w:after="0"/>
            </w:pPr>
            <w:r/>
            <w:r>
              <w:rPr>
                <w:sz w:val="15"/>
              </w:rPr>
              <w:t>diabetes</w:t>
            </w:r>
          </w:p>
        </w:tc>
        <w:tc>
          <w:tcPr>
            <w:tcW w:type="dxa" w:w="2493"/>
          </w:tcPr>
          <w:p>
            <w:pPr>
              <w:spacing w:after="0"/>
            </w:pPr>
            <w:r/>
            <w:r>
              <w:rPr>
                <w:sz w:val="15"/>
              </w:rPr>
              <w:t>I 2015–16</w:t>
            </w:r>
          </w:p>
        </w:tc>
        <w:tc>
          <w:tcPr>
            <w:tcW w:type="dxa" w:w="2493"/>
          </w:tcPr>
          <w:p>
            <w:pPr>
              <w:spacing w:after="0"/>
            </w:pPr>
            <w:r/>
            <w:r>
              <w:rPr>
                <w:sz w:val="15"/>
              </w:rPr>
              <w:t>2999 (563)</w:t>
            </w:r>
          </w:p>
        </w:tc>
        <w:tc>
          <w:tcPr>
            <w:tcW w:type="dxa" w:w="2493"/>
          </w:tcPr>
          <w:p>
            <w:pPr>
              <w:spacing w:after="0"/>
            </w:pPr>
            <w:r/>
            <w:r>
              <w:rPr>
                <w:sz w:val="15"/>
              </w:rPr>
              <w:t>0.924</w:t>
            </w:r>
          </w:p>
        </w:tc>
      </w:tr>
      <w:tr>
        <w:tc>
          <w:tcPr>
            <w:tcW w:type="dxa" w:w="2493"/>
          </w:tcPr>
          <w:p>
            <w:pPr>
              <w:spacing w:after="0"/>
            </w:pPr>
            <w:r/>
            <w:r>
              <w:rPr>
                <w:sz w:val="15"/>
              </w:rPr>
              <w:t>diabetes_selfreport</w:t>
            </w:r>
          </w:p>
        </w:tc>
        <w:tc>
          <w:tcPr>
            <w:tcW w:type="dxa" w:w="2493"/>
          </w:tcPr>
          <w:p>
            <w:pPr>
              <w:spacing w:after="0"/>
            </w:pPr>
            <w:r/>
            <w:r>
              <w:rPr>
                <w:sz w:val="15"/>
              </w:rPr>
              <w:t>I 2015–16</w:t>
            </w:r>
          </w:p>
        </w:tc>
        <w:tc>
          <w:tcPr>
            <w:tcW w:type="dxa" w:w="2493"/>
          </w:tcPr>
          <w:p>
            <w:pPr>
              <w:spacing w:after="0"/>
            </w:pPr>
            <w:r/>
            <w:r>
              <w:rPr>
                <w:sz w:val="15"/>
              </w:rPr>
              <w:t>2934 (431)</w:t>
            </w:r>
          </w:p>
        </w:tc>
        <w:tc>
          <w:tcPr>
            <w:tcW w:type="dxa" w:w="2493"/>
          </w:tcPr>
          <w:p>
            <w:pPr>
              <w:spacing w:after="0"/>
            </w:pPr>
            <w:r/>
            <w:r>
              <w:rPr>
                <w:sz w:val="15"/>
              </w:rPr>
              <w:t>0.898</w:t>
            </w:r>
          </w:p>
        </w:tc>
      </w:tr>
      <w:tr>
        <w:tc>
          <w:tcPr>
            <w:tcW w:type="dxa" w:w="2493"/>
          </w:tcPr>
          <w:p>
            <w:pPr>
              <w:spacing w:after="0"/>
            </w:pPr>
            <w:r/>
            <w:r>
              <w:rPr>
                <w:sz w:val="15"/>
              </w:rPr>
              <w:t>ckd</w:t>
            </w:r>
          </w:p>
        </w:tc>
        <w:tc>
          <w:tcPr>
            <w:tcW w:type="dxa" w:w="2493"/>
          </w:tcPr>
          <w:p>
            <w:pPr>
              <w:spacing w:after="0"/>
            </w:pPr>
            <w:r/>
            <w:r>
              <w:rPr>
                <w:sz w:val="15"/>
              </w:rPr>
              <w:t>I 2015–16</w:t>
            </w:r>
          </w:p>
        </w:tc>
        <w:tc>
          <w:tcPr>
            <w:tcW w:type="dxa" w:w="2493"/>
          </w:tcPr>
          <w:p>
            <w:pPr>
              <w:spacing w:after="0"/>
            </w:pPr>
            <w:r/>
            <w:r>
              <w:rPr>
                <w:sz w:val="15"/>
              </w:rPr>
              <w:t>2960 (478)</w:t>
            </w:r>
          </w:p>
        </w:tc>
        <w:tc>
          <w:tcPr>
            <w:tcW w:type="dxa" w:w="2493"/>
          </w:tcPr>
          <w:p>
            <w:pPr>
              <w:spacing w:after="0"/>
            </w:pPr>
            <w:r/>
            <w:r>
              <w:rPr>
                <w:sz w:val="15"/>
              </w:rPr>
              <w:t>0.962</w:t>
            </w:r>
          </w:p>
        </w:tc>
      </w:tr>
      <w:tr>
        <w:tc>
          <w:tcPr>
            <w:tcW w:type="dxa" w:w="2493"/>
          </w:tcPr>
          <w:p>
            <w:pPr>
              <w:spacing w:after="0"/>
            </w:pPr>
            <w:r/>
            <w:r>
              <w:rPr>
                <w:sz w:val="15"/>
              </w:rPr>
              <w:t>ckd_selfreport</w:t>
            </w:r>
          </w:p>
        </w:tc>
        <w:tc>
          <w:tcPr>
            <w:tcW w:type="dxa" w:w="2493"/>
          </w:tcPr>
          <w:p>
            <w:pPr>
              <w:spacing w:after="0"/>
            </w:pPr>
            <w:r/>
            <w:r>
              <w:rPr>
                <w:sz w:val="15"/>
              </w:rPr>
              <w:t>I 2015–16</w:t>
            </w:r>
          </w:p>
        </w:tc>
        <w:tc>
          <w:tcPr>
            <w:tcW w:type="dxa" w:w="2493"/>
          </w:tcPr>
          <w:p>
            <w:pPr>
              <w:spacing w:after="0"/>
            </w:pPr>
            <w:r/>
            <w:r>
              <w:rPr>
                <w:sz w:val="15"/>
              </w:rPr>
              <w:t>2875 (116)</w:t>
            </w:r>
          </w:p>
        </w:tc>
        <w:tc>
          <w:tcPr>
            <w:tcW w:type="dxa" w:w="2493"/>
          </w:tcPr>
          <w:p>
            <w:pPr>
              <w:spacing w:after="0"/>
            </w:pPr>
            <w:r/>
            <w:r>
              <w:rPr>
                <w:sz w:val="15"/>
              </w:rPr>
              <w:t>0.799</w:t>
            </w:r>
          </w:p>
        </w:tc>
      </w:tr>
      <w:tr>
        <w:tc>
          <w:tcPr>
            <w:tcW w:type="dxa" w:w="2493"/>
          </w:tcPr>
          <w:p>
            <w:pPr>
              <w:spacing w:after="0"/>
            </w:pPr>
            <w:r/>
            <w:r>
              <w:rPr>
                <w:sz w:val="15"/>
              </w:rPr>
              <w:t>anemia</w:t>
            </w:r>
          </w:p>
        </w:tc>
        <w:tc>
          <w:tcPr>
            <w:tcW w:type="dxa" w:w="2493"/>
          </w:tcPr>
          <w:p>
            <w:pPr>
              <w:spacing w:after="0"/>
            </w:pPr>
            <w:r/>
            <w:r>
              <w:rPr>
                <w:sz w:val="15"/>
              </w:rPr>
              <w:t>I 2015–16</w:t>
            </w:r>
          </w:p>
        </w:tc>
        <w:tc>
          <w:tcPr>
            <w:tcW w:type="dxa" w:w="2493"/>
          </w:tcPr>
          <w:p>
            <w:pPr>
              <w:spacing w:after="0"/>
            </w:pPr>
            <w:r/>
            <w:r>
              <w:rPr>
                <w:sz w:val="15"/>
              </w:rPr>
              <w:t>3000 (346)</w:t>
            </w:r>
          </w:p>
        </w:tc>
        <w:tc>
          <w:tcPr>
            <w:tcW w:type="dxa" w:w="2493"/>
          </w:tcPr>
          <w:p>
            <w:pPr>
              <w:spacing w:after="0"/>
            </w:pPr>
            <w:r/>
            <w:r>
              <w:rPr>
                <w:sz w:val="15"/>
              </w:rPr>
              <w:t>0.983</w:t>
            </w:r>
          </w:p>
        </w:tc>
      </w:tr>
      <w:tr>
        <w:tc>
          <w:tcPr>
            <w:tcW w:type="dxa" w:w="2493"/>
          </w:tcPr>
          <w:p>
            <w:pPr>
              <w:spacing w:after="0"/>
            </w:pPr>
            <w:r/>
            <w:r>
              <w:rPr>
                <w:sz w:val="15"/>
              </w:rPr>
              <w:t>iron_deficiency</w:t>
            </w:r>
          </w:p>
        </w:tc>
        <w:tc>
          <w:tcPr>
            <w:tcW w:type="dxa" w:w="2493"/>
          </w:tcPr>
          <w:p>
            <w:pPr>
              <w:spacing w:after="0"/>
            </w:pPr>
            <w:r/>
            <w:r>
              <w:rPr>
                <w:sz w:val="15"/>
              </w:rPr>
              <w:t>I 2015–16</w:t>
            </w:r>
          </w:p>
        </w:tc>
        <w:tc>
          <w:tcPr>
            <w:tcW w:type="dxa" w:w="2493"/>
          </w:tcPr>
          <w:p>
            <w:pPr>
              <w:spacing w:after="0"/>
            </w:pPr>
            <w:r/>
            <w:r>
              <w:rPr>
                <w:sz w:val="15"/>
              </w:rPr>
              <w:t>783 (148)</w:t>
            </w:r>
          </w:p>
        </w:tc>
        <w:tc>
          <w:tcPr>
            <w:tcW w:type="dxa" w:w="2493"/>
          </w:tcPr>
          <w:p>
            <w:pPr>
              <w:spacing w:after="0"/>
            </w:pPr>
            <w:r/>
            <w:r>
              <w:rPr>
                <w:sz w:val="15"/>
              </w:rPr>
              <w:t>0.972</w:t>
            </w:r>
          </w:p>
        </w:tc>
      </w:tr>
      <w:tr>
        <w:tc>
          <w:tcPr>
            <w:tcW w:type="dxa" w:w="2493"/>
          </w:tcPr>
          <w:p>
            <w:pPr>
              <w:spacing w:after="0"/>
            </w:pPr>
            <w:r/>
            <w:r>
              <w:rPr>
                <w:sz w:val="15"/>
              </w:rPr>
              <w:t>hypercholesterolemia</w:t>
            </w:r>
          </w:p>
        </w:tc>
        <w:tc>
          <w:tcPr>
            <w:tcW w:type="dxa" w:w="2493"/>
          </w:tcPr>
          <w:p>
            <w:pPr>
              <w:spacing w:after="0"/>
            </w:pPr>
            <w:r/>
            <w:r>
              <w:rPr>
                <w:sz w:val="15"/>
              </w:rPr>
              <w:t>I 2015–16</w:t>
            </w:r>
          </w:p>
        </w:tc>
        <w:tc>
          <w:tcPr>
            <w:tcW w:type="dxa" w:w="2493"/>
          </w:tcPr>
          <w:p>
            <w:pPr>
              <w:spacing w:after="0"/>
            </w:pPr>
            <w:r/>
            <w:r>
              <w:rPr>
                <w:sz w:val="15"/>
              </w:rPr>
              <w:t>2999 (322)</w:t>
            </w:r>
          </w:p>
        </w:tc>
        <w:tc>
          <w:tcPr>
            <w:tcW w:type="dxa" w:w="2493"/>
          </w:tcPr>
          <w:p>
            <w:pPr>
              <w:spacing w:after="0"/>
            </w:pPr>
            <w:r/>
            <w:r>
              <w:rPr>
                <w:sz w:val="15"/>
              </w:rPr>
              <w:t>0.886</w:t>
            </w:r>
          </w:p>
        </w:tc>
      </w:tr>
      <w:tr>
        <w:tc>
          <w:tcPr>
            <w:tcW w:type="dxa" w:w="2493"/>
          </w:tcPr>
          <w:p>
            <w:pPr>
              <w:spacing w:after="0"/>
            </w:pPr>
            <w:r/>
            <w:r>
              <w:rPr>
                <w:sz w:val="15"/>
              </w:rPr>
              <w:t>hyperuricemia</w:t>
            </w:r>
          </w:p>
        </w:tc>
        <w:tc>
          <w:tcPr>
            <w:tcW w:type="dxa" w:w="2493"/>
          </w:tcPr>
          <w:p>
            <w:pPr>
              <w:spacing w:after="0"/>
            </w:pPr>
            <w:r/>
            <w:r>
              <w:rPr>
                <w:sz w:val="15"/>
              </w:rPr>
              <w:t>I 2015–16</w:t>
            </w:r>
          </w:p>
        </w:tc>
        <w:tc>
          <w:tcPr>
            <w:tcW w:type="dxa" w:w="2493"/>
          </w:tcPr>
          <w:p>
            <w:pPr>
              <w:spacing w:after="0"/>
            </w:pPr>
            <w:r/>
            <w:r>
              <w:rPr>
                <w:sz w:val="15"/>
              </w:rPr>
              <w:t>2999 (505)</w:t>
            </w:r>
          </w:p>
        </w:tc>
        <w:tc>
          <w:tcPr>
            <w:tcW w:type="dxa" w:w="2493"/>
          </w:tcPr>
          <w:p>
            <w:pPr>
              <w:spacing w:after="0"/>
            </w:pPr>
            <w:r/>
            <w:r>
              <w:rPr>
                <w:sz w:val="15"/>
              </w:rPr>
              <w:t>0.955</w:t>
            </w:r>
          </w:p>
        </w:tc>
      </w:tr>
      <w:tr>
        <w:tc>
          <w:tcPr>
            <w:tcW w:type="dxa" w:w="2493"/>
          </w:tcPr>
          <w:p>
            <w:pPr>
              <w:spacing w:after="0"/>
            </w:pPr>
            <w:r/>
            <w:r>
              <w:rPr>
                <w:sz w:val="15"/>
              </w:rPr>
              <w:t>alt_elevation</w:t>
            </w:r>
          </w:p>
        </w:tc>
        <w:tc>
          <w:tcPr>
            <w:tcW w:type="dxa" w:w="2493"/>
          </w:tcPr>
          <w:p>
            <w:pPr>
              <w:spacing w:after="0"/>
            </w:pPr>
            <w:r/>
            <w:r>
              <w:rPr>
                <w:sz w:val="15"/>
              </w:rPr>
              <w:t>I 2015–16</w:t>
            </w:r>
          </w:p>
        </w:tc>
        <w:tc>
          <w:tcPr>
            <w:tcW w:type="dxa" w:w="2493"/>
          </w:tcPr>
          <w:p>
            <w:pPr>
              <w:spacing w:after="0"/>
            </w:pPr>
            <w:r/>
            <w:r>
              <w:rPr>
                <w:sz w:val="15"/>
              </w:rPr>
              <w:t>3000 (656)</w:t>
            </w:r>
          </w:p>
        </w:tc>
        <w:tc>
          <w:tcPr>
            <w:tcW w:type="dxa" w:w="2493"/>
          </w:tcPr>
          <w:p>
            <w:pPr>
              <w:spacing w:after="0"/>
            </w:pPr>
            <w:r/>
            <w:r>
              <w:rPr>
                <w:sz w:val="15"/>
              </w:rPr>
              <w:t>0.877</w:t>
            </w:r>
          </w:p>
        </w:tc>
      </w:tr>
      <w:tr>
        <w:tc>
          <w:tcPr>
            <w:tcW w:type="dxa" w:w="2493"/>
          </w:tcPr>
          <w:p>
            <w:pPr>
              <w:spacing w:after="0"/>
            </w:pPr>
            <w:r/>
            <w:r>
              <w:rPr>
                <w:sz w:val="15"/>
              </w:rPr>
              <w:t>guideline-healthy adults, any disease asserted</w:t>
            </w:r>
          </w:p>
        </w:tc>
        <w:tc>
          <w:tcPr>
            <w:tcW w:type="dxa" w:w="2493"/>
          </w:tcPr>
          <w:p>
            <w:pPr>
              <w:spacing w:after="0"/>
            </w:pPr>
            <w:r/>
            <w:r>
              <w:rPr>
                <w:sz w:val="15"/>
              </w:rPr>
              <w:t>I</w:t>
            </w:r>
          </w:p>
        </w:tc>
        <w:tc>
          <w:tcPr>
            <w:tcW w:type="dxa" w:w="2493"/>
          </w:tcPr>
          <w:p>
            <w:pPr>
              <w:spacing w:after="0"/>
            </w:pPr>
            <w:r/>
            <w:r>
              <w:rPr>
                <w:sz w:val="15"/>
              </w:rPr>
              <w:t>79</w:t>
            </w:r>
          </w:p>
        </w:tc>
        <w:tc>
          <w:tcPr>
            <w:tcW w:type="dxa" w:w="2493"/>
          </w:tcPr>
          <w:p>
            <w:pPr>
              <w:spacing w:after="0"/>
            </w:pPr>
            <w:r/>
            <w:r>
              <w:rPr>
                <w:sz w:val="15"/>
              </w:rPr>
              <w:t>0/79 unweighted</w:t>
            </w:r>
          </w:p>
        </w:tc>
      </w:tr>
      <w:tr>
        <w:tc>
          <w:tcPr>
            <w:tcW w:type="dxa" w:w="2493"/>
          </w:tcPr>
          <w:p>
            <w:pPr>
              <w:spacing w:after="0"/>
            </w:pPr>
            <w:r/>
            <w:r>
              <w:rPr>
                <w:sz w:val="15"/>
              </w:rPr>
              <w:t>stays / diagnosis strings</w:t>
            </w:r>
          </w:p>
        </w:tc>
        <w:tc>
          <w:tcPr>
            <w:tcW w:type="dxa" w:w="2493"/>
          </w:tcPr>
          <w:p>
            <w:pPr>
              <w:spacing w:after="0"/>
            </w:pPr>
            <w:r/>
            <w:r>
              <w:rPr>
                <w:sz w:val="15"/>
              </w:rPr>
              <w:t>300 / 1113</w:t>
            </w:r>
          </w:p>
        </w:tc>
        <w:tc>
          <w:tcPr>
            <w:tcW w:type="dxa" w:w="2493"/>
          </w:tcPr>
          <w:p>
            <w:pPr>
              <w:spacing w:after="0"/>
            </w:pPr>
            <w:r/>
          </w:p>
        </w:tc>
        <w:tc>
          <w:tcPr>
            <w:tcW w:type="dxa" w:w="2493"/>
          </w:tcPr>
          <w:p>
            <w:pPr>
              <w:spacing w:after="0"/>
            </w:pPr>
            <w:r/>
          </w:p>
        </w:tc>
      </w:tr>
      <w:tr>
        <w:tc>
          <w:tcPr>
            <w:tcW w:type="dxa" w:w="2493"/>
          </w:tcPr>
          <w:p>
            <w:pPr>
              <w:spacing w:after="0"/>
            </w:pPr>
            <w:r/>
            <w:r>
              <w:rPr>
                <w:sz w:val="15"/>
              </w:rPr>
              <w:t>regex-positive labels</w:t>
            </w:r>
          </w:p>
        </w:tc>
        <w:tc>
          <w:tcPr>
            <w:tcW w:type="dxa" w:w="2493"/>
          </w:tcPr>
          <w:p>
            <w:pPr>
              <w:spacing w:after="0"/>
            </w:pPr>
            <w:r/>
            <w:r>
              <w:rPr>
                <w:sz w:val="15"/>
              </w:rPr>
              <w:t>376</w:t>
            </w:r>
          </w:p>
        </w:tc>
        <w:tc>
          <w:tcPr>
            <w:tcW w:type="dxa" w:w="2493"/>
          </w:tcPr>
          <w:p>
            <w:pPr>
              <w:spacing w:after="0"/>
            </w:pPr>
            <w:r/>
          </w:p>
        </w:tc>
        <w:tc>
          <w:tcPr>
            <w:tcW w:type="dxa" w:w="2493"/>
          </w:tcPr>
          <w:p>
            <w:pPr>
              <w:spacing w:after="0"/>
            </w:pPr>
            <w:r/>
          </w:p>
        </w:tc>
      </w:tr>
      <w:tr>
        <w:tc>
          <w:tcPr>
            <w:tcW w:type="dxa" w:w="2493"/>
          </w:tcPr>
          <w:p>
            <w:pPr>
              <w:spacing w:after="0"/>
            </w:pPr>
            <w:r/>
            <w:r>
              <w:rPr>
                <w:sz w:val="15"/>
              </w:rPr>
              <w:t>regex false positives</w:t>
            </w:r>
          </w:p>
        </w:tc>
        <w:tc>
          <w:tcPr>
            <w:tcW w:type="dxa" w:w="2493"/>
          </w:tcPr>
          <w:p>
            <w:pPr>
              <w:spacing w:after="0"/>
            </w:pPr>
            <w:r/>
            <w:r>
              <w:rPr>
                <w:b/>
                <w:sz w:val="15"/>
              </w:rPr>
              <w:t>0</w:t>
            </w:r>
          </w:p>
        </w:tc>
        <w:tc>
          <w:tcPr>
            <w:tcW w:type="dxa" w:w="2493"/>
          </w:tcPr>
          <w:p>
            <w:pPr>
              <w:spacing w:after="0"/>
            </w:pPr>
            <w:r/>
          </w:p>
        </w:tc>
        <w:tc>
          <w:tcPr>
            <w:tcW w:type="dxa" w:w="2493"/>
          </w:tcPr>
          <w:p>
            <w:pPr>
              <w:spacing w:after="0"/>
            </w:pPr>
            <w:r/>
          </w:p>
        </w:tc>
      </w:tr>
      <w:tr>
        <w:tc>
          <w:tcPr>
            <w:tcW w:type="dxa" w:w="2493"/>
          </w:tcPr>
          <w:p>
            <w:pPr>
              <w:spacing w:after="0"/>
            </w:pPr>
            <w:r/>
            <w:r>
              <w:rPr>
                <w:sz w:val="15"/>
              </w:rPr>
              <w:t>definite misses</w:t>
            </w:r>
          </w:p>
        </w:tc>
        <w:tc>
          <w:tcPr>
            <w:tcW w:type="dxa" w:w="2493"/>
          </w:tcPr>
          <w:p>
            <w:pPr>
              <w:spacing w:after="0"/>
            </w:pPr>
            <w:r/>
            <w:r>
              <w:rPr>
                <w:b/>
                <w:sz w:val="15"/>
              </w:rPr>
              <w:t>7</w:t>
            </w:r>
          </w:p>
        </w:tc>
        <w:tc>
          <w:tcPr>
            <w:tcW w:type="dxa" w:w="2493"/>
          </w:tcPr>
          <w:p>
            <w:pPr>
              <w:spacing w:after="0"/>
            </w:pPr>
            <w:r/>
          </w:p>
        </w:tc>
        <w:tc>
          <w:tcPr>
            <w:tcW w:type="dxa" w:w="2493"/>
          </w:tcPr>
          <w:p>
            <w:pPr>
              <w:spacing w:after="0"/>
            </w:pPr>
            <w:r/>
          </w:p>
        </w:tc>
      </w:tr>
      <w:tr>
        <w:tc>
          <w:tcPr>
            <w:tcW w:type="dxa" w:w="2493"/>
          </w:tcPr>
          <w:p>
            <w:pPr>
              <w:spacing w:after="0"/>
            </w:pPr>
            <w:r/>
            <w:r>
              <w:rPr>
                <w:sz w:val="15"/>
              </w:rPr>
              <w:t>ambiguous (excluded)</w:t>
            </w:r>
          </w:p>
        </w:tc>
        <w:tc>
          <w:tcPr>
            <w:tcW w:type="dxa" w:w="2493"/>
          </w:tcPr>
          <w:p>
            <w:pPr>
              <w:spacing w:after="0"/>
            </w:pPr>
            <w:r/>
            <w:r>
              <w:rPr>
                <w:sz w:val="15"/>
              </w:rPr>
              <w:t>37</w:t>
            </w:r>
          </w:p>
        </w:tc>
        <w:tc>
          <w:tcPr>
            <w:tcW w:type="dxa" w:w="2493"/>
          </w:tcPr>
          <w:p>
            <w:pPr>
              <w:spacing w:after="0"/>
            </w:pPr>
            <w:r/>
          </w:p>
        </w:tc>
        <w:tc>
          <w:tcPr>
            <w:tcW w:type="dxa" w:w="2493"/>
          </w:tcPr>
          <w:p>
            <w:pPr>
              <w:spacing w:after="0"/>
            </w:pPr>
            <w:r/>
          </w:p>
        </w:tc>
      </w:tr>
      <w:tr>
        <w:tc>
          <w:tcPr>
            <w:tcW w:type="dxa" w:w="2493"/>
          </w:tcPr>
          <w:p>
            <w:pPr>
              <w:spacing w:after="0"/>
            </w:pPr>
            <w:r/>
            <w:r>
              <w:rPr>
                <w:sz w:val="15"/>
              </w:rPr>
              <w:t>precision</w:t>
            </w:r>
          </w:p>
        </w:tc>
        <w:tc>
          <w:tcPr>
            <w:tcW w:type="dxa" w:w="2493"/>
          </w:tcPr>
          <w:p>
            <w:pPr>
              <w:spacing w:after="0"/>
            </w:pPr>
            <w:r/>
            <w:r>
              <w:rPr>
                <w:sz w:val="15"/>
              </w:rPr>
              <w:t>100.0%</w:t>
            </w:r>
          </w:p>
        </w:tc>
        <w:tc>
          <w:tcPr>
            <w:tcW w:type="dxa" w:w="2493"/>
          </w:tcPr>
          <w:p>
            <w:pPr>
              <w:spacing w:after="0"/>
            </w:pPr>
            <w:r/>
          </w:p>
        </w:tc>
        <w:tc>
          <w:tcPr>
            <w:tcW w:type="dxa" w:w="2493"/>
          </w:tcPr>
          <w:p>
            <w:pPr>
              <w:spacing w:after="0"/>
            </w:pPr>
            <w:r/>
            <w:r>
              <w:rPr>
                <w:sz w:val="15"/>
              </w:rPr>
              <w:t>sensitivity</w:t>
            </w:r>
          </w:p>
        </w:tc>
      </w:tr>
      <w:tr>
        <w:tc>
          <w:tcPr>
            <w:tcW w:type="dxa" w:w="2493"/>
          </w:tcPr>
          <w:p>
            <w:pPr>
              <w:spacing w:after="0"/>
            </w:pPr>
            <w:r/>
            <w:r>
              <w:rPr>
                <w:sz w:val="15"/>
              </w:rPr>
              <w:t>sepsis</w:t>
            </w:r>
          </w:p>
        </w:tc>
        <w:tc>
          <w:tcPr>
            <w:tcW w:type="dxa" w:w="2493"/>
          </w:tcPr>
          <w:p>
            <w:pPr>
              <w:spacing w:after="0"/>
            </w:pPr>
            <w:r/>
            <w:r>
              <w:rPr>
                <w:sz w:val="15"/>
              </w:rPr>
              <w:t>42</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diabetes</w:t>
            </w:r>
          </w:p>
        </w:tc>
        <w:tc>
          <w:tcPr>
            <w:tcW w:type="dxa" w:w="2493"/>
          </w:tcPr>
          <w:p>
            <w:pPr>
              <w:spacing w:after="0"/>
            </w:pPr>
            <w:r/>
            <w:r>
              <w:rPr>
                <w:sz w:val="15"/>
              </w:rPr>
              <w:t>42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renal_impairment</w:t>
            </w:r>
          </w:p>
        </w:tc>
        <w:tc>
          <w:tcPr>
            <w:tcW w:type="dxa" w:w="2493"/>
          </w:tcPr>
          <w:p>
            <w:pPr>
              <w:spacing w:after="0"/>
            </w:pPr>
            <w:r/>
            <w:r>
              <w:rPr>
                <w:sz w:val="15"/>
              </w:rPr>
              <w:t>35</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heart_failure</w:t>
            </w:r>
          </w:p>
        </w:tc>
        <w:tc>
          <w:tcPr>
            <w:tcW w:type="dxa" w:w="2493"/>
          </w:tcPr>
          <w:p>
            <w:pPr>
              <w:spacing w:after="0"/>
            </w:pPr>
            <w:r/>
            <w:r>
              <w:rPr>
                <w:sz w:val="15"/>
              </w:rPr>
              <w:t>26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anemia</w:t>
            </w:r>
          </w:p>
        </w:tc>
        <w:tc>
          <w:tcPr>
            <w:tcW w:type="dxa" w:w="2493"/>
          </w:tcPr>
          <w:p>
            <w:pPr>
              <w:spacing w:after="0"/>
            </w:pPr>
            <w:r/>
            <w:r>
              <w:rPr>
                <w:sz w:val="15"/>
              </w:rPr>
              <w:t>26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acute_kidney_injury</w:t>
            </w:r>
          </w:p>
        </w:tc>
        <w:tc>
          <w:tcPr>
            <w:tcW w:type="dxa" w:w="2493"/>
          </w:tcPr>
          <w:p>
            <w:pPr>
              <w:spacing w:after="0"/>
            </w:pPr>
            <w:r/>
            <w:r>
              <w:rPr>
                <w:sz w:val="15"/>
              </w:rPr>
              <w:t>22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hyperglycemia</w:t>
            </w:r>
          </w:p>
        </w:tc>
        <w:tc>
          <w:tcPr>
            <w:tcW w:type="dxa" w:w="2493"/>
          </w:tcPr>
          <w:p>
            <w:pPr>
              <w:spacing w:after="0"/>
            </w:pPr>
            <w:r/>
            <w:r>
              <w:rPr>
                <w:sz w:val="15"/>
              </w:rPr>
              <w:t>21</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gi_bleeding</w:t>
            </w:r>
          </w:p>
        </w:tc>
        <w:tc>
          <w:tcPr>
            <w:tcW w:type="dxa" w:w="2493"/>
          </w:tcPr>
          <w:p>
            <w:pPr>
              <w:spacing w:after="0"/>
            </w:pPr>
            <w:r/>
            <w:r>
              <w:rPr>
                <w:sz w:val="15"/>
              </w:rPr>
              <w:t>20</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diabetic_ketoacidosis</w:t>
            </w:r>
          </w:p>
        </w:tc>
        <w:tc>
          <w:tcPr>
            <w:tcW w:type="dxa" w:w="2493"/>
          </w:tcPr>
          <w:p>
            <w:pPr>
              <w:spacing w:after="0"/>
            </w:pPr>
            <w:r/>
            <w:r>
              <w:rPr>
                <w:sz w:val="15"/>
              </w:rPr>
              <w:t>18</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chronic_kidney_disease</w:t>
            </w:r>
          </w:p>
        </w:tc>
        <w:tc>
          <w:tcPr>
            <w:tcW w:type="dxa" w:w="2493"/>
          </w:tcPr>
          <w:p>
            <w:pPr>
              <w:spacing w:after="0"/>
            </w:pPr>
            <w:r/>
            <w:r>
              <w:rPr>
                <w:sz w:val="15"/>
              </w:rPr>
              <w:t>15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leukocytosis</w:t>
            </w:r>
          </w:p>
        </w:tc>
        <w:tc>
          <w:tcPr>
            <w:tcW w:type="dxa" w:w="2493"/>
          </w:tcPr>
          <w:p>
            <w:pPr>
              <w:spacing w:after="0"/>
            </w:pPr>
            <w:r/>
            <w:r>
              <w:rPr>
                <w:sz w:val="15"/>
              </w:rPr>
              <w:t>8</w:t>
            </w:r>
          </w:p>
        </w:tc>
        <w:tc>
          <w:tcPr>
            <w:tcW w:type="dxa" w:w="2493"/>
          </w:tcPr>
          <w:p>
            <w:pPr>
              <w:spacing w:after="0"/>
            </w:pPr>
            <w:r/>
            <w:r>
              <w:rPr>
                <w:sz w:val="15"/>
              </w:rPr>
              <w:t>0</w:t>
            </w:r>
          </w:p>
        </w:tc>
        <w:tc>
          <w:tcPr>
            <w:tcW w:type="dxa" w:w="2493"/>
          </w:tcPr>
          <w:p>
            <w:pPr>
              <w:spacing w:after="0"/>
            </w:pPr>
            <w:r/>
            <w:r>
              <w:rPr>
                <w:sz w:val="15"/>
              </w:rPr>
              <w:t>2</w:t>
            </w:r>
          </w:p>
        </w:tc>
      </w:tr>
      <w:tr>
        <w:tc>
          <w:tcPr>
            <w:tcW w:type="dxa" w:w="2493"/>
          </w:tcPr>
          <w:p>
            <w:pPr>
              <w:spacing w:after="0"/>
            </w:pPr>
            <w:r/>
            <w:r>
              <w:rPr>
                <w:sz w:val="15"/>
              </w:rPr>
              <w:t>alcohol_withdrawal</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acute_myocardial_infarction</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hypokalemia</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malnutrition</w:t>
            </w:r>
          </w:p>
        </w:tc>
        <w:tc>
          <w:tcPr>
            <w:tcW w:type="dxa" w:w="2493"/>
          </w:tcPr>
          <w:p>
            <w:pPr>
              <w:spacing w:after="0"/>
            </w:pPr>
            <w:r/>
            <w:r>
              <w:rPr>
                <w:sz w:val="15"/>
              </w:rPr>
              <w:t>7</w:t>
            </w:r>
          </w:p>
        </w:tc>
        <w:tc>
          <w:tcPr>
            <w:tcW w:type="dxa" w:w="2493"/>
          </w:tcPr>
          <w:p>
            <w:pPr>
              <w:spacing w:after="0"/>
            </w:pPr>
            <w:r/>
            <w:r>
              <w:rPr>
                <w:sz w:val="15"/>
              </w:rPr>
              <w:t>0</w:t>
            </w:r>
          </w:p>
        </w:tc>
        <w:tc>
          <w:tcPr>
            <w:tcW w:type="dxa" w:w="2493"/>
          </w:tcPr>
          <w:p>
            <w:pPr>
              <w:spacing w:after="0"/>
            </w:pPr>
            <w:r/>
            <w:r>
              <w:rPr>
                <w:sz w:val="15"/>
              </w:rPr>
              <w:t>2</w:t>
            </w:r>
          </w:p>
        </w:tc>
      </w:tr>
      <w:tr>
        <w:tc>
          <w:tcPr>
            <w:tcW w:type="dxa" w:w="2493"/>
          </w:tcPr>
          <w:p>
            <w:pPr>
              <w:spacing w:after="0"/>
            </w:pPr>
            <w:r/>
            <w:r>
              <w:rPr>
                <w:sz w:val="15"/>
              </w:rPr>
              <w:t>metabolic_acidosis</w:t>
            </w:r>
          </w:p>
        </w:tc>
        <w:tc>
          <w:tcPr>
            <w:tcW w:type="dxa" w:w="2493"/>
          </w:tcPr>
          <w:p>
            <w:pPr>
              <w:spacing w:after="0"/>
            </w:pPr>
            <w:r/>
            <w:r>
              <w:rPr>
                <w:sz w:val="15"/>
              </w:rPr>
              <w:t>8</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hyponatremia</w:t>
            </w:r>
          </w:p>
        </w:tc>
        <w:tc>
          <w:tcPr>
            <w:tcW w:type="dxa" w:w="2493"/>
          </w:tcPr>
          <w:p>
            <w:pPr>
              <w:spacing w:after="0"/>
            </w:pPr>
            <w:r/>
            <w:r>
              <w:rPr>
                <w:sz w:val="15"/>
              </w:rPr>
              <w:t>7</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hypothyroidism</w:t>
            </w:r>
          </w:p>
        </w:tc>
        <w:tc>
          <w:tcPr>
            <w:tcW w:type="dxa" w:w="2493"/>
          </w:tcPr>
          <w:p>
            <w:pPr>
              <w:spacing w:after="0"/>
            </w:pPr>
            <w:r/>
            <w:r>
              <w:rPr>
                <w:sz w:val="15"/>
              </w:rPr>
              <w:t>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thrombocytopenia</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hypoglycemia</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coagulopathy</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acute_pancreatitis</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cirrhosis_liver_failure</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rhabdomyolysis</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hyperkalemia</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hypomagnesemia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lactic_acidosis</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hypernatremia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hypocalcemia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hypophosphatemia</w:t>
            </w:r>
          </w:p>
        </w:tc>
        <w:tc>
          <w:tcPr>
            <w:tcW w:type="dxa" w:w="2493"/>
          </w:tcPr>
          <w:p>
            <w:pPr>
              <w:spacing w:after="0"/>
            </w:pPr>
            <w:r/>
            <w:r>
              <w:rPr>
                <w:sz w:val="15"/>
              </w:rPr>
              <w:t>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rule records</w:t>
            </w:r>
          </w:p>
        </w:tc>
        <w:tc>
          <w:tcPr>
            <w:tcW w:type="dxa" w:w="2493"/>
          </w:tcPr>
          <w:p>
            <w:pPr>
              <w:spacing w:after="0"/>
            </w:pPr>
            <w:r/>
            <w:r>
              <w:rPr>
                <w:sz w:val="15"/>
              </w:rPr>
              <w:t>34,673</w:t>
            </w:r>
          </w:p>
        </w:tc>
        <w:tc>
          <w:tcPr>
            <w:tcW w:type="dxa" w:w="2493"/>
          </w:tcPr>
          <w:p>
            <w:pPr>
              <w:spacing w:after="0"/>
            </w:pPr>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candidate_requires_specialist_validation</w:t>
            </w:r>
          </w:p>
        </w:tc>
        <w:tc>
          <w:tcPr>
            <w:tcW w:type="dxa" w:w="2493"/>
          </w:tcPr>
          <w:p>
            <w:pPr>
              <w:spacing w:after="0"/>
            </w:pPr>
            <w:r/>
            <w:r>
              <w:rPr>
                <w:sz w:val="15"/>
              </w:rPr>
              <w:t>32,901</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retired_v13_3_0</w:t>
            </w:r>
          </w:p>
        </w:tc>
        <w:tc>
          <w:tcPr>
            <w:tcW w:type="dxa" w:w="2493"/>
          </w:tcPr>
          <w:p>
            <w:pPr>
              <w:spacing w:after="0"/>
            </w:pPr>
            <w:r/>
            <w:r>
              <w:rPr>
                <w:sz w:val="15"/>
              </w:rPr>
              <w:t>1,139</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w:t>
            </w:r>
          </w:p>
        </w:tc>
        <w:tc>
          <w:tcPr>
            <w:tcW w:type="dxa" w:w="2493"/>
          </w:tcPr>
          <w:p>
            <w:pPr>
              <w:spacing w:after="0"/>
            </w:pPr>
            <w:r/>
            <w:r>
              <w:rPr>
                <w:sz w:val="15"/>
              </w:rPr>
              <w:t>272</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retired_v13_4_0_domain_artefact</w:t>
            </w:r>
          </w:p>
        </w:tc>
        <w:tc>
          <w:tcPr>
            <w:tcW w:type="dxa" w:w="2493"/>
          </w:tcPr>
          <w:p>
            <w:pPr>
              <w:spacing w:after="0"/>
            </w:pPr>
            <w:r/>
            <w:r>
              <w:rPr>
                <w:sz w:val="15"/>
              </w:rPr>
              <w:t>171</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retired_template_artifact</w:t>
            </w:r>
          </w:p>
        </w:tc>
        <w:tc>
          <w:tcPr>
            <w:tcW w:type="dxa" w:w="2493"/>
          </w:tcPr>
          <w:p>
            <w:pPr>
              <w:spacing w:after="0"/>
            </w:pPr>
            <w:r/>
            <w:r>
              <w:rPr>
                <w:sz w:val="15"/>
              </w:rPr>
              <w:t>164</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retired_v13_2_nonspecific_single_marker</w:t>
            </w:r>
          </w:p>
        </w:tc>
        <w:tc>
          <w:tcPr>
            <w:tcW w:type="dxa" w:w="2493"/>
          </w:tcPr>
          <w:p>
            <w:pPr>
              <w:spacing w:after="0"/>
            </w:pPr>
            <w:r/>
            <w:r>
              <w:rPr>
                <w:sz w:val="15"/>
              </w:rPr>
              <w:t>9</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curated_guideline_anchored_demoted_v13_4_2</w:t>
            </w:r>
          </w:p>
        </w:tc>
        <w:tc>
          <w:tcPr>
            <w:tcW w:type="dxa" w:w="2493"/>
          </w:tcPr>
          <w:p>
            <w:pPr>
              <w:spacing w:after="0"/>
            </w:pPr>
            <w:r/>
            <w:r>
              <w:rPr>
                <w:sz w:val="15"/>
              </w:rPr>
              <w:t>9</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curated_guideline_anchored_demoted_v14_0</w:t>
            </w:r>
          </w:p>
        </w:tc>
        <w:tc>
          <w:tcPr>
            <w:tcW w:type="dxa" w:w="2493"/>
          </w:tcPr>
          <w:p>
            <w:pPr>
              <w:spacing w:after="0"/>
            </w:pPr>
            <w:r/>
            <w:r>
              <w:rPr>
                <w:sz w:val="15"/>
              </w:rPr>
              <w:t>4</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retired_empty_expression</w:t>
            </w:r>
          </w:p>
        </w:tc>
        <w:tc>
          <w:tcPr>
            <w:tcW w:type="dxa" w:w="2493"/>
          </w:tcPr>
          <w:p>
            <w:pPr>
              <w:spacing w:after="0"/>
            </w:pPr>
            <w:r/>
            <w:r>
              <w:rPr>
                <w:sz w:val="15"/>
              </w:rPr>
              <w:t>3</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retired_v14_0</w:t>
            </w:r>
          </w:p>
        </w:tc>
        <w:tc>
          <w:tcPr>
            <w:tcW w:type="dxa" w:w="2493"/>
          </w:tcPr>
          <w:p>
            <w:pPr>
              <w:spacing w:after="0"/>
            </w:pPr>
            <w:r/>
            <w:r>
              <w:rPr>
                <w:sz w:val="15"/>
              </w:rPr>
              <w:t>1</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retired, total</w:t>
            </w:r>
          </w:p>
        </w:tc>
        <w:tc>
          <w:tcPr>
            <w:tcW w:type="dxa" w:w="2493"/>
          </w:tcPr>
          <w:p>
            <w:pPr>
              <w:spacing w:after="0"/>
            </w:pPr>
            <w:r/>
            <w:r>
              <w:rPr>
                <w:sz w:val="15"/>
              </w:rPr>
              <w:t>1,487</w:t>
            </w:r>
          </w:p>
        </w:tc>
        <w:tc>
          <w:tcPr>
            <w:tcW w:type="dxa" w:w="2493"/>
          </w:tcPr>
          <w:p>
            <w:pPr>
              <w:spacing w:after="0"/>
            </w:pPr>
            <w:r/>
            <w:r>
              <w:rPr>
                <w:sz w:val="15"/>
              </w:rPr>
              <w:t>manuscript v7 draft said 1,474 (omitted the 13 demoted anchors, which remain executable)</w:t>
            </w:r>
          </w:p>
        </w:tc>
        <w:tc>
          <w:tcPr>
            <w:tcW w:type="dxa" w:w="2493"/>
          </w:tcPr>
          <w:p>
            <w:pPr>
              <w:spacing w:after="0"/>
            </w:pPr>
            <w:r/>
          </w:p>
        </w:tc>
      </w:tr>
      <w:tr>
        <w:tc>
          <w:tcPr>
            <w:tcW w:type="dxa" w:w="2493"/>
          </w:tcPr>
          <w:p>
            <w:pPr>
              <w:spacing w:after="0"/>
            </w:pPr>
            <w:r/>
            <w:r>
              <w:rPr>
                <w:sz w:val="15"/>
              </w:rPr>
              <w:t xml:space="preserve">candidates lacking </w:t>
            </w:r>
            <w:r>
              <w:rPr>
                <w:rFonts w:ascii="Consolas" w:hAnsi="Consolas"/>
                <w:sz w:val="15"/>
              </w:rPr>
              <w:t>executable</w:t>
            </w:r>
            <w:r>
              <w:rPr>
                <w:sz w:val="15"/>
              </w:rPr>
              <w:t xml:space="preserve"> flag</w:t>
            </w:r>
          </w:p>
        </w:tc>
        <w:tc>
          <w:tcPr>
            <w:tcW w:type="dxa" w:w="2493"/>
          </w:tcPr>
          <w:p>
            <w:pPr>
              <w:spacing w:after="0"/>
            </w:pPr>
            <w:r/>
            <w:r>
              <w:rPr>
                <w:sz w:val="15"/>
              </w:rPr>
              <w:t>3</w:t>
            </w:r>
          </w:p>
        </w:tc>
        <w:tc>
          <w:tcPr>
            <w:tcW w:type="dxa" w:w="2493"/>
          </w:tcPr>
          <w:p>
            <w:pPr>
              <w:spacing w:after="0"/>
            </w:pPr>
            <w:r/>
            <w:r>
              <w:rPr>
                <w:sz w:val="15"/>
              </w:rPr>
              <w:t>counted in 32,901 in the draft; not executable</w:t>
            </w:r>
          </w:p>
        </w:tc>
        <w:tc>
          <w:tcPr>
            <w:tcW w:type="dxa" w:w="2493"/>
          </w:tcPr>
          <w:p>
            <w:pPr>
              <w:spacing w:after="0"/>
            </w:pPr>
            <w:r/>
          </w:p>
        </w:tc>
      </w:tr>
      <w:tr>
        <w:tc>
          <w:tcPr>
            <w:tcW w:type="dxa" w:w="2493"/>
          </w:tcPr>
          <w:p>
            <w:pPr>
              <w:spacing w:after="0"/>
            </w:pPr>
            <w:r/>
            <w:r>
              <w:rPr>
                <w:sz w:val="15"/>
              </w:rPr>
              <w:t>executable rules</w:t>
            </w:r>
          </w:p>
        </w:tc>
        <w:tc>
          <w:tcPr>
            <w:tcW w:type="dxa" w:w="2493"/>
          </w:tcPr>
          <w:p>
            <w:pPr>
              <w:spacing w:after="0"/>
            </w:pPr>
            <w:r/>
            <w:r>
              <w:rPr>
                <w:sz w:val="15"/>
              </w:rPr>
              <w:t>33,183</w:t>
            </w:r>
          </w:p>
        </w:tc>
        <w:tc>
          <w:tcPr>
            <w:tcW w:type="dxa" w:w="2493"/>
          </w:tcPr>
          <w:p>
            <w:pPr>
              <w:spacing w:after="0"/>
            </w:pPr>
            <w:r/>
            <w:r>
              <w:rPr>
                <w:sz w:val="15"/>
              </w:rPr>
              <w:t>= 272 anchors + 13 demoted anchors + 32,898 candidates</w:t>
            </w:r>
          </w:p>
        </w:tc>
        <w:tc>
          <w:tcPr>
            <w:tcW w:type="dxa" w:w="2493"/>
          </w:tcPr>
          <w:p>
            <w:pPr>
              <w:spacing w:after="0"/>
            </w:pPr>
            <w:r/>
          </w:p>
        </w:tc>
      </w:tr>
      <w:tr>
        <w:tc>
          <w:tcPr>
            <w:tcW w:type="dxa" w:w="2493"/>
          </w:tcPr>
          <w:p>
            <w:pPr>
              <w:spacing w:after="0"/>
            </w:pPr>
            <w:r/>
            <w:r>
              <w:rPr>
                <w:sz w:val="15"/>
              </w:rPr>
              <w:t>executable by evidence tier</w:t>
            </w:r>
          </w:p>
        </w:tc>
        <w:tc>
          <w:tcPr>
            <w:tcW w:type="dxa" w:w="2493"/>
          </w:tcPr>
          <w:p>
            <w:pPr>
              <w:spacing w:after="0"/>
            </w:pPr>
            <w:r/>
            <w:r>
              <w:rPr>
                <w:sz w:val="15"/>
              </w:rPr>
              <w:t>tier_c: 27,885, tier_a: 2,937, tier_b: 2,278, None: 55, unverified_source: 28</w:t>
            </w:r>
          </w:p>
        </w:tc>
        <w:tc>
          <w:tcPr>
            <w:tcW w:type="dxa" w:w="2493"/>
          </w:tcPr>
          <w:p>
            <w:pPr>
              <w:spacing w:after="0"/>
            </w:pPr>
            <w:r/>
            <w:r>
              <w:rPr>
                <w:sz w:val="15"/>
              </w:rPr>
              <w:t>55 executable rules carry no tier field</w:t>
            </w:r>
          </w:p>
        </w:tc>
        <w:tc>
          <w:tcPr>
            <w:tcW w:type="dxa" w:w="2493"/>
          </w:tcPr>
          <w:p>
            <w:pPr>
              <w:spacing w:after="0"/>
            </w:pPr>
            <w:r/>
          </w:p>
        </w:tc>
      </w:tr>
      <w:tr>
        <w:tc>
          <w:tcPr>
            <w:tcW w:type="dxa" w:w="2493"/>
          </w:tcPr>
          <w:p>
            <w:pPr>
              <w:spacing w:after="0"/>
            </w:pPr>
            <w:r/>
            <w:r>
              <w:rPr>
                <w:sz w:val="15"/>
              </w:rPr>
              <w:t>guideline sources listed</w:t>
            </w:r>
          </w:p>
        </w:tc>
        <w:tc>
          <w:tcPr>
            <w:tcW w:type="dxa" w:w="2493"/>
          </w:tcPr>
          <w:p>
            <w:pPr>
              <w:spacing w:after="0"/>
            </w:pPr>
            <w:r/>
            <w:r>
              <w:rPr>
                <w:sz w:val="15"/>
              </w:rPr>
              <w:t>785</w:t>
            </w:r>
          </w:p>
        </w:tc>
        <w:tc>
          <w:tcPr>
            <w:tcW w:type="dxa" w:w="2493"/>
          </w:tcPr>
          <w:p>
            <w:pPr>
              <w:spacing w:after="0"/>
            </w:pPr>
            <w:r/>
            <w:r>
              <w:rPr>
                <w:sz w:val="15"/>
              </w:rPr>
              <w:t xml:space="preserve">metadata field </w:t>
            </w:r>
            <w:r>
              <w:rPr>
                <w:rFonts w:ascii="Consolas" w:hAnsi="Consolas"/>
                <w:sz w:val="15"/>
              </w:rPr>
              <w:t>total_sources</w:t>
            </w:r>
            <w:r>
              <w:rPr>
                <w:sz w:val="15"/>
              </w:rPr>
              <w:t xml:space="preserve"> still reads 781 (stale, from 13.4.1)</w:t>
            </w:r>
          </w:p>
        </w:tc>
        <w:tc>
          <w:tcPr>
            <w:tcW w:type="dxa" w:w="2493"/>
          </w:tcPr>
          <w:p>
            <w:pPr>
              <w:spacing w:after="0"/>
            </w:pPr>
            <w:r/>
          </w:p>
        </w:tc>
      </w:tr>
      <w:tr>
        <w:tc>
          <w:tcPr>
            <w:tcW w:type="dxa" w:w="2493"/>
          </w:tcPr>
          <w:p>
            <w:pPr>
              <w:spacing w:after="0"/>
            </w:pPr>
            <w:r/>
            <w:r>
              <w:rPr>
                <w:sz w:val="15"/>
              </w:rPr>
              <w:t>sources cited by ≥ 1 executable rule</w:t>
            </w:r>
          </w:p>
        </w:tc>
        <w:tc>
          <w:tcPr>
            <w:tcW w:type="dxa" w:w="2493"/>
          </w:tcPr>
          <w:p>
            <w:pPr>
              <w:spacing w:after="0"/>
            </w:pPr>
            <w:r/>
            <w:r>
              <w:rPr>
                <w:sz w:val="15"/>
              </w:rPr>
              <w:t>388</w:t>
            </w:r>
          </w:p>
        </w:tc>
        <w:tc>
          <w:tcPr>
            <w:tcW w:type="dxa" w:w="2493"/>
          </w:tcPr>
          <w:p>
            <w:pPr>
              <w:spacing w:after="0"/>
            </w:pPr>
            <w:r/>
            <w:r>
              <w:rPr>
                <w:sz w:val="15"/>
              </w:rPr>
              <w:t>of the other 397: 3 are cited only by retired rules and 394 by no rule at all — background/general references (textbooks, CLSI documents, guideline overviews) imported into the source table during registry construction and retained for provenance; they contribute nothing to any output</w:t>
            </w:r>
          </w:p>
        </w:tc>
        <w:tc>
          <w:tcPr>
            <w:tcW w:type="dxa" w:w="2493"/>
          </w:tcPr>
          <w:p>
            <w:pPr>
              <w:spacing w:after="0"/>
            </w:pPr>
            <w:r/>
          </w:p>
        </w:tc>
      </w:tr>
      <w:tr>
        <w:tc>
          <w:tcPr>
            <w:tcW w:type="dxa" w:w="2493"/>
          </w:tcPr>
          <w:p>
            <w:pPr>
              <w:spacing w:after="0"/>
            </w:pPr>
            <w:r/>
            <w:r>
              <w:rPr>
                <w:sz w:val="15"/>
              </w:rPr>
              <w:t>disease records</w:t>
            </w:r>
          </w:p>
        </w:tc>
        <w:tc>
          <w:tcPr>
            <w:tcW w:type="dxa" w:w="2493"/>
          </w:tcPr>
          <w:p>
            <w:pPr>
              <w:spacing w:after="0"/>
            </w:pPr>
            <w:r/>
            <w:r>
              <w:rPr>
                <w:sz w:val="15"/>
              </w:rPr>
              <w:t>6,756</w:t>
            </w:r>
          </w:p>
        </w:tc>
        <w:tc>
          <w:tcPr>
            <w:tcW w:type="dxa" w:w="2493"/>
          </w:tcPr>
          <w:p>
            <w:pPr>
              <w:spacing w:after="0"/>
            </w:pPr>
            <w:r/>
            <w:r>
              <w:rPr>
                <w:sz w:val="15"/>
              </w:rPr>
              <w:t xml:space="preserve">metadata </w:t>
            </w:r>
            <w:r>
              <w:rPr>
                <w:rFonts w:ascii="Consolas" w:hAnsi="Consolas"/>
                <w:sz w:val="15"/>
              </w:rPr>
              <w:t>total_diseases</w:t>
            </w:r>
            <w:r>
              <w:rPr>
                <w:sz w:val="15"/>
              </w:rPr>
              <w:t xml:space="preserve"> reads 6,750; 6,528 diseases have ≥ 1 executable rule</w:t>
            </w:r>
          </w:p>
        </w:tc>
        <w:tc>
          <w:tcPr>
            <w:tcW w:type="dxa" w:w="2493"/>
          </w:tcPr>
          <w:p>
            <w:pPr>
              <w:spacing w:after="0"/>
            </w:pPr>
            <w:r/>
            <w:r>
              <w:rPr>
                <w:i/>
                <w:sz w:val="15"/>
              </w:rPr>
            </w:r>
            <w:r>
              <w:rPr>
                <w:i/>
                <w:sz w:val="15"/>
              </w:rPr>
              <w:t>Executable-rule flow across releases (computed from the archived registry files `</w:t>
            </w:r>
            <w:r>
              <w:rPr>
                <w:sz w:val="15"/>
              </w:rPr>
              <w:t>.bak_v13_1_0</w:t>
            </w:r>
            <w:r>
              <w:rPr>
                <w:rFonts w:ascii="Consolas" w:hAnsi="Consolas"/>
                <w:sz w:val="15"/>
              </w:rPr>
              <w:t xml:space="preserve">, </w:t>
            </w:r>
            <w:r>
              <w:rPr>
                <w:i/>
                <w:sz w:val="15"/>
              </w:rPr>
              <w:t>.bak_v13_3_0`, `</w:t>
            </w:r>
            <w:r>
              <w:rPr>
                <w:sz w:val="15"/>
              </w:rPr>
              <w:t>.bak_v13_4_2</w:t>
            </w:r>
            <w:r>
              <w:rPr>
                <w:rFonts w:ascii="Consolas" w:hAnsi="Consolas"/>
                <w:sz w:val="15"/>
              </w:rPr>
              <w:t xml:space="preserve">, </w:t>
            </w:r>
            <w:r>
              <w:rPr>
                <w:i/>
                <w:sz w:val="15"/>
              </w:rPr>
              <w:t>.bak_v14_0_0` and the live 14.1.0 file, 2026-10-26).</w:t>
            </w:r>
            <w:r>
              <w:rPr>
                <w:i/>
                <w:sz w:val="15"/>
              </w:rPr>
              <w:t xml:space="preserve"> The near-constancy of the executable count (33,170–33,230) across 13.3.0–14.1.0 is not a coincidence of bookkeeping: it is the net of retirements and guideline-sourced additions</w:t>
            </w:r>
          </w:p>
        </w:tc>
      </w:tr>
      <w:tr>
        <w:tc>
          <w:tcPr>
            <w:tcW w:type="dxa" w:w="2493"/>
          </w:tcPr>
          <w:p>
            <w:pPr>
              <w:spacing w:after="0"/>
            </w:pPr>
            <w:r/>
            <w:r>
              <w:rPr>
                <w:sz w:val="15"/>
              </w:rPr>
              <w:t>13.1.0 (baseline)</w:t>
            </w:r>
          </w:p>
        </w:tc>
        <w:tc>
          <w:tcPr>
            <w:tcW w:type="dxa" w:w="2493"/>
          </w:tcPr>
          <w:p>
            <w:pPr>
              <w:spacing w:after="0"/>
            </w:pPr>
            <w:r/>
            <w:r>
              <w:rPr>
                <w:sz w:val="15"/>
              </w:rPr>
              <w:t>—</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13.1.0 → 13.3.0</w:t>
            </w:r>
          </w:p>
        </w:tc>
        <w:tc>
          <w:tcPr>
            <w:tcW w:type="dxa" w:w="2493"/>
          </w:tcPr>
          <w:p>
            <w:pPr>
              <w:spacing w:after="0"/>
            </w:pPr>
            <w:r/>
            <w:r>
              <w:rPr>
                <w:sz w:val="15"/>
              </w:rPr>
              <w:t>+373</w:t>
            </w:r>
          </w:p>
        </w:tc>
        <w:tc>
          <w:tcPr>
            <w:tcW w:type="dxa" w:w="2493"/>
          </w:tcPr>
          <w:p>
            <w:pPr>
              <w:spacing w:after="0"/>
            </w:pPr>
            <w:r/>
            <w:r>
              <w:rPr>
                <w:sz w:val="15"/>
              </w:rPr>
              <w:t>1,135</w:t>
            </w:r>
          </w:p>
        </w:tc>
        <w:tc>
          <w:tcPr>
            <w:tcW w:type="dxa" w:w="2493"/>
          </w:tcPr>
          <w:p>
            <w:pPr>
              <w:spacing w:after="0"/>
            </w:pPr>
            <w:r/>
            <w:r>
              <w:rPr>
                <w:sz w:val="15"/>
              </w:rPr>
              <w:t>360</w:t>
            </w:r>
          </w:p>
        </w:tc>
      </w:tr>
      <w:tr>
        <w:tc>
          <w:tcPr>
            <w:tcW w:type="dxa" w:w="2493"/>
          </w:tcPr>
          <w:p>
            <w:pPr>
              <w:spacing w:after="0"/>
            </w:pPr>
            <w:r/>
            <w:r>
              <w:rPr>
                <w:sz w:val="15"/>
              </w:rPr>
              <w:t>13.3.0 → 13.4.2</w:t>
            </w:r>
          </w:p>
        </w:tc>
        <w:tc>
          <w:tcPr>
            <w:tcW w:type="dxa" w:w="2493"/>
          </w:tcPr>
          <w:p>
            <w:pPr>
              <w:spacing w:after="0"/>
            </w:pPr>
            <w:r/>
            <w:r>
              <w:rPr>
                <w:sz w:val="15"/>
              </w:rPr>
              <w:t>+111</w:t>
            </w:r>
          </w:p>
        </w:tc>
        <w:tc>
          <w:tcPr>
            <w:tcW w:type="dxa" w:w="2493"/>
          </w:tcPr>
          <w:p>
            <w:pPr>
              <w:spacing w:after="0"/>
            </w:pPr>
            <w:r/>
            <w:r>
              <w:rPr>
                <w:sz w:val="15"/>
              </w:rPr>
              <w:t>171</w:t>
            </w:r>
          </w:p>
        </w:tc>
        <w:tc>
          <w:tcPr>
            <w:tcW w:type="dxa" w:w="2493"/>
          </w:tcPr>
          <w:p>
            <w:pPr>
              <w:spacing w:after="0"/>
            </w:pPr>
            <w:r/>
            <w:r>
              <w:rPr>
                <w:sz w:val="15"/>
              </w:rPr>
              <w:t>111</w:t>
            </w:r>
          </w:p>
        </w:tc>
      </w:tr>
      <w:tr>
        <w:tc>
          <w:tcPr>
            <w:tcW w:type="dxa" w:w="2493"/>
          </w:tcPr>
          <w:p>
            <w:pPr>
              <w:spacing w:after="0"/>
            </w:pPr>
            <w:r/>
            <w:r>
              <w:rPr>
                <w:sz w:val="15"/>
              </w:rPr>
              <w:t>13.4.2 → 14.0.0</w:t>
            </w:r>
          </w:p>
        </w:tc>
        <w:tc>
          <w:tcPr>
            <w:tcW w:type="dxa" w:w="2493"/>
          </w:tcPr>
          <w:p>
            <w:pPr>
              <w:spacing w:after="0"/>
            </w:pPr>
            <w:r/>
            <w:r>
              <w:rPr>
                <w:sz w:val="15"/>
              </w:rPr>
              <w:t>+9</w:t>
            </w:r>
          </w:p>
        </w:tc>
        <w:tc>
          <w:tcPr>
            <w:tcW w:type="dxa" w:w="2493"/>
          </w:tcPr>
          <w:p>
            <w:pPr>
              <w:spacing w:after="0"/>
            </w:pPr>
            <w:r/>
            <w:r>
              <w:rPr>
                <w:sz w:val="15"/>
              </w:rPr>
              <w:t>1</w:t>
            </w:r>
          </w:p>
        </w:tc>
        <w:tc>
          <w:tcPr>
            <w:tcW w:type="dxa" w:w="2493"/>
          </w:tcPr>
          <w:p>
            <w:pPr>
              <w:spacing w:after="0"/>
            </w:pPr>
            <w:r/>
            <w:r>
              <w:rPr>
                <w:sz w:val="15"/>
              </w:rPr>
              <w:t>9</w:t>
            </w:r>
          </w:p>
        </w:tc>
      </w:tr>
      <w:tr>
        <w:tc>
          <w:tcPr>
            <w:tcW w:type="dxa" w:w="2493"/>
          </w:tcPr>
          <w:p>
            <w:pPr>
              <w:spacing w:after="0"/>
            </w:pPr>
            <w:r/>
            <w:r>
              <w:rPr>
                <w:sz w:val="15"/>
              </w:rPr>
              <w:t>14.0.0 → 14.1.0</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5</w:t>
            </w:r>
          </w:p>
        </w:tc>
      </w:tr>
      <w:tr>
        <w:tc>
          <w:tcPr>
            <w:tcW w:type="dxa" w:w="2493"/>
          </w:tcPr>
          <w:p>
            <w:pPr>
              <w:spacing w:after="0"/>
            </w:pPr>
            <w:r/>
            <w:r>
              <w:rPr>
                <w:sz w:val="15"/>
              </w:rPr>
              <w:t>total since 13.1.0</w:t>
            </w:r>
          </w:p>
        </w:tc>
        <w:tc>
          <w:tcPr>
            <w:tcW w:type="dxa" w:w="2493"/>
          </w:tcPr>
          <w:p>
            <w:pPr>
              <w:spacing w:after="0"/>
            </w:pPr>
            <w:r/>
            <w:r>
              <w:rPr>
                <w:sz w:val="15"/>
              </w:rPr>
              <w:t>+498</w:t>
            </w:r>
          </w:p>
        </w:tc>
        <w:tc>
          <w:tcPr>
            <w:tcW w:type="dxa" w:w="2493"/>
          </w:tcPr>
          <w:p>
            <w:pPr>
              <w:spacing w:after="0"/>
            </w:pPr>
            <w:r/>
            <w:r>
              <w:rPr>
                <w:sz w:val="15"/>
              </w:rPr>
              <w:t>1,307</w:t>
            </w:r>
          </w:p>
        </w:tc>
        <w:tc>
          <w:tcPr>
            <w:tcW w:type="dxa" w:w="2493"/>
          </w:tcPr>
          <w:p>
            <w:pPr>
              <w:spacing w:after="0"/>
            </w:pPr>
            <w:r/>
            <w:r>
              <w:rPr>
                <w:sz w:val="15"/>
              </w:rPr>
              <w:t>485</w:t>
            </w:r>
          </w:p>
        </w:tc>
      </w:tr>
      <w:tr>
        <w:tc>
          <w:tcPr>
            <w:tcW w:type="dxa" w:w="2493"/>
          </w:tcPr>
          <w:p>
            <w:pPr>
              <w:spacing w:after="0"/>
            </w:pPr>
            <w:r/>
            <w:r>
              <w:rPr>
                <w:sz w:val="15"/>
              </w:rPr>
              <w:t>engine v7 precision@k (%)</w:t>
            </w:r>
          </w:p>
        </w:tc>
        <w:tc>
          <w:tcPr>
            <w:tcW w:type="dxa" w:w="2493"/>
          </w:tcPr>
          <w:p>
            <w:pPr>
              <w:spacing w:after="0"/>
            </w:pPr>
            <w:r/>
            <w:r>
              <w:rPr>
                <w:sz w:val="15"/>
              </w:rPr>
              <w:t>16.5 (15.4–17.6)</w:t>
            </w:r>
          </w:p>
        </w:tc>
        <w:tc>
          <w:tcPr>
            <w:tcW w:type="dxa" w:w="2493"/>
          </w:tcPr>
          <w:p>
            <w:pPr>
              <w:spacing w:after="0"/>
            </w:pPr>
            <w:r/>
            <w:r>
              <w:rPr>
                <w:sz w:val="15"/>
              </w:rPr>
              <w:t>14.2 (13.3–15.2)</w:t>
            </w:r>
          </w:p>
        </w:tc>
        <w:tc>
          <w:tcPr>
            <w:tcW w:type="dxa" w:w="2493"/>
          </w:tcPr>
          <w:p>
            <w:pPr>
              <w:spacing w:after="0"/>
            </w:pPr>
            <w:r/>
            <w:r>
              <w:rPr>
                <w:sz w:val="15"/>
              </w:rPr>
              <w:t>11.8 (11.1–12.6)</w:t>
            </w:r>
          </w:p>
        </w:tc>
      </w:tr>
      <w:tr>
        <w:tc>
          <w:tcPr>
            <w:tcW w:type="dxa" w:w="2493"/>
          </w:tcPr>
          <w:p>
            <w:pPr>
              <w:spacing w:after="0"/>
            </w:pPr>
            <w:r/>
            <w:r>
              <w:rPr>
                <w:sz w:val="15"/>
              </w:rPr>
              <w:t>engine v7 recall@k (%)</w:t>
            </w:r>
          </w:p>
        </w:tc>
        <w:tc>
          <w:tcPr>
            <w:tcW w:type="dxa" w:w="2493"/>
          </w:tcPr>
          <w:p>
            <w:pPr>
              <w:spacing w:after="0"/>
            </w:pPr>
            <w:r/>
            <w:r>
              <w:rPr>
                <w:sz w:val="15"/>
              </w:rPr>
              <w:t>47.9 (45.6–50.3)</w:t>
            </w:r>
          </w:p>
        </w:tc>
        <w:tc>
          <w:tcPr>
            <w:tcW w:type="dxa" w:w="2493"/>
          </w:tcPr>
          <w:p>
            <w:pPr>
              <w:spacing w:after="0"/>
            </w:pPr>
            <w:r/>
            <w:r>
              <w:rPr>
                <w:sz w:val="15"/>
              </w:rPr>
              <w:t>60.8 (58.5–63.0)</w:t>
            </w:r>
          </w:p>
        </w:tc>
        <w:tc>
          <w:tcPr>
            <w:tcW w:type="dxa" w:w="2493"/>
          </w:tcPr>
          <w:p>
            <w:pPr>
              <w:spacing w:after="0"/>
            </w:pPr>
            <w:r/>
            <w:r>
              <w:rPr>
                <w:sz w:val="15"/>
              </w:rPr>
              <w:t>74.1 (72.0–76.0)</w:t>
            </w:r>
          </w:p>
        </w:tc>
      </w:tr>
      <w:tr>
        <w:tc>
          <w:tcPr>
            <w:tcW w:type="dxa" w:w="2493"/>
          </w:tcPr>
          <w:p>
            <w:pPr>
              <w:spacing w:after="0"/>
            </w:pPr>
            <w:r/>
            <w:r>
              <w:rPr>
                <w:sz w:val="15"/>
              </w:rPr>
              <w:t>engine v7 f1@k (%)</w:t>
            </w:r>
          </w:p>
        </w:tc>
        <w:tc>
          <w:tcPr>
            <w:tcW w:type="dxa" w:w="2493"/>
          </w:tcPr>
          <w:p>
            <w:pPr>
              <w:spacing w:after="0"/>
            </w:pPr>
            <w:r/>
            <w:r>
              <w:rPr>
                <w:sz w:val="15"/>
              </w:rPr>
              <w:t>24.6 (23.2–26.0)</w:t>
            </w:r>
          </w:p>
        </w:tc>
        <w:tc>
          <w:tcPr>
            <w:tcW w:type="dxa" w:w="2493"/>
          </w:tcPr>
          <w:p>
            <w:pPr>
              <w:spacing w:after="0"/>
            </w:pPr>
            <w:r/>
            <w:r>
              <w:rPr>
                <w:sz w:val="15"/>
              </w:rPr>
              <w:t>23.1 (21.8–24.3)</w:t>
            </w:r>
          </w:p>
        </w:tc>
        <w:tc>
          <w:tcPr>
            <w:tcW w:type="dxa" w:w="2493"/>
          </w:tcPr>
          <w:p>
            <w:pPr>
              <w:spacing w:after="0"/>
            </w:pPr>
            <w:r/>
            <w:r>
              <w:rPr>
                <w:sz w:val="15"/>
              </w:rPr>
              <w:t>20.4 (19.3–21.5)</w:t>
            </w:r>
          </w:p>
        </w:tc>
      </w:tr>
      <w:tr>
        <w:tc>
          <w:tcPr>
            <w:tcW w:type="dxa" w:w="2493"/>
          </w:tcPr>
          <w:p>
            <w:pPr>
              <w:spacing w:after="0"/>
            </w:pPr>
            <w:r/>
            <w:r>
              <w:rPr>
                <w:sz w:val="15"/>
              </w:rPr>
              <w:t>engine v7 ndcg@k (%)</w:t>
            </w:r>
          </w:p>
        </w:tc>
        <w:tc>
          <w:tcPr>
            <w:tcW w:type="dxa" w:w="2493"/>
          </w:tcPr>
          <w:p>
            <w:pPr>
              <w:spacing w:after="0"/>
            </w:pPr>
            <w:r/>
            <w:r>
              <w:rPr>
                <w:sz w:val="15"/>
              </w:rPr>
              <w:t>53.1 (50.6–55.5)</w:t>
            </w:r>
          </w:p>
        </w:tc>
        <w:tc>
          <w:tcPr>
            <w:tcW w:type="dxa" w:w="2493"/>
          </w:tcPr>
          <w:p>
            <w:pPr>
              <w:spacing w:after="0"/>
            </w:pPr>
            <w:r/>
            <w:r>
              <w:rPr>
                <w:sz w:val="15"/>
              </w:rPr>
              <w:t>56.5 (54.1–58.8)</w:t>
            </w:r>
          </w:p>
        </w:tc>
        <w:tc>
          <w:tcPr>
            <w:tcW w:type="dxa" w:w="2493"/>
          </w:tcPr>
          <w:p>
            <w:pPr>
              <w:spacing w:after="0"/>
            </w:pPr>
            <w:r/>
            <w:r>
              <w:rPr>
                <w:sz w:val="15"/>
              </w:rPr>
              <w:t>60.6 (58.6–62.8)</w:t>
            </w:r>
          </w:p>
        </w:tc>
      </w:tr>
      <w:tr>
        <w:tc>
          <w:tcPr>
            <w:tcW w:type="dxa" w:w="2493"/>
          </w:tcPr>
          <w:p>
            <w:pPr>
              <w:spacing w:after="0"/>
            </w:pPr>
            <w:r/>
            <w:r>
              <w:rPr>
                <w:sz w:val="15"/>
              </w:rPr>
              <w:t>prevalence-ranking baseline precision@k (%)</w:t>
            </w:r>
          </w:p>
        </w:tc>
        <w:tc>
          <w:tcPr>
            <w:tcW w:type="dxa" w:w="2493"/>
          </w:tcPr>
          <w:p>
            <w:pPr>
              <w:spacing w:after="0"/>
            </w:pPr>
            <w:r/>
            <w:r>
              <w:rPr>
                <w:sz w:val="15"/>
              </w:rPr>
              <w:t>12.6</w:t>
            </w:r>
          </w:p>
        </w:tc>
        <w:tc>
          <w:tcPr>
            <w:tcW w:type="dxa" w:w="2493"/>
          </w:tcPr>
          <w:p>
            <w:pPr>
              <w:spacing w:after="0"/>
            </w:pPr>
            <w:r/>
            <w:r>
              <w:rPr>
                <w:sz w:val="15"/>
              </w:rPr>
              <w:t>10.8</w:t>
            </w:r>
          </w:p>
        </w:tc>
        <w:tc>
          <w:tcPr>
            <w:tcW w:type="dxa" w:w="2493"/>
          </w:tcPr>
          <w:p>
            <w:pPr>
              <w:spacing w:after="0"/>
            </w:pPr>
            <w:r/>
            <w:r>
              <w:rPr>
                <w:sz w:val="15"/>
              </w:rPr>
              <w:t>8.1</w:t>
            </w:r>
          </w:p>
        </w:tc>
      </w:tr>
      <w:tr>
        <w:tc>
          <w:tcPr>
            <w:tcW w:type="dxa" w:w="2493"/>
          </w:tcPr>
          <w:p>
            <w:pPr>
              <w:spacing w:after="0"/>
            </w:pPr>
            <w:r/>
            <w:r>
              <w:rPr>
                <w:sz w:val="15"/>
              </w:rPr>
              <w:t>prevalence-ranking baseline recall@k (%)</w:t>
            </w:r>
          </w:p>
        </w:tc>
        <w:tc>
          <w:tcPr>
            <w:tcW w:type="dxa" w:w="2493"/>
          </w:tcPr>
          <w:p>
            <w:pPr>
              <w:spacing w:after="0"/>
            </w:pPr>
            <w:r/>
            <w:r>
              <w:rPr>
                <w:sz w:val="15"/>
              </w:rPr>
              <w:t>36.1</w:t>
            </w:r>
          </w:p>
        </w:tc>
        <w:tc>
          <w:tcPr>
            <w:tcW w:type="dxa" w:w="2493"/>
          </w:tcPr>
          <w:p>
            <w:pPr>
              <w:spacing w:after="0"/>
            </w:pPr>
            <w:r/>
            <w:r>
              <w:rPr>
                <w:sz w:val="15"/>
              </w:rPr>
              <w:t>51.3</w:t>
            </w:r>
          </w:p>
        </w:tc>
        <w:tc>
          <w:tcPr>
            <w:tcW w:type="dxa" w:w="2493"/>
          </w:tcPr>
          <w:p>
            <w:pPr>
              <w:spacing w:after="0"/>
            </w:pPr>
            <w:r/>
            <w:r>
              <w:rPr>
                <w:sz w:val="15"/>
              </w:rPr>
              <w:t>76.8</w:t>
            </w:r>
          </w:p>
        </w:tc>
      </w:tr>
      <w:tr>
        <w:tc>
          <w:tcPr>
            <w:tcW w:type="dxa" w:w="2493"/>
          </w:tcPr>
          <w:p>
            <w:pPr>
              <w:spacing w:after="0"/>
            </w:pPr>
            <w:r/>
            <w:r>
              <w:rPr>
                <w:sz w:val="15"/>
              </w:rPr>
              <w:t>prevalence-ranking baseline f1@k (%)</w:t>
            </w:r>
          </w:p>
        </w:tc>
        <w:tc>
          <w:tcPr>
            <w:tcW w:type="dxa" w:w="2493"/>
          </w:tcPr>
          <w:p>
            <w:pPr>
              <w:spacing w:after="0"/>
            </w:pPr>
            <w:r/>
            <w:r>
              <w:rPr>
                <w:sz w:val="15"/>
              </w:rPr>
              <w:t>18.7</w:t>
            </w:r>
          </w:p>
        </w:tc>
        <w:tc>
          <w:tcPr>
            <w:tcW w:type="dxa" w:w="2493"/>
          </w:tcPr>
          <w:p>
            <w:pPr>
              <w:spacing w:after="0"/>
            </w:pPr>
            <w:r/>
            <w:r>
              <w:rPr>
                <w:sz w:val="15"/>
              </w:rPr>
              <w:t>17.8</w:t>
            </w:r>
          </w:p>
        </w:tc>
        <w:tc>
          <w:tcPr>
            <w:tcW w:type="dxa" w:w="2493"/>
          </w:tcPr>
          <w:p>
            <w:pPr>
              <w:spacing w:after="0"/>
            </w:pPr>
            <w:r/>
            <w:r>
              <w:rPr>
                <w:sz w:val="15"/>
              </w:rPr>
              <w:t>14.7</w:t>
            </w:r>
          </w:p>
        </w:tc>
      </w:tr>
      <w:tr>
        <w:tc>
          <w:tcPr>
            <w:tcW w:type="dxa" w:w="2493"/>
          </w:tcPr>
          <w:p>
            <w:pPr>
              <w:spacing w:after="0"/>
            </w:pPr>
            <w:r/>
            <w:r>
              <w:rPr>
                <w:sz w:val="15"/>
              </w:rPr>
              <w:t>prevalence-ranking baseline ndcg@k (%)</w:t>
            </w:r>
          </w:p>
        </w:tc>
        <w:tc>
          <w:tcPr>
            <w:tcW w:type="dxa" w:w="2493"/>
          </w:tcPr>
          <w:p>
            <w:pPr>
              <w:spacing w:after="0"/>
            </w:pPr>
            <w:r/>
            <w:r>
              <w:rPr>
                <w:sz w:val="15"/>
              </w:rPr>
              <w:t>34.9</w:t>
            </w:r>
          </w:p>
        </w:tc>
        <w:tc>
          <w:tcPr>
            <w:tcW w:type="dxa" w:w="2493"/>
          </w:tcPr>
          <w:p>
            <w:pPr>
              <w:spacing w:after="0"/>
            </w:pPr>
            <w:r/>
            <w:r>
              <w:rPr>
                <w:sz w:val="15"/>
              </w:rPr>
              <w:t>39.0</w:t>
            </w:r>
          </w:p>
        </w:tc>
        <w:tc>
          <w:tcPr>
            <w:tcW w:type="dxa" w:w="2493"/>
          </w:tcPr>
          <w:p>
            <w:pPr>
              <w:spacing w:after="0"/>
            </w:pPr>
            <w:r/>
            <w:r>
              <w:rPr>
                <w:sz w:val="15"/>
              </w:rPr>
              <w:t>49.9</w:t>
            </w:r>
          </w:p>
        </w:tc>
      </w:tr>
      <w:tr>
        <w:tc>
          <w:tcPr>
            <w:tcW w:type="dxa" w:w="2493"/>
          </w:tcPr>
          <w:p>
            <w:pPr>
              <w:spacing w:after="0"/>
            </w:pPr>
            <w:r/>
            <w:r>
              <w:rPr>
                <w:sz w:val="15"/>
              </w:rPr>
              <w:t>engine: label-group assertions per stay</w:t>
            </w:r>
          </w:p>
        </w:tc>
        <w:tc>
          <w:tcPr>
            <w:tcW w:type="dxa" w:w="2493"/>
          </w:tcPr>
          <w:p>
            <w:pPr>
              <w:spacing w:after="0"/>
            </w:pPr>
            <w:r/>
            <w:r>
              <w:rPr>
                <w:sz w:val="15"/>
              </w:rPr>
              <w:t>3.04</w:t>
            </w:r>
          </w:p>
        </w:tc>
        <w:tc>
          <w:tcPr>
            <w:tcW w:type="dxa" w:w="2493"/>
          </w:tcPr>
          <w:p>
            <w:pPr>
              <w:spacing w:after="0"/>
            </w:pPr>
            <w:r/>
            <w:r>
              <w:rPr>
                <w:sz w:val="15"/>
              </w:rPr>
              <w:t>4.49</w:t>
            </w:r>
          </w:p>
        </w:tc>
        <w:tc>
          <w:tcPr>
            <w:tcW w:type="dxa" w:w="2493"/>
          </w:tcPr>
          <w:p>
            <w:pPr>
              <w:spacing w:after="0"/>
            </w:pPr>
            <w:r/>
            <w:r>
              <w:rPr>
                <w:sz w:val="15"/>
              </w:rPr>
              <w:t>6.57</w:t>
            </w:r>
          </w:p>
        </w:tc>
      </w:tr>
      <w:tr>
        <w:tc>
          <w:tcPr>
            <w:tcW w:type="dxa" w:w="2493"/>
          </w:tcPr>
          <w:p>
            <w:pPr>
              <w:spacing w:after="0"/>
            </w:pPr>
            <w:r/>
            <w:r>
              <w:rPr>
                <w:sz w:val="15"/>
              </w:rPr>
              <w:t>renal_impairment</w:t>
            </w:r>
          </w:p>
        </w:tc>
        <w:tc>
          <w:tcPr>
            <w:tcW w:type="dxa" w:w="2493"/>
          </w:tcPr>
          <w:p>
            <w:pPr>
              <w:spacing w:after="0"/>
            </w:pPr>
            <w:r/>
            <w:r>
              <w:rPr>
                <w:sz w:val="15"/>
              </w:rPr>
              <w:t>326</w:t>
            </w:r>
          </w:p>
        </w:tc>
        <w:tc>
          <w:tcPr>
            <w:tcW w:type="dxa" w:w="2493"/>
          </w:tcPr>
          <w:p>
            <w:pPr>
              <w:spacing w:after="0"/>
            </w:pPr>
            <w:r/>
            <w:r>
              <w:rPr>
                <w:sz w:val="15"/>
              </w:rPr>
              <w:t>1066</w:t>
            </w:r>
          </w:p>
        </w:tc>
        <w:tc>
          <w:tcPr>
            <w:tcW w:type="dxa" w:w="2493"/>
          </w:tcPr>
          <w:p>
            <w:pPr>
              <w:spacing w:after="0"/>
            </w:pPr>
            <w:r/>
            <w:r>
              <w:rPr>
                <w:sz w:val="15"/>
              </w:rPr>
              <w:t>25</w:t>
            </w:r>
          </w:p>
        </w:tc>
      </w:tr>
      <w:tr>
        <w:tc>
          <w:tcPr>
            <w:tcW w:type="dxa" w:w="2493"/>
          </w:tcPr>
          <w:p>
            <w:pPr>
              <w:spacing w:after="0"/>
            </w:pPr>
            <w:r/>
            <w:r>
              <w:rPr>
                <w:sz w:val="15"/>
              </w:rPr>
              <w:t>sepsis</w:t>
            </w:r>
          </w:p>
        </w:tc>
        <w:tc>
          <w:tcPr>
            <w:tcW w:type="dxa" w:w="2493"/>
          </w:tcPr>
          <w:p>
            <w:pPr>
              <w:spacing w:after="0"/>
            </w:pPr>
            <w:r/>
            <w:r>
              <w:rPr>
                <w:sz w:val="15"/>
              </w:rPr>
              <w:t>289</w:t>
            </w:r>
          </w:p>
        </w:tc>
        <w:tc>
          <w:tcPr>
            <w:tcW w:type="dxa" w:w="2493"/>
          </w:tcPr>
          <w:p>
            <w:pPr>
              <w:spacing w:after="0"/>
            </w:pPr>
            <w:r/>
            <w:r>
              <w:rPr>
                <w:sz w:val="15"/>
              </w:rPr>
              <w:t>532</w:t>
            </w:r>
          </w:p>
        </w:tc>
        <w:tc>
          <w:tcPr>
            <w:tcW w:type="dxa" w:w="2493"/>
          </w:tcPr>
          <w:p>
            <w:pPr>
              <w:spacing w:after="0"/>
            </w:pPr>
            <w:r/>
            <w:r>
              <w:rPr>
                <w:sz w:val="15"/>
              </w:rPr>
              <w:t>27</w:t>
            </w:r>
          </w:p>
        </w:tc>
      </w:tr>
      <w:tr>
        <w:tc>
          <w:tcPr>
            <w:tcW w:type="dxa" w:w="2493"/>
          </w:tcPr>
          <w:p>
            <w:pPr>
              <w:spacing w:after="0"/>
            </w:pPr>
            <w:r/>
            <w:r>
              <w:rPr>
                <w:sz w:val="15"/>
              </w:rPr>
              <w:t>diabetes</w:t>
            </w:r>
          </w:p>
        </w:tc>
        <w:tc>
          <w:tcPr>
            <w:tcW w:type="dxa" w:w="2493"/>
          </w:tcPr>
          <w:p>
            <w:pPr>
              <w:spacing w:after="0"/>
            </w:pPr>
            <w:r/>
            <w:r>
              <w:rPr>
                <w:sz w:val="15"/>
              </w:rPr>
              <w:t>246</w:t>
            </w:r>
          </w:p>
        </w:tc>
        <w:tc>
          <w:tcPr>
            <w:tcW w:type="dxa" w:w="2493"/>
          </w:tcPr>
          <w:p>
            <w:pPr>
              <w:spacing w:after="0"/>
            </w:pPr>
            <w:r/>
            <w:r>
              <w:rPr>
                <w:sz w:val="15"/>
              </w:rPr>
              <w:t>611</w:t>
            </w:r>
          </w:p>
        </w:tc>
        <w:tc>
          <w:tcPr>
            <w:tcW w:type="dxa" w:w="2493"/>
          </w:tcPr>
          <w:p>
            <w:pPr>
              <w:spacing w:after="0"/>
            </w:pPr>
            <w:r/>
            <w:r>
              <w:rPr>
                <w:sz w:val="15"/>
              </w:rPr>
              <w:t>18</w:t>
            </w:r>
          </w:p>
        </w:tc>
      </w:tr>
      <w:tr>
        <w:tc>
          <w:tcPr>
            <w:tcW w:type="dxa" w:w="2493"/>
          </w:tcPr>
          <w:p>
            <w:pPr>
              <w:spacing w:after="0"/>
            </w:pPr>
            <w:r/>
            <w:r>
              <w:rPr>
                <w:sz w:val="15"/>
              </w:rPr>
              <w:t>acute_kidney_injury</w:t>
            </w:r>
          </w:p>
        </w:tc>
        <w:tc>
          <w:tcPr>
            <w:tcW w:type="dxa" w:w="2493"/>
          </w:tcPr>
          <w:p>
            <w:pPr>
              <w:spacing w:after="0"/>
            </w:pPr>
            <w:r/>
            <w:r>
              <w:rPr>
                <w:sz w:val="15"/>
              </w:rPr>
              <w:t>218</w:t>
            </w:r>
          </w:p>
        </w:tc>
        <w:tc>
          <w:tcPr>
            <w:tcW w:type="dxa" w:w="2493"/>
          </w:tcPr>
          <w:p>
            <w:pPr>
              <w:spacing w:after="0"/>
            </w:pPr>
            <w:r/>
            <w:r>
              <w:rPr>
                <w:sz w:val="15"/>
              </w:rPr>
              <w:t>947</w:t>
            </w:r>
          </w:p>
        </w:tc>
        <w:tc>
          <w:tcPr>
            <w:tcW w:type="dxa" w:w="2493"/>
          </w:tcPr>
          <w:p>
            <w:pPr>
              <w:spacing w:after="0"/>
            </w:pPr>
            <w:r/>
            <w:r>
              <w:rPr>
                <w:sz w:val="15"/>
              </w:rPr>
              <w:t>18</w:t>
            </w:r>
          </w:p>
        </w:tc>
      </w:tr>
      <w:tr>
        <w:tc>
          <w:tcPr>
            <w:tcW w:type="dxa" w:w="2493"/>
          </w:tcPr>
          <w:p>
            <w:pPr>
              <w:spacing w:after="0"/>
            </w:pPr>
            <w:r/>
            <w:r>
              <w:rPr>
                <w:sz w:val="15"/>
              </w:rPr>
              <w:t>chronic_kidney_disease</w:t>
            </w:r>
          </w:p>
        </w:tc>
        <w:tc>
          <w:tcPr>
            <w:tcW w:type="dxa" w:w="2493"/>
          </w:tcPr>
          <w:p>
            <w:pPr>
              <w:spacing w:after="0"/>
            </w:pPr>
            <w:r/>
            <w:r>
              <w:rPr>
                <w:sz w:val="15"/>
              </w:rPr>
              <w:t>148</w:t>
            </w:r>
          </w:p>
        </w:tc>
        <w:tc>
          <w:tcPr>
            <w:tcW w:type="dxa" w:w="2493"/>
          </w:tcPr>
          <w:p>
            <w:pPr>
              <w:spacing w:after="0"/>
            </w:pPr>
            <w:r/>
            <w:r>
              <w:rPr>
                <w:sz w:val="15"/>
              </w:rPr>
              <w:t>239</w:t>
            </w:r>
          </w:p>
        </w:tc>
        <w:tc>
          <w:tcPr>
            <w:tcW w:type="dxa" w:w="2493"/>
          </w:tcPr>
          <w:p>
            <w:pPr>
              <w:spacing w:after="0"/>
            </w:pPr>
            <w:r/>
            <w:r>
              <w:rPr>
                <w:sz w:val="15"/>
              </w:rPr>
              <w:t>22</w:t>
            </w:r>
          </w:p>
        </w:tc>
      </w:tr>
      <w:tr>
        <w:tc>
          <w:tcPr>
            <w:tcW w:type="dxa" w:w="2493"/>
          </w:tcPr>
          <w:p>
            <w:pPr>
              <w:spacing w:after="0"/>
            </w:pPr>
            <w:r/>
            <w:r>
              <w:rPr>
                <w:sz w:val="15"/>
              </w:rPr>
              <w:t>anemia</w:t>
            </w:r>
          </w:p>
        </w:tc>
        <w:tc>
          <w:tcPr>
            <w:tcW w:type="dxa" w:w="2493"/>
          </w:tcPr>
          <w:p>
            <w:pPr>
              <w:spacing w:after="0"/>
            </w:pPr>
            <w:r/>
            <w:r>
              <w:rPr>
                <w:sz w:val="15"/>
              </w:rPr>
              <w:t>147</w:t>
            </w:r>
          </w:p>
        </w:tc>
        <w:tc>
          <w:tcPr>
            <w:tcW w:type="dxa" w:w="2493"/>
          </w:tcPr>
          <w:p>
            <w:pPr>
              <w:spacing w:after="0"/>
            </w:pPr>
            <w:r/>
            <w:r>
              <w:rPr>
                <w:sz w:val="15"/>
              </w:rPr>
              <w:t>1141</w:t>
            </w:r>
          </w:p>
        </w:tc>
        <w:tc>
          <w:tcPr>
            <w:tcW w:type="dxa" w:w="2493"/>
          </w:tcPr>
          <w:p>
            <w:pPr>
              <w:spacing w:after="0"/>
            </w:pPr>
            <w:r/>
            <w:r>
              <w:rPr>
                <w:sz w:val="15"/>
              </w:rPr>
              <w:t>11</w:t>
            </w:r>
          </w:p>
        </w:tc>
      </w:tr>
      <w:tr>
        <w:tc>
          <w:tcPr>
            <w:tcW w:type="dxa" w:w="2493"/>
          </w:tcPr>
          <w:p>
            <w:pPr>
              <w:spacing w:after="0"/>
            </w:pPr>
            <w:r/>
            <w:r>
              <w:rPr>
                <w:sz w:val="15"/>
              </w:rPr>
              <w:t>gi_bleeding</w:t>
            </w:r>
          </w:p>
        </w:tc>
        <w:tc>
          <w:tcPr>
            <w:tcW w:type="dxa" w:w="2493"/>
          </w:tcPr>
          <w:p>
            <w:pPr>
              <w:spacing w:after="0"/>
            </w:pPr>
            <w:r/>
            <w:r>
              <w:rPr>
                <w:sz w:val="15"/>
              </w:rPr>
              <w:t>145</w:t>
            </w:r>
          </w:p>
        </w:tc>
        <w:tc>
          <w:tcPr>
            <w:tcW w:type="dxa" w:w="2493"/>
          </w:tcPr>
          <w:p>
            <w:pPr>
              <w:spacing w:after="0"/>
            </w:pPr>
            <w:r/>
            <w:r>
              <w:rPr>
                <w:sz w:val="15"/>
              </w:rPr>
              <w:t>1123</w:t>
            </w:r>
          </w:p>
        </w:tc>
        <w:tc>
          <w:tcPr>
            <w:tcW w:type="dxa" w:w="2493"/>
          </w:tcPr>
          <w:p>
            <w:pPr>
              <w:spacing w:after="0"/>
            </w:pPr>
            <w:r/>
            <w:r>
              <w:rPr>
                <w:sz w:val="15"/>
              </w:rPr>
              <w:t>10</w:t>
            </w:r>
          </w:p>
        </w:tc>
      </w:tr>
      <w:tr>
        <w:tc>
          <w:tcPr>
            <w:tcW w:type="dxa" w:w="2493"/>
          </w:tcPr>
          <w:p>
            <w:pPr>
              <w:spacing w:after="0"/>
            </w:pPr>
            <w:r/>
            <w:r>
              <w:rPr>
                <w:sz w:val="15"/>
              </w:rPr>
              <w:t>diabetic_ketoacidosis</w:t>
            </w:r>
          </w:p>
        </w:tc>
        <w:tc>
          <w:tcPr>
            <w:tcW w:type="dxa" w:w="2493"/>
          </w:tcPr>
          <w:p>
            <w:pPr>
              <w:spacing w:after="0"/>
            </w:pPr>
            <w:r/>
            <w:r>
              <w:rPr>
                <w:sz w:val="15"/>
              </w:rPr>
              <w:t>107</w:t>
            </w:r>
          </w:p>
        </w:tc>
        <w:tc>
          <w:tcPr>
            <w:tcW w:type="dxa" w:w="2493"/>
          </w:tcPr>
          <w:p>
            <w:pPr>
              <w:spacing w:after="0"/>
            </w:pPr>
            <w:r/>
            <w:r>
              <w:rPr>
                <w:sz w:val="15"/>
              </w:rPr>
              <w:t>98</w:t>
            </w:r>
          </w:p>
        </w:tc>
        <w:tc>
          <w:tcPr>
            <w:tcW w:type="dxa" w:w="2493"/>
          </w:tcPr>
          <w:p>
            <w:pPr>
              <w:spacing w:after="0"/>
            </w:pPr>
            <w:r/>
            <w:r>
              <w:rPr>
                <w:sz w:val="15"/>
              </w:rPr>
              <w:t>69</w:t>
            </w:r>
          </w:p>
        </w:tc>
      </w:tr>
      <w:tr>
        <w:tc>
          <w:tcPr>
            <w:tcW w:type="dxa" w:w="2493"/>
          </w:tcPr>
          <w:p>
            <w:pPr>
              <w:spacing w:after="0"/>
            </w:pPr>
            <w:r/>
            <w:r>
              <w:rPr>
                <w:sz w:val="15"/>
              </w:rPr>
              <w:t>hyperglycemia</w:t>
            </w:r>
          </w:p>
        </w:tc>
        <w:tc>
          <w:tcPr>
            <w:tcW w:type="dxa" w:w="2493"/>
          </w:tcPr>
          <w:p>
            <w:pPr>
              <w:spacing w:after="0"/>
            </w:pPr>
            <w:r/>
            <w:r>
              <w:rPr>
                <w:sz w:val="15"/>
              </w:rPr>
              <w:t>96</w:t>
            </w:r>
          </w:p>
        </w:tc>
        <w:tc>
          <w:tcPr>
            <w:tcW w:type="dxa" w:w="2493"/>
          </w:tcPr>
          <w:p>
            <w:pPr>
              <w:spacing w:after="0"/>
            </w:pPr>
            <w:r/>
            <w:r>
              <w:rPr>
                <w:sz w:val="15"/>
              </w:rPr>
              <w:t>611</w:t>
            </w:r>
          </w:p>
        </w:tc>
        <w:tc>
          <w:tcPr>
            <w:tcW w:type="dxa" w:w="2493"/>
          </w:tcPr>
          <w:p>
            <w:pPr>
              <w:spacing w:after="0"/>
            </w:pPr>
            <w:r/>
            <w:r>
              <w:rPr>
                <w:sz w:val="15"/>
              </w:rPr>
              <w:t>7</w:t>
            </w:r>
          </w:p>
        </w:tc>
      </w:tr>
      <w:tr>
        <w:tc>
          <w:tcPr>
            <w:tcW w:type="dxa" w:w="2493"/>
          </w:tcPr>
          <w:p>
            <w:pPr>
              <w:spacing w:after="0"/>
            </w:pPr>
            <w:r/>
            <w:r>
              <w:rPr>
                <w:sz w:val="15"/>
              </w:rPr>
              <w:t>acute_myocardial_infarction</w:t>
            </w:r>
          </w:p>
        </w:tc>
        <w:tc>
          <w:tcPr>
            <w:tcW w:type="dxa" w:w="2493"/>
          </w:tcPr>
          <w:p>
            <w:pPr>
              <w:spacing w:after="0"/>
            </w:pPr>
            <w:r/>
            <w:r>
              <w:rPr>
                <w:sz w:val="15"/>
              </w:rPr>
              <w:t>84</w:t>
            </w:r>
          </w:p>
        </w:tc>
        <w:tc>
          <w:tcPr>
            <w:tcW w:type="dxa" w:w="2493"/>
          </w:tcPr>
          <w:p>
            <w:pPr>
              <w:spacing w:after="0"/>
            </w:pPr>
            <w:r/>
            <w:r>
              <w:rPr>
                <w:sz w:val="15"/>
              </w:rPr>
              <w:t>436</w:t>
            </w:r>
          </w:p>
        </w:tc>
        <w:tc>
          <w:tcPr>
            <w:tcW w:type="dxa" w:w="2493"/>
          </w:tcPr>
          <w:p>
            <w:pPr>
              <w:spacing w:after="0"/>
            </w:pPr>
            <w:r/>
            <w:r>
              <w:rPr>
                <w:sz w:val="15"/>
              </w:rPr>
              <w:t>17</w:t>
            </w:r>
          </w:p>
        </w:tc>
      </w:tr>
      <w:tr>
        <w:tc>
          <w:tcPr>
            <w:tcW w:type="dxa" w:w="2493"/>
          </w:tcPr>
          <w:p>
            <w:pPr>
              <w:spacing w:after="0"/>
            </w:pPr>
            <w:r/>
            <w:r>
              <w:rPr>
                <w:sz w:val="15"/>
              </w:rPr>
              <w:t>hypokalemia</w:t>
            </w:r>
          </w:p>
        </w:tc>
        <w:tc>
          <w:tcPr>
            <w:tcW w:type="dxa" w:w="2493"/>
          </w:tcPr>
          <w:p>
            <w:pPr>
              <w:spacing w:after="0"/>
            </w:pPr>
            <w:r/>
            <w:r>
              <w:rPr>
                <w:sz w:val="15"/>
              </w:rPr>
              <w:t>67</w:t>
            </w:r>
          </w:p>
        </w:tc>
        <w:tc>
          <w:tcPr>
            <w:tcW w:type="dxa" w:w="2493"/>
          </w:tcPr>
          <w:p>
            <w:pPr>
              <w:spacing w:after="0"/>
            </w:pPr>
            <w:r/>
            <w:r>
              <w:rPr>
                <w:sz w:val="15"/>
              </w:rPr>
              <w:t>259</w:t>
            </w:r>
          </w:p>
        </w:tc>
        <w:tc>
          <w:tcPr>
            <w:tcW w:type="dxa" w:w="2493"/>
          </w:tcPr>
          <w:p>
            <w:pPr>
              <w:spacing w:after="0"/>
            </w:pPr>
            <w:r/>
            <w:r>
              <w:rPr>
                <w:sz w:val="15"/>
              </w:rPr>
              <w:t>13</w:t>
            </w:r>
          </w:p>
        </w:tc>
      </w:tr>
      <w:tr>
        <w:tc>
          <w:tcPr>
            <w:tcW w:type="dxa" w:w="2493"/>
          </w:tcPr>
          <w:p>
            <w:pPr>
              <w:spacing w:after="0"/>
            </w:pPr>
            <w:r/>
            <w:r>
              <w:rPr>
                <w:sz w:val="15"/>
              </w:rPr>
              <w:t>heart_failure</w:t>
            </w:r>
          </w:p>
        </w:tc>
        <w:tc>
          <w:tcPr>
            <w:tcW w:type="dxa" w:w="2493"/>
          </w:tcPr>
          <w:p>
            <w:pPr>
              <w:spacing w:after="0"/>
            </w:pPr>
            <w:r/>
            <w:r>
              <w:rPr>
                <w:sz w:val="15"/>
              </w:rPr>
              <w:t>58</w:t>
            </w:r>
          </w:p>
        </w:tc>
        <w:tc>
          <w:tcPr>
            <w:tcW w:type="dxa" w:w="2493"/>
          </w:tcPr>
          <w:p>
            <w:pPr>
              <w:spacing w:after="0"/>
            </w:pPr>
            <w:r/>
            <w:r>
              <w:rPr>
                <w:sz w:val="15"/>
              </w:rPr>
              <w:t>168</w:t>
            </w:r>
          </w:p>
        </w:tc>
        <w:tc>
          <w:tcPr>
            <w:tcW w:type="dxa" w:w="2493"/>
          </w:tcPr>
          <w:p>
            <w:pPr>
              <w:spacing w:after="0"/>
            </w:pPr>
            <w:r/>
            <w:r>
              <w:rPr>
                <w:sz w:val="15"/>
              </w:rPr>
              <w:t>29</w:t>
            </w:r>
          </w:p>
        </w:tc>
      </w:tr>
      <w:tr>
        <w:tc>
          <w:tcPr>
            <w:tcW w:type="dxa" w:w="2493"/>
          </w:tcPr>
          <w:p>
            <w:pPr>
              <w:spacing w:after="0"/>
            </w:pPr>
            <w:r/>
            <w:r>
              <w:rPr>
                <w:sz w:val="15"/>
              </w:rPr>
              <w:t>leukocytosis</w:t>
            </w:r>
          </w:p>
        </w:tc>
        <w:tc>
          <w:tcPr>
            <w:tcW w:type="dxa" w:w="2493"/>
          </w:tcPr>
          <w:p>
            <w:pPr>
              <w:spacing w:after="0"/>
            </w:pPr>
            <w:r/>
            <w:r>
              <w:rPr>
                <w:sz w:val="15"/>
              </w:rPr>
              <w:t>57</w:t>
            </w:r>
          </w:p>
        </w:tc>
        <w:tc>
          <w:tcPr>
            <w:tcW w:type="dxa" w:w="2493"/>
          </w:tcPr>
          <w:p>
            <w:pPr>
              <w:spacing w:after="0"/>
            </w:pPr>
            <w:r/>
            <w:r>
              <w:rPr>
                <w:sz w:val="15"/>
              </w:rPr>
              <w:t>597</w:t>
            </w:r>
          </w:p>
        </w:tc>
        <w:tc>
          <w:tcPr>
            <w:tcW w:type="dxa" w:w="2493"/>
          </w:tcPr>
          <w:p>
            <w:pPr>
              <w:spacing w:after="0"/>
            </w:pPr>
            <w:r/>
            <w:r>
              <w:rPr>
                <w:sz w:val="15"/>
              </w:rPr>
              <w:t>4</w:t>
            </w:r>
          </w:p>
        </w:tc>
      </w:tr>
      <w:tr>
        <w:tc>
          <w:tcPr>
            <w:tcW w:type="dxa" w:w="2493"/>
          </w:tcPr>
          <w:p>
            <w:pPr>
              <w:spacing w:after="0"/>
            </w:pPr>
            <w:r/>
            <w:r>
              <w:rPr>
                <w:sz w:val="15"/>
              </w:rPr>
              <w:t>hyponatremia</w:t>
            </w:r>
          </w:p>
        </w:tc>
        <w:tc>
          <w:tcPr>
            <w:tcW w:type="dxa" w:w="2493"/>
          </w:tcPr>
          <w:p>
            <w:pPr>
              <w:spacing w:after="0"/>
            </w:pPr>
            <w:r/>
            <w:r>
              <w:rPr>
                <w:sz w:val="15"/>
              </w:rPr>
              <w:t>52</w:t>
            </w:r>
          </w:p>
        </w:tc>
        <w:tc>
          <w:tcPr>
            <w:tcW w:type="dxa" w:w="2493"/>
          </w:tcPr>
          <w:p>
            <w:pPr>
              <w:spacing w:after="0"/>
            </w:pPr>
            <w:r/>
            <w:r>
              <w:rPr>
                <w:sz w:val="15"/>
              </w:rPr>
              <w:t>246</w:t>
            </w:r>
          </w:p>
        </w:tc>
        <w:tc>
          <w:tcPr>
            <w:tcW w:type="dxa" w:w="2493"/>
          </w:tcPr>
          <w:p>
            <w:pPr>
              <w:spacing w:after="0"/>
            </w:pPr>
            <w:r/>
            <w:r>
              <w:rPr>
                <w:sz w:val="15"/>
              </w:rPr>
              <w:t>13</w:t>
            </w:r>
          </w:p>
        </w:tc>
      </w:tr>
      <w:tr>
        <w:tc>
          <w:tcPr>
            <w:tcW w:type="dxa" w:w="2493"/>
          </w:tcPr>
          <w:p>
            <w:pPr>
              <w:spacing w:after="0"/>
            </w:pPr>
            <w:r/>
            <w:r>
              <w:rPr>
                <w:sz w:val="15"/>
              </w:rPr>
              <w:t>metabolic_acidosis</w:t>
            </w:r>
          </w:p>
        </w:tc>
        <w:tc>
          <w:tcPr>
            <w:tcW w:type="dxa" w:w="2493"/>
          </w:tcPr>
          <w:p>
            <w:pPr>
              <w:spacing w:after="0"/>
            </w:pPr>
            <w:r/>
            <w:r>
              <w:rPr>
                <w:sz w:val="15"/>
              </w:rPr>
              <w:t>51</w:t>
            </w:r>
          </w:p>
        </w:tc>
        <w:tc>
          <w:tcPr>
            <w:tcW w:type="dxa" w:w="2493"/>
          </w:tcPr>
          <w:p>
            <w:pPr>
              <w:spacing w:after="0"/>
            </w:pPr>
            <w:r/>
            <w:r>
              <w:rPr>
                <w:sz w:val="15"/>
              </w:rPr>
              <w:t>444</w:t>
            </w:r>
          </w:p>
        </w:tc>
        <w:tc>
          <w:tcPr>
            <w:tcW w:type="dxa" w:w="2493"/>
          </w:tcPr>
          <w:p>
            <w:pPr>
              <w:spacing w:after="0"/>
            </w:pPr>
            <w:r/>
            <w:r>
              <w:rPr>
                <w:sz w:val="15"/>
              </w:rPr>
              <w:t>6</w:t>
            </w:r>
          </w:p>
        </w:tc>
      </w:tr>
      <w:tr>
        <w:tc>
          <w:tcPr>
            <w:tcW w:type="dxa" w:w="2493"/>
          </w:tcPr>
          <w:p>
            <w:pPr>
              <w:spacing w:after="0"/>
            </w:pPr>
            <w:r/>
            <w:r>
              <w:rPr>
                <w:sz w:val="15"/>
              </w:rPr>
              <w:t>hyperkalemia</w:t>
            </w:r>
          </w:p>
        </w:tc>
        <w:tc>
          <w:tcPr>
            <w:tcW w:type="dxa" w:w="2493"/>
          </w:tcPr>
          <w:p>
            <w:pPr>
              <w:spacing w:after="0"/>
            </w:pPr>
            <w:r/>
            <w:r>
              <w:rPr>
                <w:sz w:val="15"/>
              </w:rPr>
              <w:t>49</w:t>
            </w:r>
          </w:p>
        </w:tc>
        <w:tc>
          <w:tcPr>
            <w:tcW w:type="dxa" w:w="2493"/>
          </w:tcPr>
          <w:p>
            <w:pPr>
              <w:spacing w:after="0"/>
            </w:pPr>
            <w:r/>
            <w:r>
              <w:rPr>
                <w:sz w:val="15"/>
              </w:rPr>
              <w:t>77</w:t>
            </w:r>
          </w:p>
        </w:tc>
        <w:tc>
          <w:tcPr>
            <w:tcW w:type="dxa" w:w="2493"/>
          </w:tcPr>
          <w:p>
            <w:pPr>
              <w:spacing w:after="0"/>
            </w:pPr>
            <w:r/>
            <w:r>
              <w:rPr>
                <w:sz w:val="15"/>
              </w:rPr>
              <w:t>31</w:t>
            </w:r>
          </w:p>
        </w:tc>
      </w:tr>
      <w:tr>
        <w:tc>
          <w:tcPr>
            <w:tcW w:type="dxa" w:w="2493"/>
          </w:tcPr>
          <w:p>
            <w:pPr>
              <w:spacing w:after="0"/>
            </w:pPr>
            <w:r/>
            <w:r>
              <w:rPr>
                <w:sz w:val="15"/>
              </w:rPr>
              <w:t>thrombocytopenia</w:t>
            </w:r>
          </w:p>
        </w:tc>
        <w:tc>
          <w:tcPr>
            <w:tcW w:type="dxa" w:w="2493"/>
          </w:tcPr>
          <w:p>
            <w:pPr>
              <w:spacing w:after="0"/>
            </w:pPr>
            <w:r/>
            <w:r>
              <w:rPr>
                <w:sz w:val="15"/>
              </w:rPr>
              <w:t>40</w:t>
            </w:r>
          </w:p>
        </w:tc>
        <w:tc>
          <w:tcPr>
            <w:tcW w:type="dxa" w:w="2493"/>
          </w:tcPr>
          <w:p>
            <w:pPr>
              <w:spacing w:after="0"/>
            </w:pPr>
            <w:r/>
            <w:r>
              <w:rPr>
                <w:sz w:val="15"/>
              </w:rPr>
              <w:t>300</w:t>
            </w:r>
          </w:p>
        </w:tc>
        <w:tc>
          <w:tcPr>
            <w:tcW w:type="dxa" w:w="2493"/>
          </w:tcPr>
          <w:p>
            <w:pPr>
              <w:spacing w:after="0"/>
            </w:pPr>
            <w:r/>
            <w:r>
              <w:rPr>
                <w:sz w:val="15"/>
              </w:rPr>
              <w:t>9</w:t>
            </w:r>
          </w:p>
        </w:tc>
      </w:tr>
      <w:tr>
        <w:tc>
          <w:tcPr>
            <w:tcW w:type="dxa" w:w="2493"/>
          </w:tcPr>
          <w:p>
            <w:pPr>
              <w:spacing w:after="0"/>
            </w:pPr>
            <w:r/>
            <w:r>
              <w:rPr>
                <w:sz w:val="15"/>
              </w:rPr>
              <w:t>hypomagnesemia</w:t>
            </w:r>
          </w:p>
        </w:tc>
        <w:tc>
          <w:tcPr>
            <w:tcW w:type="dxa" w:w="2493"/>
          </w:tcPr>
          <w:p>
            <w:pPr>
              <w:spacing w:after="0"/>
            </w:pPr>
            <w:r/>
            <w:r>
              <w:rPr>
                <w:sz w:val="15"/>
              </w:rPr>
              <w:t>37</w:t>
            </w:r>
          </w:p>
        </w:tc>
        <w:tc>
          <w:tcPr>
            <w:tcW w:type="dxa" w:w="2493"/>
          </w:tcPr>
          <w:p>
            <w:pPr>
              <w:spacing w:after="0"/>
            </w:pPr>
            <w:r/>
            <w:r>
              <w:rPr>
                <w:sz w:val="15"/>
              </w:rPr>
              <w:t>161</w:t>
            </w:r>
          </w:p>
        </w:tc>
        <w:tc>
          <w:tcPr>
            <w:tcW w:type="dxa" w:w="2493"/>
          </w:tcPr>
          <w:p>
            <w:pPr>
              <w:spacing w:after="0"/>
            </w:pPr>
            <w:r/>
            <w:r>
              <w:rPr>
                <w:sz w:val="15"/>
              </w:rPr>
              <w:t>8</w:t>
            </w:r>
          </w:p>
        </w:tc>
      </w:tr>
      <w:tr>
        <w:tc>
          <w:tcPr>
            <w:tcW w:type="dxa" w:w="2493"/>
          </w:tcPr>
          <w:p>
            <w:pPr>
              <w:spacing w:after="0"/>
            </w:pPr>
            <w:r/>
            <w:r>
              <w:rPr>
                <w:sz w:val="15"/>
              </w:rPr>
              <w:t>alcohol_withdrawal</w:t>
            </w:r>
          </w:p>
        </w:tc>
        <w:tc>
          <w:tcPr>
            <w:tcW w:type="dxa" w:w="2493"/>
          </w:tcPr>
          <w:p>
            <w:pPr>
              <w:spacing w:after="0"/>
            </w:pPr>
            <w:r/>
            <w:r>
              <w:rPr>
                <w:sz w:val="15"/>
              </w:rPr>
              <w:t>33</w:t>
            </w:r>
          </w:p>
        </w:tc>
        <w:tc>
          <w:tcPr>
            <w:tcW w:type="dxa" w:w="2493"/>
          </w:tcPr>
          <w:p>
            <w:pPr>
              <w:spacing w:after="0"/>
            </w:pPr>
            <w:r/>
            <w:r>
              <w:rPr>
                <w:sz w:val="15"/>
              </w:rPr>
              <w:t>90</w:t>
            </w:r>
          </w:p>
        </w:tc>
        <w:tc>
          <w:tcPr>
            <w:tcW w:type="dxa" w:w="2493"/>
          </w:tcPr>
          <w:p>
            <w:pPr>
              <w:spacing w:after="0"/>
            </w:pPr>
            <w:r/>
            <w:r>
              <w:rPr>
                <w:sz w:val="15"/>
              </w:rPr>
              <w:t>12</w:t>
            </w:r>
          </w:p>
        </w:tc>
      </w:tr>
      <w:tr>
        <w:tc>
          <w:tcPr>
            <w:tcW w:type="dxa" w:w="2493"/>
          </w:tcPr>
          <w:p>
            <w:pPr>
              <w:spacing w:after="0"/>
            </w:pPr>
            <w:r/>
            <w:r>
              <w:rPr>
                <w:sz w:val="15"/>
              </w:rPr>
              <w:t>coagulopathy</w:t>
            </w:r>
          </w:p>
        </w:tc>
        <w:tc>
          <w:tcPr>
            <w:tcW w:type="dxa" w:w="2493"/>
          </w:tcPr>
          <w:p>
            <w:pPr>
              <w:spacing w:after="0"/>
            </w:pPr>
            <w:r/>
            <w:r>
              <w:rPr>
                <w:sz w:val="15"/>
              </w:rPr>
              <w:t>28</w:t>
            </w:r>
          </w:p>
        </w:tc>
        <w:tc>
          <w:tcPr>
            <w:tcW w:type="dxa" w:w="2493"/>
          </w:tcPr>
          <w:p>
            <w:pPr>
              <w:spacing w:after="0"/>
            </w:pPr>
            <w:r/>
            <w:r>
              <w:rPr>
                <w:sz w:val="15"/>
              </w:rPr>
              <w:t>119</w:t>
            </w:r>
          </w:p>
        </w:tc>
        <w:tc>
          <w:tcPr>
            <w:tcW w:type="dxa" w:w="2493"/>
          </w:tcPr>
          <w:p>
            <w:pPr>
              <w:spacing w:after="0"/>
            </w:pPr>
            <w:r/>
            <w:r>
              <w:rPr>
                <w:sz w:val="15"/>
              </w:rPr>
              <w:t>11</w:t>
            </w:r>
          </w:p>
        </w:tc>
      </w:tr>
      <w:tr>
        <w:tc>
          <w:tcPr>
            <w:tcW w:type="dxa" w:w="2493"/>
          </w:tcPr>
          <w:p>
            <w:pPr>
              <w:spacing w:after="0"/>
            </w:pPr>
            <w:r/>
            <w:r>
              <w:rPr>
                <w:sz w:val="15"/>
              </w:rPr>
              <w:t>cirrhosis_liver_failure</w:t>
            </w:r>
          </w:p>
        </w:tc>
        <w:tc>
          <w:tcPr>
            <w:tcW w:type="dxa" w:w="2493"/>
          </w:tcPr>
          <w:p>
            <w:pPr>
              <w:spacing w:after="0"/>
            </w:pPr>
            <w:r/>
            <w:r>
              <w:rPr>
                <w:sz w:val="15"/>
              </w:rPr>
              <w:t>25</w:t>
            </w:r>
          </w:p>
        </w:tc>
        <w:tc>
          <w:tcPr>
            <w:tcW w:type="dxa" w:w="2493"/>
          </w:tcPr>
          <w:p>
            <w:pPr>
              <w:spacing w:after="0"/>
            </w:pPr>
            <w:r/>
            <w:r>
              <w:rPr>
                <w:sz w:val="15"/>
              </w:rPr>
              <w:t>187</w:t>
            </w:r>
          </w:p>
        </w:tc>
        <w:tc>
          <w:tcPr>
            <w:tcW w:type="dxa" w:w="2493"/>
          </w:tcPr>
          <w:p>
            <w:pPr>
              <w:spacing w:after="0"/>
            </w:pPr>
            <w:r/>
            <w:r>
              <w:rPr>
                <w:sz w:val="15"/>
              </w:rPr>
              <w:t>8</w:t>
            </w:r>
          </w:p>
        </w:tc>
      </w:tr>
      <w:tr>
        <w:tc>
          <w:tcPr>
            <w:tcW w:type="dxa" w:w="2493"/>
          </w:tcPr>
          <w:p>
            <w:pPr>
              <w:spacing w:after="0"/>
            </w:pPr>
            <w:r/>
            <w:r>
              <w:rPr>
                <w:sz w:val="15"/>
              </w:rPr>
              <w:t>hypoglycemia</w:t>
            </w:r>
          </w:p>
        </w:tc>
        <w:tc>
          <w:tcPr>
            <w:tcW w:type="dxa" w:w="2493"/>
          </w:tcPr>
          <w:p>
            <w:pPr>
              <w:spacing w:after="0"/>
            </w:pPr>
            <w:r/>
            <w:r>
              <w:rPr>
                <w:sz w:val="15"/>
              </w:rPr>
              <w:t>21</w:t>
            </w:r>
          </w:p>
        </w:tc>
        <w:tc>
          <w:tcPr>
            <w:tcW w:type="dxa" w:w="2493"/>
          </w:tcPr>
          <w:p>
            <w:pPr>
              <w:spacing w:after="0"/>
            </w:pPr>
            <w:r/>
            <w:r>
              <w:rPr>
                <w:sz w:val="15"/>
              </w:rPr>
              <w:t>13</w:t>
            </w:r>
          </w:p>
        </w:tc>
        <w:tc>
          <w:tcPr>
            <w:tcW w:type="dxa" w:w="2493"/>
          </w:tcPr>
          <w:p>
            <w:pPr>
              <w:spacing w:after="0"/>
            </w:pPr>
            <w:r/>
            <w:r>
              <w:rPr>
                <w:sz w:val="15"/>
              </w:rPr>
              <w:t>38</w:t>
            </w:r>
          </w:p>
        </w:tc>
      </w:tr>
      <w:tr>
        <w:tc>
          <w:tcPr>
            <w:tcW w:type="dxa" w:w="2493"/>
          </w:tcPr>
          <w:p>
            <w:pPr>
              <w:spacing w:after="0"/>
            </w:pPr>
            <w:r/>
            <w:r>
              <w:rPr>
                <w:sz w:val="15"/>
              </w:rPr>
              <w:t>lactic_acidosis</w:t>
            </w:r>
          </w:p>
        </w:tc>
        <w:tc>
          <w:tcPr>
            <w:tcW w:type="dxa" w:w="2493"/>
          </w:tcPr>
          <w:p>
            <w:pPr>
              <w:spacing w:after="0"/>
            </w:pPr>
            <w:r/>
            <w:r>
              <w:rPr>
                <w:sz w:val="15"/>
              </w:rPr>
              <w:t>19</w:t>
            </w:r>
          </w:p>
        </w:tc>
        <w:tc>
          <w:tcPr>
            <w:tcW w:type="dxa" w:w="2493"/>
          </w:tcPr>
          <w:p>
            <w:pPr>
              <w:spacing w:after="0"/>
            </w:pPr>
            <w:r/>
            <w:r>
              <w:rPr>
                <w:sz w:val="15"/>
              </w:rPr>
              <w:t>154</w:t>
            </w:r>
          </w:p>
        </w:tc>
        <w:tc>
          <w:tcPr>
            <w:tcW w:type="dxa" w:w="2493"/>
          </w:tcPr>
          <w:p>
            <w:pPr>
              <w:spacing w:after="0"/>
            </w:pPr>
            <w:r/>
            <w:r>
              <w:rPr>
                <w:sz w:val="15"/>
              </w:rPr>
              <w:t>8</w:t>
            </w:r>
          </w:p>
        </w:tc>
      </w:tr>
      <w:tr>
        <w:tc>
          <w:tcPr>
            <w:tcW w:type="dxa" w:w="2493"/>
          </w:tcPr>
          <w:p>
            <w:pPr>
              <w:spacing w:after="0"/>
            </w:pPr>
            <w:r/>
            <w:r>
              <w:rPr>
                <w:sz w:val="15"/>
              </w:rPr>
              <w:t>acute_pancreatitis</w:t>
            </w:r>
          </w:p>
        </w:tc>
        <w:tc>
          <w:tcPr>
            <w:tcW w:type="dxa" w:w="2493"/>
          </w:tcPr>
          <w:p>
            <w:pPr>
              <w:spacing w:after="0"/>
            </w:pPr>
            <w:r/>
            <w:r>
              <w:rPr>
                <w:sz w:val="15"/>
              </w:rPr>
              <w:t>18</w:t>
            </w:r>
          </w:p>
        </w:tc>
        <w:tc>
          <w:tcPr>
            <w:tcW w:type="dxa" w:w="2493"/>
          </w:tcPr>
          <w:p>
            <w:pPr>
              <w:spacing w:after="0"/>
            </w:pPr>
            <w:r/>
            <w:r>
              <w:rPr>
                <w:sz w:val="15"/>
              </w:rPr>
              <w:t>54</w:t>
            </w:r>
          </w:p>
        </w:tc>
        <w:tc>
          <w:tcPr>
            <w:tcW w:type="dxa" w:w="2493"/>
          </w:tcPr>
          <w:p>
            <w:pPr>
              <w:spacing w:after="0"/>
            </w:pPr>
            <w:r/>
            <w:r>
              <w:rPr>
                <w:sz w:val="15"/>
              </w:rPr>
              <w:t>22</w:t>
            </w:r>
          </w:p>
        </w:tc>
      </w:tr>
      <w:tr>
        <w:tc>
          <w:tcPr>
            <w:tcW w:type="dxa" w:w="2493"/>
          </w:tcPr>
          <w:p>
            <w:pPr>
              <w:spacing w:after="0"/>
            </w:pPr>
            <w:r/>
            <w:r>
              <w:rPr>
                <w:sz w:val="15"/>
              </w:rPr>
              <w:t>malnutrition</w:t>
            </w:r>
          </w:p>
        </w:tc>
        <w:tc>
          <w:tcPr>
            <w:tcW w:type="dxa" w:w="2493"/>
          </w:tcPr>
          <w:p>
            <w:pPr>
              <w:spacing w:after="0"/>
            </w:pPr>
            <w:r/>
            <w:r>
              <w:rPr>
                <w:sz w:val="15"/>
              </w:rPr>
              <w:t>16</w:t>
            </w:r>
          </w:p>
        </w:tc>
        <w:tc>
          <w:tcPr>
            <w:tcW w:type="dxa" w:w="2493"/>
          </w:tcPr>
          <w:p>
            <w:pPr>
              <w:spacing w:after="0"/>
            </w:pPr>
            <w:r/>
            <w:r>
              <w:rPr>
                <w:sz w:val="15"/>
              </w:rPr>
              <w:t>150</w:t>
            </w:r>
          </w:p>
        </w:tc>
        <w:tc>
          <w:tcPr>
            <w:tcW w:type="dxa" w:w="2493"/>
          </w:tcPr>
          <w:p>
            <w:pPr>
              <w:spacing w:after="0"/>
            </w:pPr>
            <w:r/>
            <w:r>
              <w:rPr>
                <w:sz w:val="15"/>
              </w:rPr>
              <w:t>0</w:t>
            </w:r>
          </w:p>
        </w:tc>
      </w:tr>
      <w:tr>
        <w:tc>
          <w:tcPr>
            <w:tcW w:type="dxa" w:w="2493"/>
          </w:tcPr>
          <w:p>
            <w:pPr>
              <w:spacing w:after="0"/>
            </w:pPr>
            <w:r/>
            <w:r>
              <w:rPr>
                <w:sz w:val="15"/>
              </w:rPr>
              <w:t>hypernatremia</w:t>
            </w:r>
          </w:p>
        </w:tc>
        <w:tc>
          <w:tcPr>
            <w:tcW w:type="dxa" w:w="2493"/>
          </w:tcPr>
          <w:p>
            <w:pPr>
              <w:spacing w:after="0"/>
            </w:pPr>
            <w:r/>
            <w:r>
              <w:rPr>
                <w:sz w:val="15"/>
              </w:rPr>
              <w:t>14</w:t>
            </w:r>
          </w:p>
        </w:tc>
        <w:tc>
          <w:tcPr>
            <w:tcW w:type="dxa" w:w="2493"/>
          </w:tcPr>
          <w:p>
            <w:pPr>
              <w:spacing w:after="0"/>
            </w:pPr>
            <w:r/>
            <w:r>
              <w:rPr>
                <w:sz w:val="15"/>
              </w:rPr>
              <w:t>49</w:t>
            </w:r>
          </w:p>
        </w:tc>
        <w:tc>
          <w:tcPr>
            <w:tcW w:type="dxa" w:w="2493"/>
          </w:tcPr>
          <w:p>
            <w:pPr>
              <w:spacing w:after="0"/>
            </w:pPr>
            <w:r/>
            <w:r>
              <w:rPr>
                <w:sz w:val="15"/>
              </w:rPr>
              <w:t>16</w:t>
            </w:r>
          </w:p>
        </w:tc>
      </w:tr>
      <w:tr>
        <w:tc>
          <w:tcPr>
            <w:tcW w:type="dxa" w:w="2493"/>
          </w:tcPr>
          <w:p>
            <w:pPr>
              <w:spacing w:after="0"/>
            </w:pPr>
            <w:r/>
            <w:r>
              <w:rPr>
                <w:sz w:val="15"/>
              </w:rPr>
              <w:t>rhabdomyolysis</w:t>
            </w:r>
          </w:p>
        </w:tc>
        <w:tc>
          <w:tcPr>
            <w:tcW w:type="dxa" w:w="2493"/>
          </w:tcPr>
          <w:p>
            <w:pPr>
              <w:spacing w:after="0"/>
            </w:pPr>
            <w:r/>
            <w:r>
              <w:rPr>
                <w:sz w:val="15"/>
              </w:rPr>
              <w:t>11</w:t>
            </w:r>
          </w:p>
        </w:tc>
        <w:tc>
          <w:tcPr>
            <w:tcW w:type="dxa" w:w="2493"/>
          </w:tcPr>
          <w:p>
            <w:pPr>
              <w:spacing w:after="0"/>
            </w:pPr>
            <w:r/>
            <w:r>
              <w:rPr>
                <w:sz w:val="15"/>
              </w:rPr>
              <w:t>43</w:t>
            </w:r>
          </w:p>
        </w:tc>
        <w:tc>
          <w:tcPr>
            <w:tcW w:type="dxa" w:w="2493"/>
          </w:tcPr>
          <w:p>
            <w:pPr>
              <w:spacing w:after="0"/>
            </w:pPr>
            <w:r/>
            <w:r>
              <w:rPr>
                <w:sz w:val="15"/>
              </w:rPr>
              <w:t>14</w:t>
            </w:r>
          </w:p>
        </w:tc>
      </w:tr>
      <w:tr>
        <w:tc>
          <w:tcPr>
            <w:tcW w:type="dxa" w:w="2493"/>
          </w:tcPr>
          <w:p>
            <w:pPr>
              <w:spacing w:after="0"/>
            </w:pPr>
            <w:r/>
            <w:r>
              <w:rPr>
                <w:sz w:val="15"/>
              </w:rPr>
              <w:t>hypocalcemia</w:t>
            </w:r>
          </w:p>
        </w:tc>
        <w:tc>
          <w:tcPr>
            <w:tcW w:type="dxa" w:w="2493"/>
          </w:tcPr>
          <w:p>
            <w:pPr>
              <w:spacing w:after="0"/>
            </w:pPr>
            <w:r/>
            <w:r>
              <w:rPr>
                <w:sz w:val="15"/>
              </w:rPr>
              <w:t>10</w:t>
            </w:r>
          </w:p>
        </w:tc>
        <w:tc>
          <w:tcPr>
            <w:tcW w:type="dxa" w:w="2493"/>
          </w:tcPr>
          <w:p>
            <w:pPr>
              <w:spacing w:after="0"/>
            </w:pPr>
            <w:r/>
            <w:r>
              <w:rPr>
                <w:sz w:val="15"/>
              </w:rPr>
              <w:t>359</w:t>
            </w:r>
          </w:p>
        </w:tc>
        <w:tc>
          <w:tcPr>
            <w:tcW w:type="dxa" w:w="2493"/>
          </w:tcPr>
          <w:p>
            <w:pPr>
              <w:spacing w:after="0"/>
            </w:pPr>
            <w:r/>
            <w:r>
              <w:rPr>
                <w:sz w:val="15"/>
              </w:rPr>
              <w:t>0</w:t>
            </w:r>
          </w:p>
        </w:tc>
      </w:tr>
      <w:tr>
        <w:tc>
          <w:tcPr>
            <w:tcW w:type="dxa" w:w="2493"/>
          </w:tcPr>
          <w:p>
            <w:pPr>
              <w:spacing w:after="0"/>
            </w:pPr>
            <w:r/>
            <w:r>
              <w:rPr>
                <w:sz w:val="15"/>
              </w:rPr>
              <w:t>hypothyroidism</w:t>
            </w:r>
          </w:p>
        </w:tc>
        <w:tc>
          <w:tcPr>
            <w:tcW w:type="dxa" w:w="2493"/>
          </w:tcPr>
          <w:p>
            <w:pPr>
              <w:spacing w:after="0"/>
            </w:pPr>
            <w:r/>
            <w:r>
              <w:rPr>
                <w:sz w:val="15"/>
              </w:rPr>
              <w:t>10</w:t>
            </w:r>
          </w:p>
        </w:tc>
        <w:tc>
          <w:tcPr>
            <w:tcW w:type="dxa" w:w="2493"/>
          </w:tcPr>
          <w:p>
            <w:pPr>
              <w:spacing w:after="0"/>
            </w:pPr>
            <w:r/>
            <w:r>
              <w:rPr>
                <w:sz w:val="15"/>
              </w:rPr>
              <w:t>26</w:t>
            </w:r>
          </w:p>
        </w:tc>
        <w:tc>
          <w:tcPr>
            <w:tcW w:type="dxa" w:w="2493"/>
          </w:tcPr>
          <w:p>
            <w:pPr>
              <w:spacing w:after="0"/>
            </w:pPr>
            <w:r/>
            <w:r>
              <w:rPr>
                <w:sz w:val="15"/>
              </w:rPr>
              <w:t>12</w:t>
            </w:r>
          </w:p>
        </w:tc>
      </w:tr>
    </w:tbl>
    <w:p/>
    <w:p>
      <w:r>
        <w:t>Upper-bound precision (coded OR criterion-positive) = 69.0%; lower bound = 14.2%; criterion-negative share = 12.6%. | group | asserted@5 | coded | uncoded, criterion-positive | uncoded, criterion-negative | no criterion / analyte |</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r>
      <w:tr>
        <w:tc>
          <w:tcPr>
            <w:tcW w:type="dxa" w:w="1662"/>
          </w:tcPr>
          <w:p>
            <w:pPr>
              <w:spacing w:after="0"/>
            </w:pPr>
            <w:r/>
            <w:r>
              <w:rPr>
                <w:sz w:val="15"/>
              </w:rPr>
              <w:t>anemia</w:t>
            </w:r>
          </w:p>
        </w:tc>
        <w:tc>
          <w:tcPr>
            <w:tcW w:type="dxa" w:w="1662"/>
          </w:tcPr>
          <w:p>
            <w:pPr>
              <w:spacing w:after="0"/>
            </w:pPr>
            <w:r/>
            <w:r>
              <w:rPr>
                <w:sz w:val="15"/>
              </w:rPr>
              <w:t>1141</w:t>
            </w:r>
          </w:p>
        </w:tc>
        <w:tc>
          <w:tcPr>
            <w:tcW w:type="dxa" w:w="1662"/>
          </w:tcPr>
          <w:p>
            <w:pPr>
              <w:spacing w:after="0"/>
            </w:pPr>
            <w:r/>
            <w:r>
              <w:rPr>
                <w:sz w:val="15"/>
              </w:rPr>
              <w:t>122</w:t>
            </w:r>
          </w:p>
        </w:tc>
        <w:tc>
          <w:tcPr>
            <w:tcW w:type="dxa" w:w="1662"/>
          </w:tcPr>
          <w:p>
            <w:pPr>
              <w:spacing w:after="0"/>
            </w:pPr>
            <w:r/>
            <w:r>
              <w:rPr>
                <w:sz w:val="15"/>
              </w:rPr>
              <w:t>961</w:t>
            </w:r>
          </w:p>
        </w:tc>
        <w:tc>
          <w:tcPr>
            <w:tcW w:type="dxa" w:w="1662"/>
          </w:tcPr>
          <w:p>
            <w:pPr>
              <w:spacing w:after="0"/>
            </w:pPr>
            <w:r/>
            <w:r>
              <w:rPr>
                <w:sz w:val="15"/>
              </w:rPr>
              <w:t>58</w:t>
            </w:r>
          </w:p>
        </w:tc>
        <w:tc>
          <w:tcPr>
            <w:tcW w:type="dxa" w:w="1662"/>
          </w:tcPr>
          <w:p>
            <w:pPr>
              <w:spacing w:after="0"/>
            </w:pPr>
            <w:r/>
            <w:r>
              <w:rPr>
                <w:sz w:val="15"/>
              </w:rPr>
              <w:t>0</w:t>
            </w:r>
          </w:p>
        </w:tc>
      </w:tr>
      <w:tr>
        <w:tc>
          <w:tcPr>
            <w:tcW w:type="dxa" w:w="1662"/>
          </w:tcPr>
          <w:p>
            <w:pPr>
              <w:spacing w:after="0"/>
            </w:pPr>
            <w:r/>
            <w:r>
              <w:rPr>
                <w:sz w:val="15"/>
              </w:rPr>
              <w:t>gi_bleeding</w:t>
            </w:r>
          </w:p>
        </w:tc>
        <w:tc>
          <w:tcPr>
            <w:tcW w:type="dxa" w:w="1662"/>
          </w:tcPr>
          <w:p>
            <w:pPr>
              <w:spacing w:after="0"/>
            </w:pPr>
            <w:r/>
            <w:r>
              <w:rPr>
                <w:sz w:val="15"/>
              </w:rPr>
              <w:t>1123</w:t>
            </w:r>
          </w:p>
        </w:tc>
        <w:tc>
          <w:tcPr>
            <w:tcW w:type="dxa" w:w="1662"/>
          </w:tcPr>
          <w:p>
            <w:pPr>
              <w:spacing w:after="0"/>
            </w:pPr>
            <w:r/>
            <w:r>
              <w:rPr>
                <w:sz w:val="15"/>
              </w:rPr>
              <w:t>113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1010</w:t>
            </w:r>
          </w:p>
        </w:tc>
      </w:tr>
      <w:tr>
        <w:tc>
          <w:tcPr>
            <w:tcW w:type="dxa" w:w="1662"/>
          </w:tcPr>
          <w:p>
            <w:pPr>
              <w:spacing w:after="0"/>
            </w:pPr>
            <w:r/>
            <w:r>
              <w:rPr>
                <w:sz w:val="15"/>
              </w:rPr>
              <w:t>renal_impairment</w:t>
            </w:r>
          </w:p>
        </w:tc>
        <w:tc>
          <w:tcPr>
            <w:tcW w:type="dxa" w:w="1662"/>
          </w:tcPr>
          <w:p>
            <w:pPr>
              <w:spacing w:after="0"/>
            </w:pPr>
            <w:r/>
            <w:r>
              <w:rPr>
                <w:sz w:val="15"/>
              </w:rPr>
              <w:t>1066</w:t>
            </w:r>
          </w:p>
        </w:tc>
        <w:tc>
          <w:tcPr>
            <w:tcW w:type="dxa" w:w="1662"/>
          </w:tcPr>
          <w:p>
            <w:pPr>
              <w:spacing w:after="0"/>
            </w:pPr>
            <w:r/>
            <w:r>
              <w:rPr>
                <w:sz w:val="15"/>
              </w:rPr>
              <w:t>265</w:t>
            </w:r>
          </w:p>
        </w:tc>
        <w:tc>
          <w:tcPr>
            <w:tcW w:type="dxa" w:w="1662"/>
          </w:tcPr>
          <w:p>
            <w:pPr>
              <w:spacing w:after="0"/>
            </w:pPr>
            <w:r/>
            <w:r>
              <w:rPr>
                <w:sz w:val="15"/>
              </w:rPr>
              <w:t>541</w:t>
            </w:r>
          </w:p>
        </w:tc>
        <w:tc>
          <w:tcPr>
            <w:tcW w:type="dxa" w:w="1662"/>
          </w:tcPr>
          <w:p>
            <w:pPr>
              <w:spacing w:after="0"/>
            </w:pPr>
            <w:r/>
            <w:r>
              <w:rPr>
                <w:sz w:val="15"/>
              </w:rPr>
              <w:t>260</w:t>
            </w:r>
          </w:p>
        </w:tc>
        <w:tc>
          <w:tcPr>
            <w:tcW w:type="dxa" w:w="1662"/>
          </w:tcPr>
          <w:p>
            <w:pPr>
              <w:spacing w:after="0"/>
            </w:pPr>
            <w:r/>
            <w:r>
              <w:rPr>
                <w:sz w:val="15"/>
              </w:rPr>
              <w:t>0</w:t>
            </w:r>
          </w:p>
        </w:tc>
      </w:tr>
      <w:tr>
        <w:tc>
          <w:tcPr>
            <w:tcW w:type="dxa" w:w="1662"/>
          </w:tcPr>
          <w:p>
            <w:pPr>
              <w:spacing w:after="0"/>
            </w:pPr>
            <w:r/>
            <w:r>
              <w:rPr>
                <w:sz w:val="15"/>
              </w:rPr>
              <w:t>acute_kidney_injury</w:t>
            </w:r>
          </w:p>
        </w:tc>
        <w:tc>
          <w:tcPr>
            <w:tcW w:type="dxa" w:w="1662"/>
          </w:tcPr>
          <w:p>
            <w:pPr>
              <w:spacing w:after="0"/>
            </w:pPr>
            <w:r/>
            <w:r>
              <w:rPr>
                <w:sz w:val="15"/>
              </w:rPr>
              <w:t>947</w:t>
            </w:r>
          </w:p>
        </w:tc>
        <w:tc>
          <w:tcPr>
            <w:tcW w:type="dxa" w:w="1662"/>
          </w:tcPr>
          <w:p>
            <w:pPr>
              <w:spacing w:after="0"/>
            </w:pPr>
            <w:r/>
            <w:r>
              <w:rPr>
                <w:sz w:val="15"/>
              </w:rPr>
              <w:t>169</w:t>
            </w:r>
          </w:p>
        </w:tc>
        <w:tc>
          <w:tcPr>
            <w:tcW w:type="dxa" w:w="1662"/>
          </w:tcPr>
          <w:p>
            <w:pPr>
              <w:spacing w:after="0"/>
            </w:pPr>
            <w:r/>
            <w:r>
              <w:rPr>
                <w:sz w:val="15"/>
              </w:rPr>
              <w:t>556</w:t>
            </w:r>
          </w:p>
        </w:tc>
        <w:tc>
          <w:tcPr>
            <w:tcW w:type="dxa" w:w="1662"/>
          </w:tcPr>
          <w:p>
            <w:pPr>
              <w:spacing w:after="0"/>
            </w:pPr>
            <w:r/>
            <w:r>
              <w:rPr>
                <w:sz w:val="15"/>
              </w:rPr>
              <w:t>222</w:t>
            </w:r>
          </w:p>
        </w:tc>
        <w:tc>
          <w:tcPr>
            <w:tcW w:type="dxa" w:w="1662"/>
          </w:tcPr>
          <w:p>
            <w:pPr>
              <w:spacing w:after="0"/>
            </w:pPr>
            <w:r/>
            <w:r>
              <w:rPr>
                <w:sz w:val="15"/>
              </w:rPr>
              <w:t>0</w:t>
            </w:r>
          </w:p>
        </w:tc>
      </w:tr>
      <w:tr>
        <w:tc>
          <w:tcPr>
            <w:tcW w:type="dxa" w:w="1662"/>
          </w:tcPr>
          <w:p>
            <w:pPr>
              <w:spacing w:after="0"/>
            </w:pPr>
            <w:r/>
            <w:r>
              <w:rPr>
                <w:sz w:val="15"/>
              </w:rPr>
              <w:t>diabetes</w:t>
            </w:r>
          </w:p>
        </w:tc>
        <w:tc>
          <w:tcPr>
            <w:tcW w:type="dxa" w:w="1662"/>
          </w:tcPr>
          <w:p>
            <w:pPr>
              <w:spacing w:after="0"/>
            </w:pPr>
            <w:r/>
            <w:r>
              <w:rPr>
                <w:sz w:val="15"/>
              </w:rPr>
              <w:t>611</w:t>
            </w:r>
          </w:p>
        </w:tc>
        <w:tc>
          <w:tcPr>
            <w:tcW w:type="dxa" w:w="1662"/>
          </w:tcPr>
          <w:p>
            <w:pPr>
              <w:spacing w:after="0"/>
            </w:pPr>
            <w:r/>
            <w:r>
              <w:rPr>
                <w:sz w:val="15"/>
              </w:rPr>
              <w:t>111</w:t>
            </w:r>
          </w:p>
        </w:tc>
        <w:tc>
          <w:tcPr>
            <w:tcW w:type="dxa" w:w="1662"/>
          </w:tcPr>
          <w:p>
            <w:pPr>
              <w:spacing w:after="0"/>
            </w:pPr>
            <w:r/>
            <w:r>
              <w:rPr>
                <w:sz w:val="15"/>
              </w:rPr>
              <w:t>201</w:t>
            </w:r>
          </w:p>
        </w:tc>
        <w:tc>
          <w:tcPr>
            <w:tcW w:type="dxa" w:w="1662"/>
          </w:tcPr>
          <w:p>
            <w:pPr>
              <w:spacing w:after="0"/>
            </w:pPr>
            <w:r/>
            <w:r>
              <w:rPr>
                <w:sz w:val="15"/>
              </w:rPr>
              <w:t>299</w:t>
            </w:r>
          </w:p>
        </w:tc>
        <w:tc>
          <w:tcPr>
            <w:tcW w:type="dxa" w:w="1662"/>
          </w:tcPr>
          <w:p>
            <w:pPr>
              <w:spacing w:after="0"/>
            </w:pPr>
            <w:r/>
            <w:r>
              <w:rPr>
                <w:sz w:val="15"/>
              </w:rPr>
              <w:t>0</w:t>
            </w:r>
          </w:p>
        </w:tc>
      </w:tr>
      <w:tr>
        <w:tc>
          <w:tcPr>
            <w:tcW w:type="dxa" w:w="1662"/>
          </w:tcPr>
          <w:p>
            <w:pPr>
              <w:spacing w:after="0"/>
            </w:pPr>
            <w:r/>
            <w:r>
              <w:rPr>
                <w:sz w:val="15"/>
              </w:rPr>
              <w:t>hyperglycemia</w:t>
            </w:r>
          </w:p>
        </w:tc>
        <w:tc>
          <w:tcPr>
            <w:tcW w:type="dxa" w:w="1662"/>
          </w:tcPr>
          <w:p>
            <w:pPr>
              <w:spacing w:after="0"/>
            </w:pPr>
            <w:r/>
            <w:r>
              <w:rPr>
                <w:sz w:val="15"/>
              </w:rPr>
              <w:t>611</w:t>
            </w:r>
          </w:p>
        </w:tc>
        <w:tc>
          <w:tcPr>
            <w:tcW w:type="dxa" w:w="1662"/>
          </w:tcPr>
          <w:p>
            <w:pPr>
              <w:spacing w:after="0"/>
            </w:pPr>
            <w:r/>
            <w:r>
              <w:rPr>
                <w:sz w:val="15"/>
              </w:rPr>
              <w:t>45</w:t>
            </w:r>
          </w:p>
        </w:tc>
        <w:tc>
          <w:tcPr>
            <w:tcW w:type="dxa" w:w="1662"/>
          </w:tcPr>
          <w:p>
            <w:pPr>
              <w:spacing w:after="0"/>
            </w:pPr>
            <w:r/>
            <w:r>
              <w:rPr>
                <w:sz w:val="15"/>
              </w:rPr>
              <w:t>397</w:t>
            </w:r>
          </w:p>
        </w:tc>
        <w:tc>
          <w:tcPr>
            <w:tcW w:type="dxa" w:w="1662"/>
          </w:tcPr>
          <w:p>
            <w:pPr>
              <w:spacing w:after="0"/>
            </w:pPr>
            <w:r/>
            <w:r>
              <w:rPr>
                <w:sz w:val="15"/>
              </w:rPr>
              <w:t>169</w:t>
            </w:r>
          </w:p>
        </w:tc>
        <w:tc>
          <w:tcPr>
            <w:tcW w:type="dxa" w:w="1662"/>
          </w:tcPr>
          <w:p>
            <w:pPr>
              <w:spacing w:after="0"/>
            </w:pPr>
            <w:r/>
            <w:r>
              <w:rPr>
                <w:sz w:val="15"/>
              </w:rPr>
              <w:t>0</w:t>
            </w:r>
          </w:p>
        </w:tc>
      </w:tr>
      <w:tr>
        <w:tc>
          <w:tcPr>
            <w:tcW w:type="dxa" w:w="1662"/>
          </w:tcPr>
          <w:p>
            <w:pPr>
              <w:spacing w:after="0"/>
            </w:pPr>
            <w:r/>
            <w:r>
              <w:rPr>
                <w:sz w:val="15"/>
              </w:rPr>
              <w:t>leukocytosis</w:t>
            </w:r>
          </w:p>
        </w:tc>
        <w:tc>
          <w:tcPr>
            <w:tcW w:type="dxa" w:w="1662"/>
          </w:tcPr>
          <w:p>
            <w:pPr>
              <w:spacing w:after="0"/>
            </w:pPr>
            <w:r/>
            <w:r>
              <w:rPr>
                <w:sz w:val="15"/>
              </w:rPr>
              <w:t>597</w:t>
            </w:r>
          </w:p>
        </w:tc>
        <w:tc>
          <w:tcPr>
            <w:tcW w:type="dxa" w:w="1662"/>
          </w:tcPr>
          <w:p>
            <w:pPr>
              <w:spacing w:after="0"/>
            </w:pPr>
            <w:r/>
            <w:r>
              <w:rPr>
                <w:sz w:val="15"/>
              </w:rPr>
              <w:t>23</w:t>
            </w:r>
          </w:p>
        </w:tc>
        <w:tc>
          <w:tcPr>
            <w:tcW w:type="dxa" w:w="1662"/>
          </w:tcPr>
          <w:p>
            <w:pPr>
              <w:spacing w:after="0"/>
            </w:pPr>
            <w:r/>
            <w:r>
              <w:rPr>
                <w:sz w:val="15"/>
              </w:rPr>
              <w:t>574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sepsis</w:t>
            </w:r>
          </w:p>
        </w:tc>
        <w:tc>
          <w:tcPr>
            <w:tcW w:type="dxa" w:w="1662"/>
          </w:tcPr>
          <w:p>
            <w:pPr>
              <w:spacing w:after="0"/>
            </w:pPr>
            <w:r/>
            <w:r>
              <w:rPr>
                <w:sz w:val="15"/>
              </w:rPr>
              <w:t>532</w:t>
            </w:r>
          </w:p>
        </w:tc>
        <w:tc>
          <w:tcPr>
            <w:tcW w:type="dxa" w:w="1662"/>
          </w:tcPr>
          <w:p>
            <w:pPr>
              <w:spacing w:after="0"/>
            </w:pPr>
            <w:r/>
            <w:r>
              <w:rPr>
                <w:sz w:val="15"/>
              </w:rPr>
              <w:t>142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390</w:t>
            </w:r>
          </w:p>
        </w:tc>
      </w:tr>
      <w:tr>
        <w:tc>
          <w:tcPr>
            <w:tcW w:type="dxa" w:w="1662"/>
          </w:tcPr>
          <w:p>
            <w:pPr>
              <w:spacing w:after="0"/>
            </w:pPr>
            <w:r/>
            <w:r>
              <w:rPr>
                <w:sz w:val="15"/>
              </w:rPr>
              <w:t>metabolic_acidosis</w:t>
            </w:r>
          </w:p>
        </w:tc>
        <w:tc>
          <w:tcPr>
            <w:tcW w:type="dxa" w:w="1662"/>
          </w:tcPr>
          <w:p>
            <w:pPr>
              <w:spacing w:after="0"/>
            </w:pPr>
            <w:r/>
            <w:r>
              <w:rPr>
                <w:sz w:val="15"/>
              </w:rPr>
              <w:t>444</w:t>
            </w:r>
          </w:p>
        </w:tc>
        <w:tc>
          <w:tcPr>
            <w:tcW w:type="dxa" w:w="1662"/>
          </w:tcPr>
          <w:p>
            <w:pPr>
              <w:spacing w:after="0"/>
            </w:pPr>
            <w:r/>
            <w:r>
              <w:rPr>
                <w:sz w:val="15"/>
              </w:rPr>
              <w:t>28</w:t>
            </w:r>
          </w:p>
        </w:tc>
        <w:tc>
          <w:tcPr>
            <w:tcW w:type="dxa" w:w="1662"/>
          </w:tcPr>
          <w:p>
            <w:pPr>
              <w:spacing w:after="0"/>
            </w:pPr>
            <w:r/>
            <w:r>
              <w:rPr>
                <w:sz w:val="15"/>
              </w:rPr>
              <w:t>345</w:t>
            </w:r>
          </w:p>
        </w:tc>
        <w:tc>
          <w:tcPr>
            <w:tcW w:type="dxa" w:w="1662"/>
          </w:tcPr>
          <w:p>
            <w:pPr>
              <w:spacing w:after="0"/>
            </w:pPr>
            <w:r/>
            <w:r>
              <w:rPr>
                <w:sz w:val="15"/>
              </w:rPr>
              <w:t>71</w:t>
            </w:r>
          </w:p>
        </w:tc>
        <w:tc>
          <w:tcPr>
            <w:tcW w:type="dxa" w:w="1662"/>
          </w:tcPr>
          <w:p>
            <w:pPr>
              <w:spacing w:after="0"/>
            </w:pPr>
            <w:r/>
            <w:r>
              <w:rPr>
                <w:sz w:val="15"/>
              </w:rPr>
              <w:t>0</w:t>
            </w:r>
          </w:p>
        </w:tc>
      </w:tr>
      <w:tr>
        <w:tc>
          <w:tcPr>
            <w:tcW w:type="dxa" w:w="1662"/>
          </w:tcPr>
          <w:p>
            <w:pPr>
              <w:spacing w:after="0"/>
            </w:pPr>
            <w:r/>
            <w:r>
              <w:rPr>
                <w:sz w:val="15"/>
              </w:rPr>
              <w:t>acute_myocardial_infarction</w:t>
            </w:r>
          </w:p>
        </w:tc>
        <w:tc>
          <w:tcPr>
            <w:tcW w:type="dxa" w:w="1662"/>
          </w:tcPr>
          <w:p>
            <w:pPr>
              <w:spacing w:after="0"/>
            </w:pPr>
            <w:r/>
            <w:r>
              <w:rPr>
                <w:sz w:val="15"/>
              </w:rPr>
              <w:t>436</w:t>
            </w:r>
          </w:p>
        </w:tc>
        <w:tc>
          <w:tcPr>
            <w:tcW w:type="dxa" w:w="1662"/>
          </w:tcPr>
          <w:p>
            <w:pPr>
              <w:spacing w:after="0"/>
            </w:pPr>
            <w:r/>
            <w:r>
              <w:rPr>
                <w:sz w:val="15"/>
              </w:rPr>
              <w:t>74</w:t>
            </w:r>
          </w:p>
        </w:tc>
        <w:tc>
          <w:tcPr>
            <w:tcW w:type="dxa" w:w="1662"/>
          </w:tcPr>
          <w:p>
            <w:pPr>
              <w:spacing w:after="0"/>
            </w:pPr>
            <w:r/>
            <w:r>
              <w:rPr>
                <w:sz w:val="15"/>
              </w:rPr>
              <w:t>310</w:t>
            </w:r>
          </w:p>
        </w:tc>
        <w:tc>
          <w:tcPr>
            <w:tcW w:type="dxa" w:w="1662"/>
          </w:tcPr>
          <w:p>
            <w:pPr>
              <w:spacing w:after="0"/>
            </w:pPr>
            <w:r/>
            <w:r>
              <w:rPr>
                <w:sz w:val="15"/>
              </w:rPr>
              <w:t>52</w:t>
            </w:r>
          </w:p>
        </w:tc>
        <w:tc>
          <w:tcPr>
            <w:tcW w:type="dxa" w:w="1662"/>
          </w:tcPr>
          <w:p>
            <w:pPr>
              <w:spacing w:after="0"/>
            </w:pPr>
            <w:r/>
            <w:r>
              <w:rPr>
                <w:sz w:val="15"/>
              </w:rPr>
              <w:t>0</w:t>
            </w:r>
          </w:p>
        </w:tc>
      </w:tr>
      <w:tr>
        <w:tc>
          <w:tcPr>
            <w:tcW w:type="dxa" w:w="1662"/>
          </w:tcPr>
          <w:p>
            <w:pPr>
              <w:spacing w:after="0"/>
            </w:pPr>
            <w:r/>
            <w:r>
              <w:rPr>
                <w:sz w:val="15"/>
              </w:rPr>
              <w:t>hypocalcemia</w:t>
            </w:r>
          </w:p>
        </w:tc>
        <w:tc>
          <w:tcPr>
            <w:tcW w:type="dxa" w:w="1662"/>
          </w:tcPr>
          <w:p>
            <w:pPr>
              <w:spacing w:after="0"/>
            </w:pPr>
            <w:r/>
            <w:r>
              <w:rPr>
                <w:sz w:val="15"/>
              </w:rPr>
              <w:t>359</w:t>
            </w:r>
          </w:p>
        </w:tc>
        <w:tc>
          <w:tcPr>
            <w:tcW w:type="dxa" w:w="1662"/>
          </w:tcPr>
          <w:p>
            <w:pPr>
              <w:spacing w:after="0"/>
            </w:pPr>
            <w:r/>
            <w:r>
              <w:rPr>
                <w:sz w:val="15"/>
              </w:rPr>
              <w:t>1</w:t>
            </w:r>
          </w:p>
        </w:tc>
        <w:tc>
          <w:tcPr>
            <w:tcW w:type="dxa" w:w="1662"/>
          </w:tcPr>
          <w:p>
            <w:pPr>
              <w:spacing w:after="0"/>
            </w:pPr>
            <w:r/>
            <w:r>
              <w:rPr>
                <w:sz w:val="15"/>
              </w:rPr>
              <w:t>250</w:t>
            </w:r>
          </w:p>
        </w:tc>
        <w:tc>
          <w:tcPr>
            <w:tcW w:type="dxa" w:w="1662"/>
          </w:tcPr>
          <w:p>
            <w:pPr>
              <w:spacing w:after="0"/>
            </w:pPr>
            <w:r/>
            <w:r>
              <w:rPr>
                <w:sz w:val="15"/>
              </w:rPr>
              <w:t>108</w:t>
            </w:r>
          </w:p>
        </w:tc>
        <w:tc>
          <w:tcPr>
            <w:tcW w:type="dxa" w:w="1662"/>
          </w:tcPr>
          <w:p>
            <w:pPr>
              <w:spacing w:after="0"/>
            </w:pPr>
            <w:r/>
            <w:r>
              <w:rPr>
                <w:sz w:val="15"/>
              </w:rPr>
              <w:t>0</w:t>
            </w:r>
          </w:p>
        </w:tc>
      </w:tr>
      <w:tr>
        <w:tc>
          <w:tcPr>
            <w:tcW w:type="dxa" w:w="1662"/>
          </w:tcPr>
          <w:p>
            <w:pPr>
              <w:spacing w:after="0"/>
            </w:pPr>
            <w:r/>
            <w:r>
              <w:rPr>
                <w:sz w:val="15"/>
              </w:rPr>
              <w:t>thrombocytopenia</w:t>
            </w:r>
          </w:p>
        </w:tc>
        <w:tc>
          <w:tcPr>
            <w:tcW w:type="dxa" w:w="1662"/>
          </w:tcPr>
          <w:p>
            <w:pPr>
              <w:spacing w:after="0"/>
            </w:pPr>
            <w:r/>
            <w:r>
              <w:rPr>
                <w:sz w:val="15"/>
              </w:rPr>
              <w:t>300</w:t>
            </w:r>
          </w:p>
        </w:tc>
        <w:tc>
          <w:tcPr>
            <w:tcW w:type="dxa" w:w="1662"/>
          </w:tcPr>
          <w:p>
            <w:pPr>
              <w:spacing w:after="0"/>
            </w:pPr>
            <w:r/>
            <w:r>
              <w:rPr>
                <w:sz w:val="15"/>
              </w:rPr>
              <w:t>26</w:t>
            </w:r>
          </w:p>
        </w:tc>
        <w:tc>
          <w:tcPr>
            <w:tcW w:type="dxa" w:w="1662"/>
          </w:tcPr>
          <w:p>
            <w:pPr>
              <w:spacing w:after="0"/>
            </w:pPr>
            <w:r/>
            <w:r>
              <w:rPr>
                <w:sz w:val="15"/>
              </w:rPr>
              <w:t>274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hypokalemia</w:t>
            </w:r>
          </w:p>
        </w:tc>
        <w:tc>
          <w:tcPr>
            <w:tcW w:type="dxa" w:w="1662"/>
          </w:tcPr>
          <w:p>
            <w:pPr>
              <w:spacing w:after="0"/>
            </w:pPr>
            <w:r/>
            <w:r>
              <w:rPr>
                <w:sz w:val="15"/>
              </w:rPr>
              <w:t>259</w:t>
            </w:r>
          </w:p>
        </w:tc>
        <w:tc>
          <w:tcPr>
            <w:tcW w:type="dxa" w:w="1662"/>
          </w:tcPr>
          <w:p>
            <w:pPr>
              <w:spacing w:after="0"/>
            </w:pPr>
            <w:r/>
            <w:r>
              <w:rPr>
                <w:sz w:val="15"/>
              </w:rPr>
              <w:t>33</w:t>
            </w:r>
          </w:p>
        </w:tc>
        <w:tc>
          <w:tcPr>
            <w:tcW w:type="dxa" w:w="1662"/>
          </w:tcPr>
          <w:p>
            <w:pPr>
              <w:spacing w:after="0"/>
            </w:pPr>
            <w:r/>
            <w:r>
              <w:rPr>
                <w:sz w:val="15"/>
              </w:rPr>
              <w:t>226</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hyponatremia</w:t>
            </w:r>
          </w:p>
        </w:tc>
        <w:tc>
          <w:tcPr>
            <w:tcW w:type="dxa" w:w="1662"/>
          </w:tcPr>
          <w:p>
            <w:pPr>
              <w:spacing w:after="0"/>
            </w:pPr>
            <w:r/>
            <w:r>
              <w:rPr>
                <w:sz w:val="15"/>
              </w:rPr>
              <w:t>246</w:t>
            </w:r>
          </w:p>
        </w:tc>
        <w:tc>
          <w:tcPr>
            <w:tcW w:type="dxa" w:w="1662"/>
          </w:tcPr>
          <w:p>
            <w:pPr>
              <w:spacing w:after="0"/>
            </w:pPr>
            <w:r/>
            <w:r>
              <w:rPr>
                <w:sz w:val="15"/>
              </w:rPr>
              <w:t>33</w:t>
            </w:r>
          </w:p>
        </w:tc>
        <w:tc>
          <w:tcPr>
            <w:tcW w:type="dxa" w:w="1662"/>
          </w:tcPr>
          <w:p>
            <w:pPr>
              <w:spacing w:after="0"/>
            </w:pPr>
            <w:r/>
            <w:r>
              <w:rPr>
                <w:sz w:val="15"/>
              </w:rPr>
              <w:t>213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chronic_kidney_disease</w:t>
            </w:r>
          </w:p>
        </w:tc>
        <w:tc>
          <w:tcPr>
            <w:tcW w:type="dxa" w:w="1662"/>
          </w:tcPr>
          <w:p>
            <w:pPr>
              <w:spacing w:after="0"/>
            </w:pPr>
            <w:r/>
            <w:r>
              <w:rPr>
                <w:sz w:val="15"/>
              </w:rPr>
              <w:t>239</w:t>
            </w:r>
          </w:p>
        </w:tc>
        <w:tc>
          <w:tcPr>
            <w:tcW w:type="dxa" w:w="1662"/>
          </w:tcPr>
          <w:p>
            <w:pPr>
              <w:spacing w:after="0"/>
            </w:pPr>
            <w:r/>
            <w:r>
              <w:rPr>
                <w:sz w:val="15"/>
              </w:rPr>
              <w:t>53</w:t>
            </w:r>
          </w:p>
        </w:tc>
        <w:tc>
          <w:tcPr>
            <w:tcW w:type="dxa" w:w="1662"/>
          </w:tcPr>
          <w:p>
            <w:pPr>
              <w:spacing w:after="0"/>
            </w:pPr>
            <w:r/>
            <w:r>
              <w:rPr>
                <w:sz w:val="15"/>
              </w:rPr>
              <w:t>163</w:t>
            </w:r>
          </w:p>
        </w:tc>
        <w:tc>
          <w:tcPr>
            <w:tcW w:type="dxa" w:w="1662"/>
          </w:tcPr>
          <w:p>
            <w:pPr>
              <w:spacing w:after="0"/>
            </w:pPr>
            <w:r/>
            <w:r>
              <w:rPr>
                <w:sz w:val="15"/>
              </w:rPr>
              <w:t>23</w:t>
            </w:r>
          </w:p>
        </w:tc>
        <w:tc>
          <w:tcPr>
            <w:tcW w:type="dxa" w:w="1662"/>
          </w:tcPr>
          <w:p>
            <w:pPr>
              <w:spacing w:after="0"/>
            </w:pPr>
            <w:r/>
            <w:r>
              <w:rPr>
                <w:sz w:val="15"/>
              </w:rPr>
              <w:t>0</w:t>
            </w:r>
          </w:p>
        </w:tc>
      </w:tr>
      <w:tr>
        <w:tc>
          <w:tcPr>
            <w:tcW w:type="dxa" w:w="1662"/>
          </w:tcPr>
          <w:p>
            <w:pPr>
              <w:spacing w:after="0"/>
            </w:pPr>
            <w:r/>
            <w:r>
              <w:rPr>
                <w:sz w:val="15"/>
              </w:rPr>
              <w:t>cirrhosis_liver_failure</w:t>
            </w:r>
          </w:p>
        </w:tc>
        <w:tc>
          <w:tcPr>
            <w:tcW w:type="dxa" w:w="1662"/>
          </w:tcPr>
          <w:p>
            <w:pPr>
              <w:spacing w:after="0"/>
            </w:pPr>
            <w:r/>
            <w:r>
              <w:rPr>
                <w:sz w:val="15"/>
              </w:rPr>
              <w:t>187</w:t>
            </w:r>
          </w:p>
        </w:tc>
        <w:tc>
          <w:tcPr>
            <w:tcW w:type="dxa" w:w="1662"/>
          </w:tcPr>
          <w:p>
            <w:pPr>
              <w:spacing w:after="0"/>
            </w:pPr>
            <w:r/>
            <w:r>
              <w:rPr>
                <w:sz w:val="15"/>
              </w:rPr>
              <w:t>15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172</w:t>
            </w:r>
          </w:p>
        </w:tc>
      </w:tr>
      <w:tr>
        <w:tc>
          <w:tcPr>
            <w:tcW w:type="dxa" w:w="1662"/>
          </w:tcPr>
          <w:p>
            <w:pPr>
              <w:spacing w:after="0"/>
            </w:pPr>
            <w:r/>
            <w:r>
              <w:rPr>
                <w:sz w:val="15"/>
              </w:rPr>
              <w:t>heart_failure</w:t>
            </w:r>
          </w:p>
        </w:tc>
        <w:tc>
          <w:tcPr>
            <w:tcW w:type="dxa" w:w="1662"/>
          </w:tcPr>
          <w:p>
            <w:pPr>
              <w:spacing w:after="0"/>
            </w:pPr>
            <w:r/>
            <w:r>
              <w:rPr>
                <w:sz w:val="15"/>
              </w:rPr>
              <w:t>168</w:t>
            </w:r>
          </w:p>
        </w:tc>
        <w:tc>
          <w:tcPr>
            <w:tcW w:type="dxa" w:w="1662"/>
          </w:tcPr>
          <w:p>
            <w:pPr>
              <w:spacing w:after="0"/>
            </w:pPr>
            <w:r/>
            <w:r>
              <w:rPr>
                <w:sz w:val="15"/>
              </w:rPr>
              <w:t>48</w:t>
            </w:r>
          </w:p>
        </w:tc>
        <w:tc>
          <w:tcPr>
            <w:tcW w:type="dxa" w:w="1662"/>
          </w:tcPr>
          <w:p>
            <w:pPr>
              <w:spacing w:after="0"/>
            </w:pPr>
            <w:r/>
            <w:r>
              <w:rPr>
                <w:sz w:val="15"/>
              </w:rPr>
              <w:t>112</w:t>
            </w:r>
          </w:p>
        </w:tc>
        <w:tc>
          <w:tcPr>
            <w:tcW w:type="dxa" w:w="1662"/>
          </w:tcPr>
          <w:p>
            <w:pPr>
              <w:spacing w:after="0"/>
            </w:pPr>
            <w:r/>
            <w:r>
              <w:rPr>
                <w:sz w:val="15"/>
              </w:rPr>
              <w:t>8</w:t>
            </w:r>
          </w:p>
        </w:tc>
        <w:tc>
          <w:tcPr>
            <w:tcW w:type="dxa" w:w="1662"/>
          </w:tcPr>
          <w:p>
            <w:pPr>
              <w:spacing w:after="0"/>
            </w:pPr>
            <w:r/>
            <w:r>
              <w:rPr>
                <w:sz w:val="15"/>
              </w:rPr>
              <w:t>0</w:t>
            </w:r>
          </w:p>
        </w:tc>
      </w:tr>
      <w:tr>
        <w:tc>
          <w:tcPr>
            <w:tcW w:type="dxa" w:w="1662"/>
          </w:tcPr>
          <w:p>
            <w:pPr>
              <w:spacing w:after="0"/>
            </w:pPr>
            <w:r/>
            <w:r>
              <w:rPr>
                <w:sz w:val="15"/>
              </w:rPr>
              <w:t>hypomagnesemia</w:t>
            </w:r>
          </w:p>
        </w:tc>
        <w:tc>
          <w:tcPr>
            <w:tcW w:type="dxa" w:w="1662"/>
          </w:tcPr>
          <w:p>
            <w:pPr>
              <w:spacing w:after="0"/>
            </w:pPr>
            <w:r/>
            <w:r>
              <w:rPr>
                <w:sz w:val="15"/>
              </w:rPr>
              <w:t>161</w:t>
            </w:r>
          </w:p>
        </w:tc>
        <w:tc>
          <w:tcPr>
            <w:tcW w:type="dxa" w:w="1662"/>
          </w:tcPr>
          <w:p>
            <w:pPr>
              <w:spacing w:after="0"/>
            </w:pPr>
            <w:r/>
            <w:r>
              <w:rPr>
                <w:sz w:val="15"/>
              </w:rPr>
              <w:t>13</w:t>
            </w:r>
          </w:p>
        </w:tc>
        <w:tc>
          <w:tcPr>
            <w:tcW w:type="dxa" w:w="1662"/>
          </w:tcPr>
          <w:p>
            <w:pPr>
              <w:spacing w:after="0"/>
            </w:pPr>
            <w:r/>
            <w:r>
              <w:rPr>
                <w:sz w:val="15"/>
              </w:rPr>
              <w:t>148</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lactic_acidosis</w:t>
            </w:r>
          </w:p>
        </w:tc>
        <w:tc>
          <w:tcPr>
            <w:tcW w:type="dxa" w:w="1662"/>
          </w:tcPr>
          <w:p>
            <w:pPr>
              <w:spacing w:after="0"/>
            </w:pPr>
            <w:r/>
            <w:r>
              <w:rPr>
                <w:sz w:val="15"/>
              </w:rPr>
              <w:t>154</w:t>
            </w:r>
          </w:p>
        </w:tc>
        <w:tc>
          <w:tcPr>
            <w:tcW w:type="dxa" w:w="1662"/>
          </w:tcPr>
          <w:p>
            <w:pPr>
              <w:spacing w:after="0"/>
            </w:pPr>
            <w:r/>
            <w:r>
              <w:rPr>
                <w:sz w:val="15"/>
              </w:rPr>
              <w:t>12</w:t>
            </w:r>
          </w:p>
        </w:tc>
        <w:tc>
          <w:tcPr>
            <w:tcW w:type="dxa" w:w="1662"/>
          </w:tcPr>
          <w:p>
            <w:pPr>
              <w:spacing w:after="0"/>
            </w:pPr>
            <w:r/>
            <w:r>
              <w:rPr>
                <w:sz w:val="15"/>
              </w:rPr>
              <w:t>139</w:t>
            </w:r>
          </w:p>
        </w:tc>
        <w:tc>
          <w:tcPr>
            <w:tcW w:type="dxa" w:w="1662"/>
          </w:tcPr>
          <w:p>
            <w:pPr>
              <w:spacing w:after="0"/>
            </w:pPr>
            <w:r/>
            <w:r>
              <w:rPr>
                <w:sz w:val="15"/>
              </w:rPr>
              <w:t>3</w:t>
            </w:r>
          </w:p>
        </w:tc>
        <w:tc>
          <w:tcPr>
            <w:tcW w:type="dxa" w:w="1662"/>
          </w:tcPr>
          <w:p>
            <w:pPr>
              <w:spacing w:after="0"/>
            </w:pPr>
            <w:r/>
            <w:r>
              <w:rPr>
                <w:sz w:val="15"/>
              </w:rPr>
              <w:t>0</w:t>
            </w:r>
          </w:p>
        </w:tc>
      </w:tr>
      <w:tr>
        <w:tc>
          <w:tcPr>
            <w:tcW w:type="dxa" w:w="1662"/>
          </w:tcPr>
          <w:p>
            <w:pPr>
              <w:spacing w:after="0"/>
            </w:pPr>
            <w:r/>
            <w:r>
              <w:rPr>
                <w:sz w:val="15"/>
              </w:rPr>
              <w:t>malnutrition</w:t>
            </w:r>
          </w:p>
        </w:tc>
        <w:tc>
          <w:tcPr>
            <w:tcW w:type="dxa" w:w="1662"/>
          </w:tcPr>
          <w:p>
            <w:pPr>
              <w:spacing w:after="0"/>
            </w:pPr>
            <w:r/>
            <w:r>
              <w:rPr>
                <w:sz w:val="15"/>
              </w:rPr>
              <w:t>150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150</w:t>
            </w:r>
          </w:p>
        </w:tc>
      </w:tr>
      <w:tr>
        <w:tc>
          <w:tcPr>
            <w:tcW w:type="dxa" w:w="1662"/>
          </w:tcPr>
          <w:p>
            <w:pPr>
              <w:spacing w:after="0"/>
            </w:pPr>
            <w:r/>
            <w:r>
              <w:rPr>
                <w:sz w:val="15"/>
              </w:rPr>
              <w:t>coagulopathy</w:t>
            </w:r>
          </w:p>
        </w:tc>
        <w:tc>
          <w:tcPr>
            <w:tcW w:type="dxa" w:w="1662"/>
          </w:tcPr>
          <w:p>
            <w:pPr>
              <w:spacing w:after="0"/>
            </w:pPr>
            <w:r/>
            <w:r>
              <w:rPr>
                <w:sz w:val="15"/>
              </w:rPr>
              <w:t>119</w:t>
            </w:r>
          </w:p>
        </w:tc>
        <w:tc>
          <w:tcPr>
            <w:tcW w:type="dxa" w:w="1662"/>
          </w:tcPr>
          <w:p>
            <w:pPr>
              <w:spacing w:after="0"/>
            </w:pPr>
            <w:r/>
            <w:r>
              <w:rPr>
                <w:sz w:val="15"/>
              </w:rPr>
              <w:t>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106</w:t>
            </w:r>
          </w:p>
        </w:tc>
      </w:tr>
      <w:tr>
        <w:tc>
          <w:tcPr>
            <w:tcW w:type="dxa" w:w="1662"/>
          </w:tcPr>
          <w:p>
            <w:pPr>
              <w:spacing w:after="0"/>
            </w:pPr>
            <w:r/>
            <w:r>
              <w:rPr>
                <w:sz w:val="15"/>
              </w:rPr>
              <w:t>diabetic_ketoacidosis</w:t>
            </w:r>
          </w:p>
        </w:tc>
        <w:tc>
          <w:tcPr>
            <w:tcW w:type="dxa" w:w="1662"/>
          </w:tcPr>
          <w:p>
            <w:pPr>
              <w:spacing w:after="0"/>
            </w:pPr>
            <w:r/>
            <w:r>
              <w:rPr>
                <w:sz w:val="15"/>
              </w:rPr>
              <w:t>98</w:t>
            </w:r>
          </w:p>
        </w:tc>
        <w:tc>
          <w:tcPr>
            <w:tcW w:type="dxa" w:w="1662"/>
          </w:tcPr>
          <w:p>
            <w:pPr>
              <w:spacing w:after="0"/>
            </w:pPr>
            <w:r/>
            <w:r>
              <w:rPr>
                <w:sz w:val="15"/>
              </w:rPr>
              <w:t>68</w:t>
            </w:r>
          </w:p>
        </w:tc>
        <w:tc>
          <w:tcPr>
            <w:tcW w:type="dxa" w:w="1662"/>
          </w:tcPr>
          <w:p>
            <w:pPr>
              <w:spacing w:after="0"/>
            </w:pPr>
            <w:r/>
            <w:r>
              <w:rPr>
                <w:sz w:val="15"/>
              </w:rPr>
              <w:t>13</w:t>
            </w:r>
          </w:p>
        </w:tc>
        <w:tc>
          <w:tcPr>
            <w:tcW w:type="dxa" w:w="1662"/>
          </w:tcPr>
          <w:p>
            <w:pPr>
              <w:spacing w:after="0"/>
            </w:pPr>
            <w:r/>
            <w:r>
              <w:rPr>
                <w:sz w:val="15"/>
              </w:rPr>
              <w:t>16</w:t>
            </w:r>
          </w:p>
        </w:tc>
        <w:tc>
          <w:tcPr>
            <w:tcW w:type="dxa" w:w="1662"/>
          </w:tcPr>
          <w:p>
            <w:pPr>
              <w:spacing w:after="0"/>
            </w:pPr>
            <w:r/>
            <w:r>
              <w:rPr>
                <w:sz w:val="15"/>
              </w:rPr>
              <w:t>1</w:t>
            </w:r>
          </w:p>
        </w:tc>
      </w:tr>
      <w:tr>
        <w:tc>
          <w:tcPr>
            <w:tcW w:type="dxa" w:w="1662"/>
          </w:tcPr>
          <w:p>
            <w:pPr>
              <w:spacing w:after="0"/>
            </w:pPr>
            <w:r/>
            <w:r>
              <w:rPr>
                <w:sz w:val="15"/>
              </w:rPr>
              <w:t>alcohol_withdrawal</w:t>
            </w:r>
          </w:p>
        </w:tc>
        <w:tc>
          <w:tcPr>
            <w:tcW w:type="dxa" w:w="1662"/>
          </w:tcPr>
          <w:p>
            <w:pPr>
              <w:spacing w:after="0"/>
            </w:pPr>
            <w:r/>
            <w:r>
              <w:rPr>
                <w:sz w:val="15"/>
              </w:rPr>
              <w:t>90</w:t>
            </w:r>
          </w:p>
        </w:tc>
        <w:tc>
          <w:tcPr>
            <w:tcW w:type="dxa" w:w="1662"/>
          </w:tcPr>
          <w:p>
            <w:pPr>
              <w:spacing w:after="0"/>
            </w:pPr>
            <w:r/>
            <w:r>
              <w:rPr>
                <w:sz w:val="15"/>
              </w:rPr>
              <w:t>11</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79</w:t>
            </w:r>
          </w:p>
        </w:tc>
      </w:tr>
      <w:tr>
        <w:tc>
          <w:tcPr>
            <w:tcW w:type="dxa" w:w="1662"/>
          </w:tcPr>
          <w:p>
            <w:pPr>
              <w:spacing w:after="0"/>
            </w:pPr>
            <w:r/>
            <w:r>
              <w:rPr>
                <w:sz w:val="15"/>
              </w:rPr>
              <w:t>hyperkalemia</w:t>
            </w:r>
          </w:p>
        </w:tc>
        <w:tc>
          <w:tcPr>
            <w:tcW w:type="dxa" w:w="1662"/>
          </w:tcPr>
          <w:p>
            <w:pPr>
              <w:spacing w:after="0"/>
            </w:pPr>
            <w:r/>
            <w:r>
              <w:rPr>
                <w:sz w:val="15"/>
              </w:rPr>
              <w:t>77</w:t>
            </w:r>
          </w:p>
        </w:tc>
        <w:tc>
          <w:tcPr>
            <w:tcW w:type="dxa" w:w="1662"/>
          </w:tcPr>
          <w:p>
            <w:pPr>
              <w:spacing w:after="0"/>
            </w:pPr>
            <w:r/>
            <w:r>
              <w:rPr>
                <w:sz w:val="15"/>
              </w:rPr>
              <w:t>24</w:t>
            </w:r>
          </w:p>
        </w:tc>
        <w:tc>
          <w:tcPr>
            <w:tcW w:type="dxa" w:w="1662"/>
          </w:tcPr>
          <w:p>
            <w:pPr>
              <w:spacing w:after="0"/>
            </w:pPr>
            <w:r/>
            <w:r>
              <w:rPr>
                <w:sz w:val="15"/>
              </w:rPr>
              <w:t>53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hypophosphatemia</w:t>
            </w:r>
          </w:p>
        </w:tc>
        <w:tc>
          <w:tcPr>
            <w:tcW w:type="dxa" w:w="1662"/>
          </w:tcPr>
          <w:p>
            <w:pPr>
              <w:spacing w:after="0"/>
            </w:pPr>
            <w:r/>
            <w:r>
              <w:rPr>
                <w:sz w:val="15"/>
              </w:rPr>
              <w:t>62</w:t>
            </w:r>
          </w:p>
        </w:tc>
        <w:tc>
          <w:tcPr>
            <w:tcW w:type="dxa" w:w="1662"/>
          </w:tcPr>
          <w:p>
            <w:pPr>
              <w:spacing w:after="0"/>
            </w:pPr>
            <w:r/>
            <w:r>
              <w:rPr>
                <w:sz w:val="15"/>
              </w:rPr>
              <w:t>2</w:t>
            </w:r>
          </w:p>
        </w:tc>
        <w:tc>
          <w:tcPr>
            <w:tcW w:type="dxa" w:w="1662"/>
          </w:tcPr>
          <w:p>
            <w:pPr>
              <w:spacing w:after="0"/>
            </w:pPr>
            <w:r/>
            <w:r>
              <w:rPr>
                <w:sz w:val="15"/>
              </w:rPr>
              <w:t>60</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acute_pancreatitis</w:t>
            </w:r>
          </w:p>
        </w:tc>
        <w:tc>
          <w:tcPr>
            <w:tcW w:type="dxa" w:w="1662"/>
          </w:tcPr>
          <w:p>
            <w:pPr>
              <w:spacing w:after="0"/>
            </w:pPr>
            <w:r/>
            <w:r>
              <w:rPr>
                <w:sz w:val="15"/>
              </w:rPr>
              <w:t>54</w:t>
            </w:r>
          </w:p>
        </w:tc>
        <w:tc>
          <w:tcPr>
            <w:tcW w:type="dxa" w:w="1662"/>
          </w:tcPr>
          <w:p>
            <w:pPr>
              <w:spacing w:after="0"/>
            </w:pPr>
            <w:r/>
            <w:r>
              <w:rPr>
                <w:sz w:val="15"/>
              </w:rPr>
              <w:t>12</w:t>
            </w:r>
          </w:p>
        </w:tc>
        <w:tc>
          <w:tcPr>
            <w:tcW w:type="dxa" w:w="1662"/>
          </w:tcPr>
          <w:p>
            <w:pPr>
              <w:spacing w:after="0"/>
            </w:pPr>
            <w:r/>
            <w:r>
              <w:rPr>
                <w:sz w:val="15"/>
              </w:rPr>
              <w:t>41</w:t>
            </w:r>
          </w:p>
        </w:tc>
        <w:tc>
          <w:tcPr>
            <w:tcW w:type="dxa" w:w="1662"/>
          </w:tcPr>
          <w:p>
            <w:pPr>
              <w:spacing w:after="0"/>
            </w:pPr>
            <w:r/>
            <w:r>
              <w:rPr>
                <w:sz w:val="15"/>
              </w:rPr>
              <w:t>1</w:t>
            </w:r>
          </w:p>
        </w:tc>
        <w:tc>
          <w:tcPr>
            <w:tcW w:type="dxa" w:w="1662"/>
          </w:tcPr>
          <w:p>
            <w:pPr>
              <w:spacing w:after="0"/>
            </w:pPr>
            <w:r/>
            <w:r>
              <w:rPr>
                <w:sz w:val="15"/>
              </w:rPr>
              <w:t>0</w:t>
            </w:r>
          </w:p>
        </w:tc>
      </w:tr>
      <w:tr>
        <w:tc>
          <w:tcPr>
            <w:tcW w:type="dxa" w:w="1662"/>
          </w:tcPr>
          <w:p>
            <w:pPr>
              <w:spacing w:after="0"/>
            </w:pPr>
            <w:r/>
            <w:r>
              <w:rPr>
                <w:sz w:val="15"/>
              </w:rPr>
              <w:t>hypernatremia</w:t>
            </w:r>
          </w:p>
        </w:tc>
        <w:tc>
          <w:tcPr>
            <w:tcW w:type="dxa" w:w="1662"/>
          </w:tcPr>
          <w:p>
            <w:pPr>
              <w:spacing w:after="0"/>
            </w:pPr>
            <w:r/>
            <w:r>
              <w:rPr>
                <w:sz w:val="15"/>
              </w:rPr>
              <w:t>49</w:t>
            </w:r>
          </w:p>
        </w:tc>
        <w:tc>
          <w:tcPr>
            <w:tcW w:type="dxa" w:w="1662"/>
          </w:tcPr>
          <w:p>
            <w:pPr>
              <w:spacing w:after="0"/>
            </w:pPr>
            <w:r/>
            <w:r>
              <w:rPr>
                <w:sz w:val="15"/>
              </w:rPr>
              <w:t>8</w:t>
            </w:r>
          </w:p>
        </w:tc>
        <w:tc>
          <w:tcPr>
            <w:tcW w:type="dxa" w:w="1662"/>
          </w:tcPr>
          <w:p>
            <w:pPr>
              <w:spacing w:after="0"/>
            </w:pPr>
            <w:r/>
            <w:r>
              <w:rPr>
                <w:sz w:val="15"/>
              </w:rPr>
              <w:t>41</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rhabdomyolysis</w:t>
            </w:r>
          </w:p>
        </w:tc>
        <w:tc>
          <w:tcPr>
            <w:tcW w:type="dxa" w:w="1662"/>
          </w:tcPr>
          <w:p>
            <w:pPr>
              <w:spacing w:after="0"/>
            </w:pPr>
            <w:r/>
            <w:r>
              <w:rPr>
                <w:sz w:val="15"/>
              </w:rPr>
              <w:t>43</w:t>
            </w:r>
          </w:p>
        </w:tc>
        <w:tc>
          <w:tcPr>
            <w:tcW w:type="dxa" w:w="1662"/>
          </w:tcPr>
          <w:p>
            <w:pPr>
              <w:spacing w:after="0"/>
            </w:pPr>
            <w:r/>
            <w:r>
              <w:rPr>
                <w:sz w:val="15"/>
              </w:rPr>
              <w:t>6</w:t>
            </w:r>
          </w:p>
        </w:tc>
        <w:tc>
          <w:tcPr>
            <w:tcW w:type="dxa" w:w="1662"/>
          </w:tcPr>
          <w:p>
            <w:pPr>
              <w:spacing w:after="0"/>
            </w:pPr>
            <w:r/>
            <w:r>
              <w:rPr>
                <w:sz w:val="15"/>
              </w:rPr>
              <w:t>31</w:t>
            </w:r>
          </w:p>
        </w:tc>
        <w:tc>
          <w:tcPr>
            <w:tcW w:type="dxa" w:w="1662"/>
          </w:tcPr>
          <w:p>
            <w:pPr>
              <w:spacing w:after="0"/>
            </w:pPr>
            <w:r/>
            <w:r>
              <w:rPr>
                <w:sz w:val="15"/>
              </w:rPr>
              <w:t>6</w:t>
            </w:r>
          </w:p>
        </w:tc>
        <w:tc>
          <w:tcPr>
            <w:tcW w:type="dxa" w:w="1662"/>
          </w:tcPr>
          <w:p>
            <w:pPr>
              <w:spacing w:after="0"/>
            </w:pPr>
            <w:r/>
            <w:r>
              <w:rPr>
                <w:sz w:val="15"/>
              </w:rPr>
              <w:t>0</w:t>
            </w:r>
          </w:p>
        </w:tc>
      </w:tr>
      <w:tr>
        <w:tc>
          <w:tcPr>
            <w:tcW w:type="dxa" w:w="1662"/>
          </w:tcPr>
          <w:p>
            <w:pPr>
              <w:spacing w:after="0"/>
            </w:pPr>
            <w:r/>
            <w:r>
              <w:rPr>
                <w:sz w:val="15"/>
              </w:rPr>
              <w:t>full (default profiles)</w:t>
            </w:r>
          </w:p>
        </w:tc>
        <w:tc>
          <w:tcPr>
            <w:tcW w:type="dxa" w:w="1662"/>
          </w:tcPr>
          <w:p>
            <w:pPr>
              <w:spacing w:after="0"/>
            </w:pPr>
            <w:r/>
            <w:r>
              <w:rPr>
                <w:sz w:val="15"/>
              </w:rPr>
              <w:t>0.35 / 0.25 / 0.20 / 0.10 / 0.10 + 6 domain profiles</w:t>
            </w:r>
          </w:p>
        </w:tc>
        <w:tc>
          <w:tcPr>
            <w:tcW w:type="dxa" w:w="1662"/>
          </w:tcPr>
          <w:p>
            <w:pPr>
              <w:spacing w:after="0"/>
            </w:pPr>
            <w:r/>
            <w:r>
              <w:rPr>
                <w:sz w:val="15"/>
              </w:rPr>
              <w:t>47.9</w:t>
            </w:r>
          </w:p>
        </w:tc>
        <w:tc>
          <w:tcPr>
            <w:tcW w:type="dxa" w:w="1662"/>
          </w:tcPr>
          <w:p>
            <w:pPr>
              <w:spacing w:after="0"/>
            </w:pPr>
            <w:r/>
            <w:r>
              <w:rPr>
                <w:sz w:val="15"/>
              </w:rPr>
              <w:t>60.8</w:t>
            </w:r>
          </w:p>
        </w:tc>
        <w:tc>
          <w:tcPr>
            <w:tcW w:type="dxa" w:w="1662"/>
          </w:tcPr>
          <w:p>
            <w:pPr>
              <w:spacing w:after="0"/>
            </w:pPr>
            <w:r/>
            <w:r>
              <w:rPr>
                <w:sz w:val="15"/>
              </w:rPr>
              <w:t>74.1</w:t>
            </w:r>
          </w:p>
        </w:tc>
        <w:tc>
          <w:tcPr>
            <w:tcW w:type="dxa" w:w="1662"/>
          </w:tcPr>
          <w:p>
            <w:pPr>
              <w:spacing w:after="0"/>
            </w:pPr>
            <w:r/>
            <w:r>
              <w:rPr>
                <w:sz w:val="15"/>
              </w:rPr>
              <w:t>—</w:t>
            </w:r>
          </w:p>
        </w:tc>
      </w:tr>
      <w:tr>
        <w:tc>
          <w:tcPr>
            <w:tcW w:type="dxa" w:w="1662"/>
          </w:tcPr>
          <w:p>
            <w:pPr>
              <w:spacing w:after="0"/>
            </w:pPr>
            <w:r/>
            <w:r>
              <w:rPr>
                <w:sz w:val="15"/>
              </w:rPr>
              <w:t>uniform_w</w:t>
            </w:r>
          </w:p>
        </w:tc>
        <w:tc>
          <w:tcPr>
            <w:tcW w:type="dxa" w:w="1662"/>
          </w:tcPr>
          <w:p>
            <w:pPr>
              <w:spacing w:after="0"/>
            </w:pPr>
            <w:r/>
            <w:r>
              <w:rPr>
                <w:sz w:val="15"/>
              </w:rPr>
              <w:t>0.20 × 5, all profiles</w:t>
            </w:r>
          </w:p>
        </w:tc>
        <w:tc>
          <w:tcPr>
            <w:tcW w:type="dxa" w:w="1662"/>
          </w:tcPr>
          <w:p>
            <w:pPr>
              <w:spacing w:after="0"/>
            </w:pPr>
            <w:r/>
            <w:r>
              <w:rPr>
                <w:sz w:val="15"/>
              </w:rPr>
              <w:t>47.5</w:t>
            </w:r>
          </w:p>
        </w:tc>
        <w:tc>
          <w:tcPr>
            <w:tcW w:type="dxa" w:w="1662"/>
          </w:tcPr>
          <w:p>
            <w:pPr>
              <w:spacing w:after="0"/>
            </w:pPr>
            <w:r/>
            <w:r>
              <w:rPr>
                <w:sz w:val="15"/>
              </w:rPr>
              <w:t>59.4</w:t>
            </w:r>
          </w:p>
        </w:tc>
        <w:tc>
          <w:tcPr>
            <w:tcW w:type="dxa" w:w="1662"/>
          </w:tcPr>
          <w:p>
            <w:pPr>
              <w:spacing w:after="0"/>
            </w:pPr>
            <w:r/>
            <w:r>
              <w:rPr>
                <w:sz w:val="15"/>
              </w:rPr>
              <w:t>73.1</w:t>
            </w:r>
          </w:p>
        </w:tc>
        <w:tc>
          <w:tcPr>
            <w:tcW w:type="dxa" w:w="1662"/>
          </w:tcPr>
          <w:p>
            <w:pPr>
              <w:spacing w:after="0"/>
            </w:pPr>
            <w:r/>
            <w:r>
              <w:rPr>
                <w:sz w:val="15"/>
              </w:rPr>
              <w:t>−1.4 (−2.1 to −0.7)</w:t>
            </w:r>
          </w:p>
        </w:tc>
      </w:tr>
      <w:tr>
        <w:tc>
          <w:tcPr>
            <w:tcW w:type="dxa" w:w="1662"/>
          </w:tcPr>
          <w:p>
            <w:pPr>
              <w:spacing w:after="0"/>
            </w:pPr>
            <w:r/>
            <w:r>
              <w:rPr>
                <w:sz w:val="15"/>
              </w:rPr>
              <w:t>w_rule_heavy</w:t>
            </w:r>
          </w:p>
        </w:tc>
        <w:tc>
          <w:tcPr>
            <w:tcW w:type="dxa" w:w="1662"/>
          </w:tcPr>
          <w:p>
            <w:pPr>
              <w:spacing w:after="0"/>
            </w:pPr>
            <w:r/>
            <w:r>
              <w:rPr>
                <w:sz w:val="15"/>
              </w:rPr>
              <w:t>0.55 / 0.15 / 0.15 / 0.075 / 0.075, all profiles</w:t>
            </w:r>
          </w:p>
        </w:tc>
        <w:tc>
          <w:tcPr>
            <w:tcW w:type="dxa" w:w="1662"/>
          </w:tcPr>
          <w:p>
            <w:pPr>
              <w:spacing w:after="0"/>
            </w:pPr>
            <w:r/>
            <w:r>
              <w:rPr>
                <w:sz w:val="15"/>
              </w:rPr>
              <w:t>48.2</w:t>
            </w:r>
          </w:p>
        </w:tc>
        <w:tc>
          <w:tcPr>
            <w:tcW w:type="dxa" w:w="1662"/>
          </w:tcPr>
          <w:p>
            <w:pPr>
              <w:spacing w:after="0"/>
            </w:pPr>
            <w:r/>
            <w:r>
              <w:rPr>
                <w:sz w:val="15"/>
              </w:rPr>
              <w:t>60.8</w:t>
            </w:r>
          </w:p>
        </w:tc>
        <w:tc>
          <w:tcPr>
            <w:tcW w:type="dxa" w:w="1662"/>
          </w:tcPr>
          <w:p>
            <w:pPr>
              <w:spacing w:after="0"/>
            </w:pPr>
            <w:r/>
            <w:r>
              <w:rPr>
                <w:sz w:val="15"/>
              </w:rPr>
              <w:t>74.0</w:t>
            </w:r>
          </w:p>
        </w:tc>
        <w:tc>
          <w:tcPr>
            <w:tcW w:type="dxa" w:w="1662"/>
          </w:tcPr>
          <w:p>
            <w:pPr>
              <w:spacing w:after="0"/>
            </w:pPr>
            <w:r/>
            <w:r>
              <w:rPr>
                <w:sz w:val="15"/>
              </w:rPr>
              <w:t>−0.0 (−0.6 to +0.5)</w:t>
            </w:r>
          </w:p>
        </w:tc>
      </w:tr>
      <w:tr>
        <w:tc>
          <w:tcPr>
            <w:tcW w:type="dxa" w:w="1662"/>
          </w:tcPr>
          <w:p>
            <w:pPr>
              <w:spacing w:after="0"/>
            </w:pPr>
            <w:r/>
            <w:r>
              <w:rPr>
                <w:sz w:val="15"/>
              </w:rPr>
              <w:t>w_rule_light</w:t>
            </w:r>
          </w:p>
        </w:tc>
        <w:tc>
          <w:tcPr>
            <w:tcW w:type="dxa" w:w="1662"/>
          </w:tcPr>
          <w:p>
            <w:pPr>
              <w:spacing w:after="0"/>
            </w:pPr>
            <w:r/>
            <w:r>
              <w:rPr>
                <w:sz w:val="15"/>
              </w:rPr>
              <w:t>0.20 / 0.30 / 0.25 / 0.125 / 0.125, all profiles</w:t>
            </w:r>
          </w:p>
        </w:tc>
        <w:tc>
          <w:tcPr>
            <w:tcW w:type="dxa" w:w="1662"/>
          </w:tcPr>
          <w:p>
            <w:pPr>
              <w:spacing w:after="0"/>
            </w:pPr>
            <w:r/>
            <w:r>
              <w:rPr>
                <w:sz w:val="15"/>
              </w:rPr>
              <w:t>47.6</w:t>
            </w:r>
          </w:p>
        </w:tc>
        <w:tc>
          <w:tcPr>
            <w:tcW w:type="dxa" w:w="1662"/>
          </w:tcPr>
          <w:p>
            <w:pPr>
              <w:spacing w:after="0"/>
            </w:pPr>
            <w:r/>
            <w:r>
              <w:rPr>
                <w:sz w:val="15"/>
              </w:rPr>
              <w:t>59.7</w:t>
            </w:r>
          </w:p>
        </w:tc>
        <w:tc>
          <w:tcPr>
            <w:tcW w:type="dxa" w:w="1662"/>
          </w:tcPr>
          <w:p>
            <w:pPr>
              <w:spacing w:after="0"/>
            </w:pPr>
            <w:r/>
            <w:r>
              <w:rPr>
                <w:sz w:val="15"/>
              </w:rPr>
              <w:t>73.3</w:t>
            </w:r>
          </w:p>
        </w:tc>
        <w:tc>
          <w:tcPr>
            <w:tcW w:type="dxa" w:w="1662"/>
          </w:tcPr>
          <w:p>
            <w:pPr>
              <w:spacing w:after="0"/>
            </w:pPr>
            <w:r/>
            <w:r>
              <w:rPr>
                <w:sz w:val="15"/>
              </w:rPr>
              <w:t>−1.1 (−1.8 to −0.3)</w:t>
            </w:r>
          </w:p>
        </w:tc>
      </w:tr>
      <w:tr>
        <w:tc>
          <w:tcPr>
            <w:tcW w:type="dxa" w:w="1662"/>
          </w:tcPr>
          <w:p>
            <w:pPr>
              <w:spacing w:after="0"/>
            </w:pPr>
            <w:r/>
            <w:r>
              <w:rPr>
                <w:sz w:val="15"/>
              </w:rPr>
              <w:t>UCI thyroid0387</w:t>
            </w:r>
          </w:p>
        </w:tc>
        <w:tc>
          <w:tcPr>
            <w:tcW w:type="dxa" w:w="1662"/>
          </w:tcPr>
          <w:p>
            <w:pPr>
              <w:spacing w:after="0"/>
            </w:pPr>
            <w:r/>
            <w:r>
              <w:rPr>
                <w:sz w:val="15"/>
              </w:rPr>
              <w:t>records with a clinician diagnosis string</w:t>
            </w:r>
          </w:p>
        </w:tc>
        <w:tc>
          <w:tcPr>
            <w:tcW w:type="dxa" w:w="1662"/>
          </w:tcPr>
          <w:p>
            <w:pPr>
              <w:spacing w:after="0"/>
            </w:pPr>
            <w:r/>
            <w:r>
              <w:rPr>
                <w:sz w:val="15"/>
              </w:rPr>
              <w:t>9,172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excluded: TSH not measured</w:t>
            </w:r>
          </w:p>
        </w:tc>
        <w:tc>
          <w:tcPr>
            <w:tcW w:type="dxa" w:w="1662"/>
          </w:tcPr>
          <w:p>
            <w:pPr>
              <w:spacing w:after="0"/>
            </w:pPr>
            <w:r/>
            <w:r>
              <w:rPr>
                <w:sz w:val="15"/>
              </w:rPr>
              <w:t>−842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excluded: classes R (discordant assay) and I/J/S (binding-protein abnormalities, not interpretable from TSH/T4 alone)</w:t>
            </w:r>
          </w:p>
        </w:tc>
        <w:tc>
          <w:tcPr>
            <w:tcW w:type="dxa" w:w="1662"/>
          </w:tcPr>
          <w:p>
            <w:pPr>
              <w:spacing w:after="0"/>
            </w:pPr>
            <w:r/>
            <w:r>
              <w:rPr>
                <w:sz w:val="15"/>
              </w:rPr>
              <w:t>−587</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b/>
                <w:sz w:val="15"/>
              </w:rPr>
              <w:t>scorable records</w:t>
            </w:r>
          </w:p>
        </w:tc>
        <w:tc>
          <w:tcPr>
            <w:tcW w:type="dxa" w:w="1662"/>
          </w:tcPr>
          <w:p>
            <w:pPr>
              <w:spacing w:after="0"/>
            </w:pPr>
            <w:r/>
            <w:r>
              <w:rPr>
                <w:b/>
                <w:sz w:val="15"/>
              </w:rPr>
              <w:t>7,743</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no-comment controls (negative set for every task)</w:t>
            </w:r>
          </w:p>
        </w:tc>
        <w:tc>
          <w:tcPr>
            <w:tcW w:type="dxa" w:w="1662"/>
          </w:tcPr>
          <w:p>
            <w:pPr>
              <w:spacing w:after="0"/>
            </w:pPr>
            <w:r/>
            <w:r>
              <w:rPr>
                <w:sz w:val="15"/>
              </w:rPr>
              <w:t>6,082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hypothyroid classes E/F/G/H (task H1 positives)</w:t>
            </w:r>
          </w:p>
        </w:tc>
        <w:tc>
          <w:tcPr>
            <w:tcW w:type="dxa" w:w="1662"/>
          </w:tcPr>
          <w:p>
            <w:pPr>
              <w:spacing w:after="0"/>
            </w:pPr>
            <w:r/>
            <w:r>
              <w:rPr>
                <w:sz w:val="15"/>
              </w:rPr>
              <w:t>655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hyperthyroid classes A/B/C/D (task H2 positives)</w:t>
            </w:r>
          </w:p>
        </w:tc>
        <w:tc>
          <w:tcPr>
            <w:tcW w:type="dxa" w:w="1662"/>
          </w:tcPr>
          <w:p>
            <w:pPr>
              <w:spacing w:after="0"/>
            </w:pPr>
            <w:r/>
            <w:r>
              <w:rPr>
                <w:sz w:val="15"/>
              </w:rPr>
              <w:t>195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other classes, not positives or negatives of any task: K concurrent non-thyroidal illness 433; L/M/N replacement therapy 329; O/P/Q antithyroid treatment / miscellaneous 33; mixed MK 16</w:t>
            </w:r>
          </w:p>
        </w:tc>
        <w:tc>
          <w:tcPr>
            <w:tcW w:type="dxa" w:w="1662"/>
          </w:tcPr>
          <w:p>
            <w:pPr>
              <w:spacing w:after="0"/>
            </w:pPr>
            <w:r/>
            <w:r>
              <w:rPr>
                <w:sz w:val="15"/>
              </w:rPr>
              <w:t>811</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r>
              <w:rPr>
                <w:sz w:val="15"/>
              </w:rPr>
              <w:t>UCI HCV (Hoffmann 2018)</w:t>
            </w:r>
          </w:p>
        </w:tc>
        <w:tc>
          <w:tcPr>
            <w:tcW w:type="dxa" w:w="1662"/>
          </w:tcPr>
          <w:p>
            <w:pPr>
              <w:spacing w:after="0"/>
            </w:pPr>
            <w:r/>
            <w:r>
              <w:rPr>
                <w:sz w:val="15"/>
              </w:rPr>
              <w:t>records</w:t>
            </w:r>
          </w:p>
        </w:tc>
        <w:tc>
          <w:tcPr>
            <w:tcW w:type="dxa" w:w="1662"/>
          </w:tcPr>
          <w:p>
            <w:pPr>
              <w:spacing w:after="0"/>
            </w:pPr>
            <w:r/>
            <w:r>
              <w:rPr>
                <w:sz w:val="15"/>
              </w:rPr>
              <w:t>615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blood donors (negative set)</w:t>
            </w:r>
          </w:p>
        </w:tc>
        <w:tc>
          <w:tcPr>
            <w:tcW w:type="dxa" w:w="1662"/>
          </w:tcPr>
          <w:p>
            <w:pPr>
              <w:spacing w:after="0"/>
            </w:pPr>
            <w:r/>
            <w:r>
              <w:rPr>
                <w:sz w:val="15"/>
              </w:rPr>
              <w:t>533</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suspect blood donors — ambiguous label, excluded from both tasks</w:t>
            </w:r>
          </w:p>
        </w:tc>
        <w:tc>
          <w:tcPr>
            <w:tcW w:type="dxa" w:w="1662"/>
          </w:tcPr>
          <w:p>
            <w:pPr>
              <w:spacing w:after="0"/>
            </w:pPr>
            <w:r/>
            <w:r>
              <w:rPr>
                <w:sz w:val="15"/>
              </w:rPr>
              <w:t>7</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hepatitis / fibrosis / cirrhosis (task A positives, 24 + 21 + 30)</w:t>
            </w:r>
          </w:p>
        </w:tc>
        <w:tc>
          <w:tcPr>
            <w:tcW w:type="dxa" w:w="1662"/>
          </w:tcPr>
          <w:p>
            <w:pPr>
              <w:spacing w:after="0"/>
            </w:pPr>
            <w:r/>
            <w:r>
              <w:rPr>
                <w:sz w:val="15"/>
              </w:rPr>
              <w:t>75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task B cirrhosis: positives 30; negatives = donors + hepatitis + fibrosis</w:t>
            </w:r>
          </w:p>
        </w:tc>
        <w:tc>
          <w:tcPr>
            <w:tcW w:type="dxa" w:w="1662"/>
          </w:tcPr>
          <w:p>
            <w:pPr>
              <w:spacing w:after="0"/>
            </w:pPr>
            <w:r/>
            <w:r>
              <w:rPr>
                <w:sz w:val="15"/>
              </w:rPr>
              <w:t>30 vs 578</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r>
              <w:rPr>
                <w:sz w:val="15"/>
              </w:rPr>
              <w:t>ILPD</w:t>
            </w:r>
          </w:p>
        </w:tc>
        <w:tc>
          <w:tcPr>
            <w:tcW w:type="dxa" w:w="1662"/>
          </w:tcPr>
          <w:p>
            <w:pPr>
              <w:spacing w:after="0"/>
            </w:pPr>
            <w:r/>
            <w:r>
              <w:rPr>
                <w:sz w:val="15"/>
              </w:rPr>
              <w:t>liver patients / non-patients (no exclusions)</w:t>
            </w:r>
          </w:p>
        </w:tc>
        <w:tc>
          <w:tcPr>
            <w:tcW w:type="dxa" w:w="1662"/>
          </w:tcPr>
          <w:p>
            <w:pPr>
              <w:spacing w:after="0"/>
            </w:pPr>
            <w:r/>
            <w:r>
              <w:rPr>
                <w:sz w:val="15"/>
              </w:rPr>
              <w:t>416 / 167</w:t>
            </w:r>
          </w:p>
        </w:tc>
        <w:tc>
          <w:tcPr>
            <w:tcW w:type="dxa" w:w="1662"/>
          </w:tcPr>
          <w:p>
            <w:pPr>
              <w:spacing w:after="0"/>
            </w:pPr>
            <w:r/>
            <w:r>
              <w:rPr>
                <w:sz w:val="15"/>
              </w:rPr>
              <w:t xml:space="preserve">## Supplementary Note 4 — Regression gate: definition and residual failures </w:t>
            </w:r>
            <w:r>
              <w:rPr>
                <w:b/>
                <w:sz w:val="15"/>
              </w:rPr>
              <w:t>Definition (unchanged since release 13.4.1).</w:t>
            </w:r>
            <w:r>
              <w:rPr>
                <w:sz w:val="15"/>
              </w:rPr>
              <w:t xml:space="preserve"> A candidate engine/registry pair may be used for any real-data run only if (i) all unit tests pass; (ii) in the three adversarial vignette batteries (151, 124, 78 cases; expected diagnosis must appear at or above a per-case maximum rank) no case that passed in the previous shipped release fails; (iii) in the perturbation battery (151 cases × 5 replicates of 3% multiplicative noise = 755 pairs) no new pair fails and no case becomes "brittle" (&lt; 4/5 replicates) that was not already brittle; (iv) the 1,000-panel healthy sweep produces zero syndrome fires and zero diagnoses ≥ 0.5; (v) the SI/conventional unit-twin battery produces identical rankings. The gate is non-regression, not perfection; it was chosen so that a correctness change can never be accepted at the price of a previously correct case. </w:t>
            </w:r>
            <w:r>
              <w:rPr>
                <w:b/>
                <w:sz w:val="15"/>
              </w:rPr>
              <w:t>Residual failures in the frozen v7 (both pre-date v7 and are deliberately unpatched).</w:t>
            </w:r>
          </w:p>
        </w:tc>
        <w:tc>
          <w:tcPr>
            <w:tcW w:type="dxa" w:w="1662"/>
          </w:tcPr>
          <w:p>
            <w:pPr>
              <w:spacing w:after="0"/>
            </w:pPr>
            <w:r/>
            <w:r>
              <w:rPr>
                <w:sz w:val="15"/>
              </w:rPr>
              <w:t>battery</w:t>
            </w:r>
          </w:p>
        </w:tc>
        <w:tc>
          <w:tcPr>
            <w:tcW w:type="dxa" w:w="1662"/>
          </w:tcPr>
          <w:p>
            <w:pPr>
              <w:spacing w:after="0"/>
            </w:pPr>
            <w:r/>
            <w:r>
              <w:rPr>
                <w:sz w:val="15"/>
              </w:rPr>
              <w:t>case</w:t>
            </w:r>
          </w:p>
        </w:tc>
      </w:tr>
      <w:tr>
        <w:tc>
          <w:tcPr>
            <w:tcW w:type="dxa" w:w="1662"/>
          </w:tcPr>
          <w:p>
            <w:pPr>
              <w:spacing w:after="0"/>
            </w:pPr>
            <w:r/>
            <w:r>
              <w:rPr>
                <w:sz w:val="15"/>
              </w:rPr>
              <w:t>vignettes 3 (78)</w:t>
            </w:r>
          </w:p>
        </w:tc>
        <w:tc>
          <w:tcPr>
            <w:tcW w:type="dxa" w:w="1662"/>
          </w:tcPr>
          <w:p>
            <w:pPr>
              <w:spacing w:after="0"/>
            </w:pPr>
            <w:r/>
            <w:r>
              <w:rPr>
                <w:sz w:val="15"/>
              </w:rPr>
              <w:t xml:space="preserve">alcoholic pancreatitis vignette — expected rank 1, obtained rank 2 behind </w:t>
            </w:r>
            <w:r>
              <w:rPr>
                <w:i/>
                <w:sz w:val="15"/>
              </w:rPr>
              <w:t>alcohol-use disorder</w:t>
            </w:r>
            <w:r>
              <w:rPr>
                <w:sz w:val="15"/>
              </w:rPr>
              <w:t xml:space="preserve"> (both "supported", 0.79)</w:t>
            </w:r>
          </w:p>
        </w:tc>
        <w:tc>
          <w:tcPr>
            <w:tcW w:type="dxa" w:w="1662"/>
          </w:tcPr>
          <w:p>
            <w:pPr>
              <w:spacing w:after="0"/>
            </w:pPr>
            <w:r/>
            <w:r>
              <w:rPr>
                <w:sz w:val="15"/>
              </w:rPr>
              <w:t>77/78</w:t>
            </w:r>
          </w:p>
        </w:tc>
        <w:tc>
          <w:tcPr>
            <w:tcW w:type="dxa" w:w="1662"/>
          </w:tcPr>
          <w:p>
            <w:pPr>
              <w:spacing w:after="0"/>
            </w:pPr>
            <w:r/>
            <w:r>
              <w:rPr>
                <w:sz w:val="15"/>
              </w:rPr>
              <w:t>77/78</w:t>
            </w:r>
          </w:p>
        </w:tc>
        <w:tc>
          <w:tcPr>
            <w:tcW w:type="dxa" w:w="1662"/>
          </w:tcPr>
          <w:p>
            <w:pPr>
              <w:spacing w:after="0"/>
            </w:pPr>
            <w:r/>
            <w:r>
              <w:rPr>
                <w:sz w:val="15"/>
              </w:rPr>
              <w:t>a rule written for this vignette would be outcome-fitting; the ranking is clinically defensible</w:t>
            </w:r>
          </w:p>
        </w:tc>
        <w:tc>
          <w:tcPr>
            <w:tcW w:type="dxa" w:w="1662"/>
          </w:tcPr>
          <w:p>
            <w:pPr>
              <w:spacing w:after="0"/>
            </w:pPr>
            <w:r/>
          </w:p>
        </w:tc>
      </w:tr>
      <w:tr>
        <w:tc>
          <w:tcPr>
            <w:tcW w:type="dxa" w:w="1662"/>
          </w:tcPr>
          <w:p>
            <w:pPr>
              <w:spacing w:after="0"/>
            </w:pPr>
            <w:r/>
            <w:r>
              <w:rPr>
                <w:sz w:val="15"/>
              </w:rPr>
              <w:t>perturbation (755)</w:t>
            </w:r>
          </w:p>
        </w:tc>
        <w:tc>
          <w:tcPr>
            <w:tcW w:type="dxa" w:w="1662"/>
          </w:tcPr>
          <w:p>
            <w:pPr>
              <w:spacing w:after="0"/>
            </w:pPr>
            <w:r/>
            <w:r>
              <w:rPr>
                <w:sz w:val="15"/>
              </w:rPr>
              <w:t>thiazide-associated hypovolaemic hyponatraemia (five noisy replicates of one vignette): 3/5 replicates keep the expected rank in v7, 2/5 in release 14.1 — i.e. v7 recovered one replicate; the two residual failures are replicates 2 and 4 of this single vignette and there is no other failing perturbation pair</w:t>
            </w:r>
          </w:p>
        </w:tc>
        <w:tc>
          <w:tcPr>
            <w:tcW w:type="dxa" w:w="1662"/>
          </w:tcPr>
          <w:p>
            <w:pPr>
              <w:spacing w:after="0"/>
            </w:pPr>
            <w:r/>
            <w:r>
              <w:rPr>
                <w:sz w:val="15"/>
              </w:rPr>
              <w:t>753/755</w:t>
            </w:r>
          </w:p>
        </w:tc>
        <w:tc>
          <w:tcPr>
            <w:tcW w:type="dxa" w:w="1662"/>
          </w:tcPr>
          <w:p>
            <w:pPr>
              <w:spacing w:after="0"/>
            </w:pPr>
            <w:r/>
            <w:r>
              <w:rPr>
                <w:sz w:val="15"/>
              </w:rPr>
              <w:t>752/755</w:t>
            </w:r>
          </w:p>
        </w:tc>
        <w:tc>
          <w:tcPr>
            <w:tcW w:type="dxa" w:w="1662"/>
          </w:tcPr>
          <w:p>
            <w:pPr>
              <w:spacing w:after="0"/>
            </w:pPr>
            <w:r/>
            <w:r>
              <w:rPr>
                <w:sz w:val="15"/>
              </w:rPr>
              <w:t>the case sits on the sodium/urate decision boundary; moving the boundary for it was tried during development and rejected because it over-fired elsewhere</w:t>
            </w:r>
          </w:p>
        </w:tc>
        <w:tc>
          <w:tcPr>
            <w:tcW w:type="dxa" w:w="1662"/>
          </w:tcPr>
          <w:p>
            <w:pPr>
              <w:spacing w:after="0"/>
            </w:pPr>
            <w:r/>
            <w:r>
              <w:rPr>
                <w:sz w:val="15"/>
              </w:rPr>
              <w:t>## Supplementary Table S4 — Subgroup recall, frozen engine v7 (eICU demo, 2,314 stays; replaces the v6-era figures 65.4 %/61.1 % quoted in the first submission) ### Source table : Subgroup and fairness analysis — eICU-CRD demo (n = 2314 stays), engine v7 Metrics are pooled over all laboratory-detectable clinician-listed diagnoses in the stratum. recall@5 CI = 1,000-stay bootstrap. AUROC columns use the per-stay group probability for the four most frequent groups; '—' = fewer than 5 positives or negatives. The engine contains no race, ethnicity or hospital term; eGFR is CKD-EPI 2021 (race-free). Strata with &lt; 40 stays are shown but not interpreted. Overall: recall@5 60.8%, recall@10 74.1%, chart support 23.2% (n = 4218), false-assertion proxy in stays with empty problem list 93.8% (n = 1136). #### By sex</w:t>
            </w:r>
          </w:p>
        </w:tc>
      </w:tr>
      <w:tr>
        <w:tc>
          <w:tcPr>
            <w:tcW w:type="dxa" w:w="1662"/>
          </w:tcPr>
          <w:p>
            <w:pPr>
              <w:spacing w:after="0"/>
            </w:pPr>
            <w:r/>
            <w:r>
              <w:rPr>
                <w:sz w:val="15"/>
              </w:rPr>
              <w:t>male</w:t>
            </w:r>
          </w:p>
        </w:tc>
        <w:tc>
          <w:tcPr>
            <w:tcW w:type="dxa" w:w="1662"/>
          </w:tcPr>
          <w:p>
            <w:pPr>
              <w:spacing w:after="0"/>
            </w:pPr>
            <w:r/>
            <w:r>
              <w:rPr>
                <w:sz w:val="15"/>
              </w:rPr>
              <w:t>1392</w:t>
            </w:r>
          </w:p>
        </w:tc>
        <w:tc>
          <w:tcPr>
            <w:tcW w:type="dxa" w:w="1662"/>
          </w:tcPr>
          <w:p>
            <w:pPr>
              <w:spacing w:after="0"/>
            </w:pPr>
            <w:r/>
            <w:r>
              <w:rPr>
                <w:sz w:val="15"/>
              </w:rPr>
              <w:t>1498</w:t>
            </w:r>
          </w:p>
        </w:tc>
        <w:tc>
          <w:tcPr>
            <w:tcW w:type="dxa" w:w="1662"/>
          </w:tcPr>
          <w:p>
            <w:pPr>
              <w:spacing w:after="0"/>
            </w:pPr>
            <w:r/>
            <w:r>
              <w:rPr>
                <w:sz w:val="15"/>
              </w:rPr>
              <w:t>62.3% (59.5–64.9)</w:t>
            </w:r>
          </w:p>
        </w:tc>
        <w:tc>
          <w:tcPr>
            <w:tcW w:type="dxa" w:w="1662"/>
          </w:tcPr>
          <w:p>
            <w:pPr>
              <w:spacing w:after="0"/>
            </w:pPr>
            <w:r/>
            <w:r>
              <w:rPr>
                <w:sz w:val="15"/>
              </w:rPr>
              <w:t>75.8%</w:t>
            </w:r>
          </w:p>
        </w:tc>
        <w:tc>
          <w:tcPr>
            <w:tcW w:type="dxa" w:w="1662"/>
          </w:tcPr>
          <w:p>
            <w:pPr>
              <w:spacing w:after="0"/>
            </w:pPr>
            <w:r/>
            <w:r>
              <w:rPr>
                <w:sz w:val="15"/>
              </w:rPr>
              <w:t>24.3%</w:t>
            </w:r>
          </w:p>
        </w:tc>
      </w:tr>
      <w:tr>
        <w:tc>
          <w:tcPr>
            <w:tcW w:type="dxa" w:w="1662"/>
          </w:tcPr>
          <w:p>
            <w:pPr>
              <w:spacing w:after="0"/>
            </w:pPr>
            <w:r/>
            <w:r>
              <w:rPr>
                <w:sz w:val="15"/>
              </w:rPr>
              <w:t>female</w:t>
            </w:r>
          </w:p>
        </w:tc>
        <w:tc>
          <w:tcPr>
            <w:tcW w:type="dxa" w:w="1662"/>
          </w:tcPr>
          <w:p>
            <w:pPr>
              <w:spacing w:after="0"/>
            </w:pPr>
            <w:r/>
            <w:r>
              <w:rPr>
                <w:sz w:val="15"/>
              </w:rPr>
              <w:t>922</w:t>
            </w:r>
          </w:p>
        </w:tc>
        <w:tc>
          <w:tcPr>
            <w:tcW w:type="dxa" w:w="1662"/>
          </w:tcPr>
          <w:p>
            <w:pPr>
              <w:spacing w:after="0"/>
            </w:pPr>
            <w:r/>
            <w:r>
              <w:rPr>
                <w:sz w:val="15"/>
              </w:rPr>
              <w:t>934</w:t>
            </w:r>
          </w:p>
        </w:tc>
        <w:tc>
          <w:tcPr>
            <w:tcW w:type="dxa" w:w="1662"/>
          </w:tcPr>
          <w:p>
            <w:pPr>
              <w:spacing w:after="0"/>
            </w:pPr>
            <w:r/>
            <w:r>
              <w:rPr>
                <w:sz w:val="15"/>
              </w:rPr>
              <w:t>58.5% (54.4–62.3)</w:t>
            </w:r>
          </w:p>
        </w:tc>
        <w:tc>
          <w:tcPr>
            <w:tcW w:type="dxa" w:w="1662"/>
          </w:tcPr>
          <w:p>
            <w:pPr>
              <w:spacing w:after="0"/>
            </w:pPr>
            <w:r/>
            <w:r>
              <w:rPr>
                <w:sz w:val="15"/>
              </w:rPr>
              <w:t>71.2%</w:t>
            </w:r>
          </w:p>
        </w:tc>
        <w:tc>
          <w:tcPr>
            <w:tcW w:type="dxa" w:w="1662"/>
          </w:tcPr>
          <w:p>
            <w:pPr>
              <w:spacing w:after="0"/>
            </w:pPr>
            <w:r/>
            <w:r>
              <w:rPr>
                <w:sz w:val="15"/>
              </w:rPr>
              <w:t>21.4%</w:t>
            </w:r>
          </w:p>
        </w:tc>
      </w:tr>
      <w:tr>
        <w:tc>
          <w:tcPr>
            <w:tcW w:type="dxa" w:w="1662"/>
          </w:tcPr>
          <w:p>
            <w:pPr>
              <w:spacing w:after="0"/>
            </w:pPr>
            <w:r/>
            <w:r>
              <w:rPr>
                <w:sz w:val="15"/>
              </w:rPr>
              <w:t>65–79</w:t>
            </w:r>
          </w:p>
        </w:tc>
        <w:tc>
          <w:tcPr>
            <w:tcW w:type="dxa" w:w="1662"/>
          </w:tcPr>
          <w:p>
            <w:pPr>
              <w:spacing w:after="0"/>
            </w:pPr>
            <w:r/>
            <w:r>
              <w:rPr>
                <w:sz w:val="15"/>
              </w:rPr>
              <w:t>820</w:t>
            </w:r>
          </w:p>
        </w:tc>
        <w:tc>
          <w:tcPr>
            <w:tcW w:type="dxa" w:w="1662"/>
          </w:tcPr>
          <w:p>
            <w:pPr>
              <w:spacing w:after="0"/>
            </w:pPr>
            <w:r/>
            <w:r>
              <w:rPr>
                <w:sz w:val="15"/>
              </w:rPr>
              <w:t>844</w:t>
            </w:r>
          </w:p>
        </w:tc>
        <w:tc>
          <w:tcPr>
            <w:tcW w:type="dxa" w:w="1662"/>
          </w:tcPr>
          <w:p>
            <w:pPr>
              <w:spacing w:after="0"/>
            </w:pPr>
            <w:r/>
            <w:r>
              <w:rPr>
                <w:sz w:val="15"/>
              </w:rPr>
              <w:t>60.1% (55.9–64.2)</w:t>
            </w:r>
          </w:p>
        </w:tc>
        <w:tc>
          <w:tcPr>
            <w:tcW w:type="dxa" w:w="1662"/>
          </w:tcPr>
          <w:p>
            <w:pPr>
              <w:spacing w:after="0"/>
            </w:pPr>
            <w:r/>
            <w:r>
              <w:rPr>
                <w:sz w:val="15"/>
              </w:rPr>
              <w:t>75.5%</w:t>
            </w:r>
          </w:p>
        </w:tc>
        <w:tc>
          <w:tcPr>
            <w:tcW w:type="dxa" w:w="1662"/>
          </w:tcPr>
          <w:p>
            <w:pPr>
              <w:spacing w:after="0"/>
            </w:pPr>
            <w:r/>
            <w:r>
              <w:rPr>
                <w:sz w:val="15"/>
              </w:rPr>
              <w:t>21.8%</w:t>
            </w:r>
          </w:p>
        </w:tc>
      </w:tr>
      <w:tr>
        <w:tc>
          <w:tcPr>
            <w:tcW w:type="dxa" w:w="1662"/>
          </w:tcPr>
          <w:p>
            <w:pPr>
              <w:spacing w:after="0"/>
            </w:pPr>
            <w:r/>
            <w:r>
              <w:rPr>
                <w:sz w:val="15"/>
              </w:rPr>
              <w:t>45–64</w:t>
            </w:r>
          </w:p>
        </w:tc>
        <w:tc>
          <w:tcPr>
            <w:tcW w:type="dxa" w:w="1662"/>
          </w:tcPr>
          <w:p>
            <w:pPr>
              <w:spacing w:after="0"/>
            </w:pPr>
            <w:r/>
            <w:r>
              <w:rPr>
                <w:sz w:val="15"/>
              </w:rPr>
              <w:t>695</w:t>
            </w:r>
          </w:p>
        </w:tc>
        <w:tc>
          <w:tcPr>
            <w:tcW w:type="dxa" w:w="1662"/>
          </w:tcPr>
          <w:p>
            <w:pPr>
              <w:spacing w:after="0"/>
            </w:pPr>
            <w:r/>
            <w:r>
              <w:rPr>
                <w:sz w:val="15"/>
              </w:rPr>
              <w:t>708</w:t>
            </w:r>
          </w:p>
        </w:tc>
        <w:tc>
          <w:tcPr>
            <w:tcW w:type="dxa" w:w="1662"/>
          </w:tcPr>
          <w:p>
            <w:pPr>
              <w:spacing w:after="0"/>
            </w:pPr>
            <w:r/>
            <w:r>
              <w:rPr>
                <w:sz w:val="15"/>
              </w:rPr>
              <w:t>58.1% (54.0–62.6)</w:t>
            </w:r>
          </w:p>
        </w:tc>
        <w:tc>
          <w:tcPr>
            <w:tcW w:type="dxa" w:w="1662"/>
          </w:tcPr>
          <w:p>
            <w:pPr>
              <w:spacing w:after="0"/>
            </w:pPr>
            <w:r/>
            <w:r>
              <w:rPr>
                <w:sz w:val="15"/>
              </w:rPr>
              <w:t>70.6%</w:t>
            </w:r>
          </w:p>
        </w:tc>
        <w:tc>
          <w:tcPr>
            <w:tcW w:type="dxa" w:w="1662"/>
          </w:tcPr>
          <w:p>
            <w:pPr>
              <w:spacing w:after="0"/>
            </w:pPr>
            <w:r/>
            <w:r>
              <w:rPr>
                <w:sz w:val="15"/>
              </w:rPr>
              <w:t>22.5%</w:t>
            </w:r>
          </w:p>
        </w:tc>
      </w:tr>
      <w:tr>
        <w:tc>
          <w:tcPr>
            <w:tcW w:type="dxa" w:w="1662"/>
          </w:tcPr>
          <w:p>
            <w:pPr>
              <w:spacing w:after="0"/>
            </w:pPr>
            <w:r/>
            <w:r>
              <w:rPr>
                <w:sz w:val="15"/>
              </w:rPr>
              <w:t>≥80</w:t>
            </w:r>
          </w:p>
        </w:tc>
        <w:tc>
          <w:tcPr>
            <w:tcW w:type="dxa" w:w="1662"/>
          </w:tcPr>
          <w:p>
            <w:pPr>
              <w:spacing w:after="0"/>
            </w:pPr>
            <w:r/>
            <w:r>
              <w:rPr>
                <w:sz w:val="15"/>
              </w:rPr>
              <w:t>426</w:t>
            </w:r>
          </w:p>
        </w:tc>
        <w:tc>
          <w:tcPr>
            <w:tcW w:type="dxa" w:w="1662"/>
          </w:tcPr>
          <w:p>
            <w:pPr>
              <w:spacing w:after="0"/>
            </w:pPr>
            <w:r/>
            <w:r>
              <w:rPr>
                <w:sz w:val="15"/>
              </w:rPr>
              <w:t>476</w:t>
            </w:r>
          </w:p>
        </w:tc>
        <w:tc>
          <w:tcPr>
            <w:tcW w:type="dxa" w:w="1662"/>
          </w:tcPr>
          <w:p>
            <w:pPr>
              <w:spacing w:after="0"/>
            </w:pPr>
            <w:r/>
            <w:r>
              <w:rPr>
                <w:sz w:val="15"/>
              </w:rPr>
              <w:t>63.9% (58.7–68.5)</w:t>
            </w:r>
          </w:p>
        </w:tc>
        <w:tc>
          <w:tcPr>
            <w:tcW w:type="dxa" w:w="1662"/>
          </w:tcPr>
          <w:p>
            <w:pPr>
              <w:spacing w:after="0"/>
            </w:pPr>
            <w:r/>
            <w:r>
              <w:rPr>
                <w:sz w:val="15"/>
              </w:rPr>
              <w:t>75.8%</w:t>
            </w:r>
          </w:p>
        </w:tc>
        <w:tc>
          <w:tcPr>
            <w:tcW w:type="dxa" w:w="1662"/>
          </w:tcPr>
          <w:p>
            <w:pPr>
              <w:spacing w:after="0"/>
            </w:pPr>
            <w:r/>
            <w:r>
              <w:rPr>
                <w:sz w:val="15"/>
              </w:rPr>
              <w:t>22.5%</w:t>
            </w:r>
          </w:p>
        </w:tc>
      </w:tr>
      <w:tr>
        <w:tc>
          <w:tcPr>
            <w:tcW w:type="dxa" w:w="1662"/>
          </w:tcPr>
          <w:p>
            <w:pPr>
              <w:spacing w:after="0"/>
            </w:pPr>
            <w:r/>
            <w:r>
              <w:rPr>
                <w:sz w:val="15"/>
              </w:rPr>
              <w:t>&lt;45</w:t>
            </w:r>
          </w:p>
        </w:tc>
        <w:tc>
          <w:tcPr>
            <w:tcW w:type="dxa" w:w="1662"/>
          </w:tcPr>
          <w:p>
            <w:pPr>
              <w:spacing w:after="0"/>
            </w:pPr>
            <w:r/>
            <w:r>
              <w:rPr>
                <w:sz w:val="15"/>
              </w:rPr>
              <w:t>373</w:t>
            </w:r>
          </w:p>
        </w:tc>
        <w:tc>
          <w:tcPr>
            <w:tcW w:type="dxa" w:w="1662"/>
          </w:tcPr>
          <w:p>
            <w:pPr>
              <w:spacing w:after="0"/>
            </w:pPr>
            <w:r/>
            <w:r>
              <w:rPr>
                <w:sz w:val="15"/>
              </w:rPr>
              <w:t>404</w:t>
            </w:r>
          </w:p>
        </w:tc>
        <w:tc>
          <w:tcPr>
            <w:tcW w:type="dxa" w:w="1662"/>
          </w:tcPr>
          <w:p>
            <w:pPr>
              <w:spacing w:after="0"/>
            </w:pPr>
            <w:r/>
            <w:r>
              <w:rPr>
                <w:sz w:val="15"/>
              </w:rPr>
              <w:t>63.6% (58.7–68.6)</w:t>
            </w:r>
          </w:p>
        </w:tc>
        <w:tc>
          <w:tcPr>
            <w:tcW w:type="dxa" w:w="1662"/>
          </w:tcPr>
          <w:p>
            <w:pPr>
              <w:spacing w:after="0"/>
            </w:pPr>
            <w:r/>
            <w:r>
              <w:rPr>
                <w:sz w:val="15"/>
              </w:rPr>
              <w:t>75.0%</w:t>
            </w:r>
          </w:p>
        </w:tc>
        <w:tc>
          <w:tcPr>
            <w:tcW w:type="dxa" w:w="1662"/>
          </w:tcPr>
          <w:p>
            <w:pPr>
              <w:spacing w:after="0"/>
            </w:pPr>
            <w:r/>
            <w:r>
              <w:rPr>
                <w:sz w:val="15"/>
              </w:rPr>
              <w:t>28.8%</w:t>
            </w:r>
          </w:p>
        </w:tc>
      </w:tr>
      <w:tr>
        <w:tc>
          <w:tcPr>
            <w:tcW w:type="dxa" w:w="1662"/>
          </w:tcPr>
          <w:p>
            <w:pPr>
              <w:spacing w:after="0"/>
            </w:pPr>
            <w:r/>
            <w:r>
              <w:rPr>
                <w:sz w:val="15"/>
              </w:rPr>
              <w:t>Caucasian</w:t>
            </w:r>
          </w:p>
        </w:tc>
        <w:tc>
          <w:tcPr>
            <w:tcW w:type="dxa" w:w="1662"/>
          </w:tcPr>
          <w:p>
            <w:pPr>
              <w:spacing w:after="0"/>
            </w:pPr>
            <w:r/>
            <w:r>
              <w:rPr>
                <w:sz w:val="15"/>
              </w:rPr>
              <w:t>1839</w:t>
            </w:r>
          </w:p>
        </w:tc>
        <w:tc>
          <w:tcPr>
            <w:tcW w:type="dxa" w:w="1662"/>
          </w:tcPr>
          <w:p>
            <w:pPr>
              <w:spacing w:after="0"/>
            </w:pPr>
            <w:r/>
            <w:r>
              <w:rPr>
                <w:sz w:val="15"/>
              </w:rPr>
              <w:t>1827</w:t>
            </w:r>
          </w:p>
        </w:tc>
        <w:tc>
          <w:tcPr>
            <w:tcW w:type="dxa" w:w="1662"/>
          </w:tcPr>
          <w:p>
            <w:pPr>
              <w:spacing w:after="0"/>
            </w:pPr>
            <w:r/>
            <w:r>
              <w:rPr>
                <w:sz w:val="15"/>
              </w:rPr>
              <w:t>60.9% (58.1–63.4)</w:t>
            </w:r>
          </w:p>
        </w:tc>
        <w:tc>
          <w:tcPr>
            <w:tcW w:type="dxa" w:w="1662"/>
          </w:tcPr>
          <w:p>
            <w:pPr>
              <w:spacing w:after="0"/>
            </w:pPr>
            <w:r/>
            <w:r>
              <w:rPr>
                <w:sz w:val="15"/>
              </w:rPr>
              <w:t>73.2%</w:t>
            </w:r>
          </w:p>
        </w:tc>
        <w:tc>
          <w:tcPr>
            <w:tcW w:type="dxa" w:w="1662"/>
          </w:tcPr>
          <w:p>
            <w:pPr>
              <w:spacing w:after="0"/>
            </w:pPr>
            <w:r/>
            <w:r>
              <w:rPr>
                <w:sz w:val="15"/>
              </w:rPr>
              <w:t>22.8%</w:t>
            </w:r>
          </w:p>
        </w:tc>
      </w:tr>
      <w:tr>
        <w:tc>
          <w:tcPr>
            <w:tcW w:type="dxa" w:w="1662"/>
          </w:tcPr>
          <w:p>
            <w:pPr>
              <w:spacing w:after="0"/>
            </w:pPr>
            <w:r/>
            <w:r>
              <w:rPr>
                <w:sz w:val="15"/>
              </w:rPr>
              <w:t>African American</w:t>
            </w:r>
          </w:p>
        </w:tc>
        <w:tc>
          <w:tcPr>
            <w:tcW w:type="dxa" w:w="1662"/>
          </w:tcPr>
          <w:p>
            <w:pPr>
              <w:spacing w:after="0"/>
            </w:pPr>
            <w:r/>
            <w:r>
              <w:rPr>
                <w:sz w:val="15"/>
              </w:rPr>
              <w:t>220</w:t>
            </w:r>
          </w:p>
        </w:tc>
        <w:tc>
          <w:tcPr>
            <w:tcW w:type="dxa" w:w="1662"/>
          </w:tcPr>
          <w:p>
            <w:pPr>
              <w:spacing w:after="0"/>
            </w:pPr>
            <w:r/>
            <w:r>
              <w:rPr>
                <w:sz w:val="15"/>
              </w:rPr>
              <w:t>201</w:t>
            </w:r>
          </w:p>
        </w:tc>
        <w:tc>
          <w:tcPr>
            <w:tcW w:type="dxa" w:w="1662"/>
          </w:tcPr>
          <w:p>
            <w:pPr>
              <w:spacing w:after="0"/>
            </w:pPr>
            <w:r/>
            <w:r>
              <w:rPr>
                <w:sz w:val="15"/>
              </w:rPr>
              <w:t>60.2% (50.8–68.4)</w:t>
            </w:r>
          </w:p>
        </w:tc>
        <w:tc>
          <w:tcPr>
            <w:tcW w:type="dxa" w:w="1662"/>
          </w:tcPr>
          <w:p>
            <w:pPr>
              <w:spacing w:after="0"/>
            </w:pPr>
            <w:r/>
            <w:r>
              <w:rPr>
                <w:sz w:val="15"/>
              </w:rPr>
              <w:t>75.6%</w:t>
            </w:r>
          </w:p>
        </w:tc>
        <w:tc>
          <w:tcPr>
            <w:tcW w:type="dxa" w:w="1662"/>
          </w:tcPr>
          <w:p>
            <w:pPr>
              <w:spacing w:after="0"/>
            </w:pPr>
            <w:r/>
            <w:r>
              <w:rPr>
                <w:sz w:val="15"/>
              </w:rPr>
              <w:t>18.6%</w:t>
            </w:r>
          </w:p>
        </w:tc>
      </w:tr>
      <w:tr>
        <w:tc>
          <w:tcPr>
            <w:tcW w:type="dxa" w:w="1662"/>
          </w:tcPr>
          <w:p>
            <w:pPr>
              <w:spacing w:after="0"/>
            </w:pPr>
            <w:r/>
            <w:r>
              <w:rPr>
                <w:sz w:val="15"/>
              </w:rPr>
              <w:t>Hispanic</w:t>
            </w:r>
          </w:p>
        </w:tc>
        <w:tc>
          <w:tcPr>
            <w:tcW w:type="dxa" w:w="1662"/>
          </w:tcPr>
          <w:p>
            <w:pPr>
              <w:spacing w:after="0"/>
            </w:pPr>
            <w:r/>
            <w:r>
              <w:rPr>
                <w:sz w:val="15"/>
              </w:rPr>
              <w:t>111</w:t>
            </w:r>
          </w:p>
        </w:tc>
        <w:tc>
          <w:tcPr>
            <w:tcW w:type="dxa" w:w="1662"/>
          </w:tcPr>
          <w:p>
            <w:pPr>
              <w:spacing w:after="0"/>
            </w:pPr>
            <w:r/>
            <w:r>
              <w:rPr>
                <w:sz w:val="15"/>
              </w:rPr>
              <w:t>216</w:t>
            </w:r>
          </w:p>
        </w:tc>
        <w:tc>
          <w:tcPr>
            <w:tcW w:type="dxa" w:w="1662"/>
          </w:tcPr>
          <w:p>
            <w:pPr>
              <w:spacing w:after="0"/>
            </w:pPr>
            <w:r/>
            <w:r>
              <w:rPr>
                <w:sz w:val="15"/>
              </w:rPr>
              <w:t>59.3% (51.5–67.2)</w:t>
            </w:r>
          </w:p>
        </w:tc>
        <w:tc>
          <w:tcPr>
            <w:tcW w:type="dxa" w:w="1662"/>
          </w:tcPr>
          <w:p>
            <w:pPr>
              <w:spacing w:after="0"/>
            </w:pPr>
            <w:r/>
            <w:r>
              <w:rPr>
                <w:sz w:val="15"/>
              </w:rPr>
              <w:t>79.2%</w:t>
            </w:r>
          </w:p>
        </w:tc>
        <w:tc>
          <w:tcPr>
            <w:tcW w:type="dxa" w:w="1662"/>
          </w:tcPr>
          <w:p>
            <w:pPr>
              <w:spacing w:after="0"/>
            </w:pPr>
            <w:r/>
            <w:r>
              <w:rPr>
                <w:sz w:val="15"/>
              </w:rPr>
              <w:t>31.4%</w:t>
            </w:r>
          </w:p>
        </w:tc>
      </w:tr>
      <w:tr>
        <w:tc>
          <w:tcPr>
            <w:tcW w:type="dxa" w:w="1662"/>
          </w:tcPr>
          <w:p>
            <w:pPr>
              <w:spacing w:after="0"/>
            </w:pPr>
            <w:r/>
            <w:r>
              <w:rPr>
                <w:sz w:val="15"/>
              </w:rPr>
              <w:t>Other/Unknown</w:t>
            </w:r>
          </w:p>
        </w:tc>
        <w:tc>
          <w:tcPr>
            <w:tcW w:type="dxa" w:w="1662"/>
          </w:tcPr>
          <w:p>
            <w:pPr>
              <w:spacing w:after="0"/>
            </w:pPr>
            <w:r/>
            <w:r>
              <w:rPr>
                <w:sz w:val="15"/>
              </w:rPr>
              <w:t>74</w:t>
            </w:r>
          </w:p>
        </w:tc>
        <w:tc>
          <w:tcPr>
            <w:tcW w:type="dxa" w:w="1662"/>
          </w:tcPr>
          <w:p>
            <w:pPr>
              <w:spacing w:after="0"/>
            </w:pPr>
            <w:r/>
            <w:r>
              <w:rPr>
                <w:sz w:val="15"/>
              </w:rPr>
              <w:t>96</w:t>
            </w:r>
          </w:p>
        </w:tc>
        <w:tc>
          <w:tcPr>
            <w:tcW w:type="dxa" w:w="1662"/>
          </w:tcPr>
          <w:p>
            <w:pPr>
              <w:spacing w:after="0"/>
            </w:pPr>
            <w:r/>
            <w:r>
              <w:rPr>
                <w:sz w:val="15"/>
              </w:rPr>
              <w:t>58.3% (45.1–69.9)</w:t>
            </w:r>
          </w:p>
        </w:tc>
        <w:tc>
          <w:tcPr>
            <w:tcW w:type="dxa" w:w="1662"/>
          </w:tcPr>
          <w:p>
            <w:pPr>
              <w:spacing w:after="0"/>
            </w:pPr>
            <w:r/>
            <w:r>
              <w:rPr>
                <w:sz w:val="15"/>
              </w:rPr>
              <w:t>71.9%</w:t>
            </w:r>
          </w:p>
        </w:tc>
        <w:tc>
          <w:tcPr>
            <w:tcW w:type="dxa" w:w="1662"/>
          </w:tcPr>
          <w:p>
            <w:pPr>
              <w:spacing w:after="0"/>
            </w:pPr>
            <w:r/>
            <w:r>
              <w:rPr>
                <w:sz w:val="15"/>
              </w:rPr>
              <w:t>24.5%</w:t>
            </w:r>
          </w:p>
        </w:tc>
      </w:tr>
      <w:tr>
        <w:tc>
          <w:tcPr>
            <w:tcW w:type="dxa" w:w="1662"/>
          </w:tcPr>
          <w:p>
            <w:pPr>
              <w:spacing w:after="0"/>
            </w:pPr>
            <w:r/>
            <w:r>
              <w:rPr>
                <w:sz w:val="15"/>
              </w:rPr>
              <w:t>Unknown</w:t>
            </w:r>
          </w:p>
        </w:tc>
        <w:tc>
          <w:tcPr>
            <w:tcW w:type="dxa" w:w="1662"/>
          </w:tcPr>
          <w:p>
            <w:pPr>
              <w:spacing w:after="0"/>
            </w:pPr>
            <w:r/>
            <w:r>
              <w:rPr>
                <w:sz w:val="15"/>
              </w:rPr>
              <w:t>30</w:t>
            </w:r>
          </w:p>
        </w:tc>
        <w:tc>
          <w:tcPr>
            <w:tcW w:type="dxa" w:w="1662"/>
          </w:tcPr>
          <w:p>
            <w:pPr>
              <w:spacing w:after="0"/>
            </w:pPr>
            <w:r/>
            <w:r>
              <w:rPr>
                <w:sz w:val="15"/>
              </w:rPr>
              <w:t>31</w:t>
            </w:r>
          </w:p>
        </w:tc>
        <w:tc>
          <w:tcPr>
            <w:tcW w:type="dxa" w:w="1662"/>
          </w:tcPr>
          <w:p>
            <w:pPr>
              <w:spacing w:after="0"/>
            </w:pPr>
            <w:r/>
            <w:r>
              <w:rPr>
                <w:sz w:val="15"/>
              </w:rPr>
              <w:t>74.2% (54.8–89.8)</w:t>
            </w:r>
          </w:p>
        </w:tc>
        <w:tc>
          <w:tcPr>
            <w:tcW w:type="dxa" w:w="1662"/>
          </w:tcPr>
          <w:p>
            <w:pPr>
              <w:spacing w:after="0"/>
            </w:pPr>
            <w:r/>
            <w:r>
              <w:rPr>
                <w:sz w:val="15"/>
              </w:rPr>
              <w:t>80.6%</w:t>
            </w:r>
          </w:p>
        </w:tc>
        <w:tc>
          <w:tcPr>
            <w:tcW w:type="dxa" w:w="1662"/>
          </w:tcPr>
          <w:p>
            <w:pPr>
              <w:spacing w:after="0"/>
            </w:pPr>
            <w:r/>
            <w:r>
              <w:rPr>
                <w:sz w:val="15"/>
              </w:rPr>
              <w:t>29.5%</w:t>
            </w:r>
          </w:p>
        </w:tc>
      </w:tr>
      <w:tr>
        <w:tc>
          <w:tcPr>
            <w:tcW w:type="dxa" w:w="1662"/>
          </w:tcPr>
          <w:p>
            <w:pPr>
              <w:spacing w:after="0"/>
            </w:pPr>
            <w:r/>
            <w:r>
              <w:rPr>
                <w:sz w:val="15"/>
              </w:rPr>
              <w:t>Asian</w:t>
            </w:r>
          </w:p>
        </w:tc>
        <w:tc>
          <w:tcPr>
            <w:tcW w:type="dxa" w:w="1662"/>
          </w:tcPr>
          <w:p>
            <w:pPr>
              <w:spacing w:after="0"/>
            </w:pPr>
            <w:r/>
            <w:r>
              <w:rPr>
                <w:sz w:val="15"/>
              </w:rPr>
              <w:t>28</w:t>
            </w:r>
          </w:p>
        </w:tc>
        <w:tc>
          <w:tcPr>
            <w:tcW w:type="dxa" w:w="1662"/>
          </w:tcPr>
          <w:p>
            <w:pPr>
              <w:spacing w:after="0"/>
            </w:pPr>
            <w:r/>
            <w:r>
              <w:rPr>
                <w:sz w:val="15"/>
              </w:rPr>
              <w:t>34</w:t>
            </w:r>
          </w:p>
        </w:tc>
        <w:tc>
          <w:tcPr>
            <w:tcW w:type="dxa" w:w="1662"/>
          </w:tcPr>
          <w:p>
            <w:pPr>
              <w:spacing w:after="0"/>
            </w:pPr>
            <w:r/>
            <w:r>
              <w:rPr>
                <w:sz w:val="15"/>
              </w:rPr>
              <w:t>64.7% (45.8–84.6)</w:t>
            </w:r>
          </w:p>
        </w:tc>
        <w:tc>
          <w:tcPr>
            <w:tcW w:type="dxa" w:w="1662"/>
          </w:tcPr>
          <w:p>
            <w:pPr>
              <w:spacing w:after="0"/>
            </w:pPr>
            <w:r/>
            <w:r>
              <w:rPr>
                <w:sz w:val="15"/>
              </w:rPr>
              <w:t>76.5%</w:t>
            </w:r>
          </w:p>
        </w:tc>
        <w:tc>
          <w:tcPr>
            <w:tcW w:type="dxa" w:w="1662"/>
          </w:tcPr>
          <w:p>
            <w:pPr>
              <w:spacing w:after="0"/>
            </w:pPr>
            <w:r/>
            <w:r>
              <w:rPr>
                <w:sz w:val="15"/>
              </w:rPr>
              <w:t>21.9%</w:t>
            </w:r>
          </w:p>
        </w:tc>
      </w:tr>
      <w:tr>
        <w:tc>
          <w:tcPr>
            <w:tcW w:type="dxa" w:w="1662"/>
          </w:tcPr>
          <w:p>
            <w:pPr>
              <w:spacing w:after="0"/>
            </w:pPr>
            <w:r/>
            <w:r>
              <w:rPr>
                <w:sz w:val="15"/>
              </w:rPr>
              <w:t>Native American</w:t>
            </w:r>
          </w:p>
        </w:tc>
        <w:tc>
          <w:tcPr>
            <w:tcW w:type="dxa" w:w="1662"/>
          </w:tcPr>
          <w:p>
            <w:pPr>
              <w:spacing w:after="0"/>
            </w:pPr>
            <w:r/>
            <w:r>
              <w:rPr>
                <w:sz w:val="15"/>
              </w:rPr>
              <w:t>12</w:t>
            </w:r>
          </w:p>
        </w:tc>
        <w:tc>
          <w:tcPr>
            <w:tcW w:type="dxa" w:w="1662"/>
          </w:tcPr>
          <w:p>
            <w:pPr>
              <w:spacing w:after="0"/>
            </w:pPr>
            <w:r/>
            <w:r>
              <w:rPr>
                <w:sz w:val="15"/>
              </w:rPr>
              <w:t>27</w:t>
            </w:r>
          </w:p>
        </w:tc>
        <w:tc>
          <w:tcPr>
            <w:tcW w:type="dxa" w:w="1662"/>
          </w:tcPr>
          <w:p>
            <w:pPr>
              <w:spacing w:after="0"/>
            </w:pPr>
            <w:r/>
            <w:r>
              <w:rPr>
                <w:sz w:val="15"/>
              </w:rPr>
              <w:t>63.0% (nan–nan)</w:t>
            </w:r>
          </w:p>
        </w:tc>
        <w:tc>
          <w:tcPr>
            <w:tcW w:type="dxa" w:w="1662"/>
          </w:tcPr>
          <w:p>
            <w:pPr>
              <w:spacing w:after="0"/>
            </w:pPr>
            <w:r/>
            <w:r>
              <w:rPr>
                <w:sz w:val="15"/>
              </w:rPr>
              <w:t>77.8%</w:t>
            </w:r>
          </w:p>
        </w:tc>
        <w:tc>
          <w:tcPr>
            <w:tcW w:type="dxa" w:w="1662"/>
          </w:tcPr>
          <w:p>
            <w:pPr>
              <w:spacing w:after="0"/>
            </w:pPr>
            <w:r/>
            <w:r>
              <w:rPr>
                <w:sz w:val="15"/>
              </w:rPr>
              <w:t>53.3%</w:t>
            </w:r>
          </w:p>
        </w:tc>
      </w:tr>
    </w:tbl>
    <w:p/>
    <w:p>
      <w:r>
        <w:t xml:space="preserve">An adult is counted as healthy only if </w:t>
      </w:r>
      <w:r>
        <w:rPr>
          <w:b/>
        </w:rPr>
        <w:t>all</w:t>
      </w:r>
      <w:r>
        <w:t xml:space="preserve"> of the following hold (sex-specific where shown, women/men): HbA1c &lt; 5.7 %; fasting glucose &lt; 100 mg/dL (when fasting sample available) and random glucose &lt; 140 mg/dL; eGFR (CKD-EPI 2021) ≥ 90 mL/min/1.73 m²; urine ACR &lt; 30 mg/g; haemoglobin ≥ 12/13 g/dL; MCV 80–100 fL; ferritin ≥ 30 µg/L (neutral if not collected in the cycle); total cholesterol &lt; 200 mg/dL; fasting triglycerides &lt; 150 and random triglycerides &lt; 200 mg/dL; urate ≤ 6/7 mg/dL; ALT ≤ 25/33 U/L; sodium 135–145, potassium 3.5–5.1, chloride 98–107 mmol/L; calcium 8.6–10.3, phosphate 2.5–4.5 mg/dL; platelets 150–450 ×10⁹/L; WBC 4–11 ×10⁹/L; neutrophils 40–75 %, lymphocytes 20–45 %; CK ≤ 200/300 U/L; total bilirubin ≤ 1.2 mg/dL; ALP ≤ 130 U/L; GGT ≤ 60 U/L; albumin ≥ 3.5 g/dL; transferrin saturation 15–50 % (neutral if not collected). It is therefore a 30-analyte guideline-normal filter, not a requirement that all 2,045 registry analytes be normal. The filter was tightened once (2026-10-21, before the quarantine cycles were opened) because the first version let prediabetes by fasting glucose, mild hyperphosphataemia and microcytosis through and counted the engine's correct findings as false assertions. ### N5.2 Critical-value thresholds (</w:t>
      </w:r>
      <w:r>
        <w:rPr>
          <w:rFonts w:ascii="Consolas" w:hAnsi="Consolas"/>
        </w:rPr>
        <w:t>eval/baselines/b7_critical_values.py</w:t>
      </w:r>
      <w:r>
        <w:t>; CAP/Kost 1990/Tietz consensus, conventional units)</w:t>
      </w:r>
    </w:p>
    <w:p>
      <w:r>
        <w:t>K ≥ 6.5 or ≤ 2.5 mmol/L; Na ≤ 120 or ≥ 160 mmol/L; glucose ≤ 40 or ≥ 500 mg/dL; total Ca ≥ 13.5 or ≤ 6.0 mg/dL; Hb ≤ 6.5 g/dL; platelets ≤ 20 ×10⁹/L; WBC ≤ 1.0 or ≥ 50 ×10⁹/L; INR ≥ 5; arterial pH ≤ 7.10 or ≥ 7.60; bicarbonate ≤ 8 mmol/L; lactate ≥ 8 mmol/L; creatinine ≥ 7.5 mg/dL (no dialysis information available). Sample: 25 stays with ≥ 1 critical value plus 25 without, drawn with a fixed seed from the 400-stay LLM subset; 39 critical values in total. Both arms flagged 39/39. ### N5.3 Race and ethnicity audit of the knowledge base (2026-10-26)</w:t>
      </w:r>
    </w:p>
    <w:p>
      <w:r>
        <w:t xml:space="preserve">Full-text search of the decompressed disease-guideline registry 14.1.0: 'race' 0, 'ethnic' 0, 'African' 0, 'Black' 0, 'Caucasian' 0, 'Hispanic' 0; 'white' 496 occurrences, all within 'white blood cell(s)'; 'Asian' 1 occurrence, inside a free-text source note on WHO BMI action thresholds that is not an executable condition. eGFR is CKD-EPI 2021 (race-free). The engine's context dataclass has an optional </w:t>
      </w:r>
      <w:r>
        <w:rPr>
          <w:rFonts w:ascii="Consolas" w:hAnsi="Consolas"/>
        </w:rPr>
        <w:t>ethnicity</w:t>
      </w:r>
      <w:r>
        <w:t xml:space="preserve"> field (an alias for the input key </w:t>
      </w:r>
      <w:r>
        <w:rPr>
          <w:rFonts w:ascii="Consolas" w:hAnsi="Consolas"/>
        </w:rPr>
        <w:t>race</w:t>
      </w:r>
      <w:r>
        <w:t xml:space="preserve">); a search of </w:t>
      </w:r>
      <w:r>
        <w:rPr>
          <w:rFonts w:ascii="Consolas" w:hAnsi="Consolas"/>
        </w:rPr>
        <w:t>analyse_gidlines.py</w:t>
      </w:r>
      <w:r>
        <w:t xml:space="preserve"> finds no read of that field by any rule, layer or fusion step. ### N5.4 Hardware and software for all timings</w:t>
      </w:r>
    </w:p>
    <w:p>
      <w:r>
        <w:t>2 vCPU Intel Xeon @ 2.60 GHz, 1.98 GB RAM, Linux 6.1, Python 3.13 (sandbox); engine single-process, no GPU, no network. ### N5.5 Novelty search for open laboratory-interpretation rule sets (2026-10-24)</w:t>
      </w:r>
    </w:p>
    <w:p>
      <w:r>
        <w:t>Searched: AHRQ CDS Connect (repository and authoring tool offline since 28 April 2025; continuing as HL7 'CDS Connect Community Edition'), ECRI Guidelines Trust ('temporarily unavailable' since 2024), NICE (content outside the UK is personal-use only; product use requires written permission and a fee), WHO SMART Guidelines digital adaptation kits (ANC, family planning, HIV, TB, child health, immunisation, BP self-monitoring — no laboratory-interpretation kit), OpenCDS, Arden-syntax MLM collections and PubMed/Google Scholar ('open' AND 'rule base' AND 'laboratory interpretation'). No openly licensed, machine-executable rule set covering multi-analyte laboratory interpretation was found; the claim in the Discussion is bounded to this search and dated. ### N5.6 LLM arm — model identity</w:t>
      </w:r>
    </w:p>
    <w:p>
      <w:r>
        <w:t>The LLM arm was run through the Arena.ai agent platform, which routes requests among several frontier model families (GPT, Claude, Gemini and others) and does not expose the model or version used for a given response. 'unnamed frontier (capability-tier "GPT-4-class")' is therefore a capability-tier label, not a verified identity. Consequences: (i) the LLM arm cannot be reproduced against a named model version; (ii) the test–retest reads (κ = 0.69) may have been served by different models; (iii) the comparison should be read as 'a contemporary frontier assistant as a clinician would encounter it', not as a benchmark of a specific model. Prompts, raw outputs and scoring code are released so that the arm can be re-run against any named model. ### N5.7 Reporting checklist</w:t>
      </w:r>
    </w:p>
    <w:p>
      <w:r>
        <w:t>TRIPOD+AI was adapted (the engine is not a prediction model fitted to data; items on model development/training are answered 'not applicable' with justification), and the DECIDE-AI early-stage clinical-evaluation items were consulted for the Limitations. The completed checklist follows. ### TRIPOD+AI (BMJ 2024;385:e078378) checklist — Hemoglyph Paper 1 (updated 2026-10-24, engine v5.3 / registry 13.3.0) Status key: ✅ available now · 🟡 partly / needs the pending work · ❌ not yet.</w:t>
      </w:r>
    </w:p>
    <w:p>
      <w:r>
        <w:t>(Hemoglyph is a knowledge-based, untrained system; items on "training data" are answered as</w:t>
      </w:r>
    </w:p>
    <w:p>
      <w:r>
        <w:t>"not applicable — knowledge base construction described instead", which TRIPOD+AI permits.) | # | Item | Status | Where / what is needed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sz w:val="15"/>
              </w:rPr>
              <w:t>1</w:t>
            </w:r>
          </w:p>
        </w:tc>
        <w:tc>
          <w:tcPr>
            <w:tcW w:type="dxa" w:w="2493"/>
          </w:tcPr>
          <w:p>
            <w:pPr>
              <w:spacing w:after="0"/>
            </w:pPr>
            <w:r/>
            <w:r>
              <w:rPr>
                <w:sz w:val="15"/>
              </w:rPr>
              <w:t>Title identifies study as development/evaluation of a prediction/diagnostic model with AI</w:t>
            </w:r>
          </w:p>
        </w:tc>
        <w:tc>
          <w:tcPr>
            <w:tcW w:type="dxa" w:w="2493"/>
          </w:tcPr>
          <w:p>
            <w:pPr>
              <w:spacing w:after="0"/>
            </w:pPr>
            <w:r/>
            <w:r>
              <w:rPr>
                <w:sz w:val="15"/>
              </w:rPr>
              <w:t>✅</w:t>
            </w:r>
          </w:p>
        </w:tc>
        <w:tc>
          <w:tcPr>
            <w:tcW w:type="dxa" w:w="2493"/>
          </w:tcPr>
          <w:p>
            <w:pPr>
              <w:spacing w:after="0"/>
            </w:pPr>
            <w:r/>
            <w:r>
              <w:rPr>
                <w:sz w:val="15"/>
              </w:rPr>
              <w:t>Paper 1 title: "...retrospective multi-cohort evaluation"</w:t>
            </w:r>
          </w:p>
        </w:tc>
      </w:tr>
      <w:tr>
        <w:tc>
          <w:tcPr>
            <w:tcW w:type="dxa" w:w="2493"/>
          </w:tcPr>
          <w:p>
            <w:pPr>
              <w:spacing w:after="0"/>
            </w:pPr>
            <w:r/>
            <w:r>
              <w:rPr>
                <w:sz w:val="15"/>
              </w:rPr>
              <w:t>2</w:t>
            </w:r>
          </w:p>
        </w:tc>
        <w:tc>
          <w:tcPr>
            <w:tcW w:type="dxa" w:w="2493"/>
          </w:tcPr>
          <w:p>
            <w:pPr>
              <w:spacing w:after="0"/>
            </w:pPr>
            <w:r/>
            <w:r>
              <w:rPr>
                <w:sz w:val="15"/>
              </w:rPr>
              <w:t>Abstract: TRIPOD+AI for Abstracts</w:t>
            </w:r>
          </w:p>
        </w:tc>
        <w:tc>
          <w:tcPr>
            <w:tcW w:type="dxa" w:w="2493"/>
          </w:tcPr>
          <w:p>
            <w:pPr>
              <w:spacing w:after="0"/>
            </w:pPr>
            <w:r/>
            <w:r>
              <w:rPr>
                <w:sz w:val="15"/>
              </w:rPr>
              <w:t>✅</w:t>
            </w:r>
          </w:p>
        </w:tc>
        <w:tc>
          <w:tcPr>
            <w:tcW w:type="dxa" w:w="2493"/>
          </w:tcPr>
          <w:p>
            <w:pPr>
              <w:spacing w:after="0"/>
            </w:pPr>
            <w:r/>
            <w:r>
              <w:rPr>
                <w:sz w:val="15"/>
              </w:rPr>
              <w:t>Paper 1 abstract (cohorts, n, recall@5 / AUROC with 95% CI, baselines)</w:t>
            </w:r>
          </w:p>
        </w:tc>
      </w:tr>
      <w:tr>
        <w:tc>
          <w:tcPr>
            <w:tcW w:type="dxa" w:w="2493"/>
          </w:tcPr>
          <w:p>
            <w:pPr>
              <w:spacing w:after="0"/>
            </w:pPr>
            <w:r/>
            <w:r>
              <w:rPr>
                <w:sz w:val="15"/>
              </w:rPr>
              <w:t>3a</w:t>
            </w:r>
          </w:p>
        </w:tc>
        <w:tc>
          <w:tcPr>
            <w:tcW w:type="dxa" w:w="2493"/>
          </w:tcPr>
          <w:p>
            <w:pPr>
              <w:spacing w:after="0"/>
            </w:pPr>
            <w:r/>
            <w:r>
              <w:rPr>
                <w:sz w:val="15"/>
              </w:rPr>
              <w:t>Background, rationale</w:t>
            </w:r>
          </w:p>
        </w:tc>
        <w:tc>
          <w:tcPr>
            <w:tcW w:type="dxa" w:w="2493"/>
          </w:tcPr>
          <w:p>
            <w:pPr>
              <w:spacing w:after="0"/>
            </w:pPr>
            <w:r/>
            <w:r>
              <w:rPr>
                <w:sz w:val="15"/>
              </w:rPr>
              <w:t>✅</w:t>
            </w:r>
          </w:p>
        </w:tc>
        <w:tc>
          <w:tcPr>
            <w:tcW w:type="dxa" w:w="2493"/>
          </w:tcPr>
          <w:p>
            <w:pPr>
              <w:spacing w:after="0"/>
            </w:pPr>
            <w:r/>
            <w:r>
              <w:rPr>
                <w:sz w:val="15"/>
              </w:rPr>
              <w:t>manuscript intro</w:t>
            </w:r>
          </w:p>
        </w:tc>
      </w:tr>
      <w:tr>
        <w:tc>
          <w:tcPr>
            <w:tcW w:type="dxa" w:w="2493"/>
          </w:tcPr>
          <w:p>
            <w:pPr>
              <w:spacing w:after="0"/>
            </w:pPr>
            <w:r/>
            <w:r>
              <w:rPr>
                <w:sz w:val="15"/>
              </w:rPr>
              <w:t>3b</w:t>
            </w:r>
          </w:p>
        </w:tc>
        <w:tc>
          <w:tcPr>
            <w:tcW w:type="dxa" w:w="2493"/>
          </w:tcPr>
          <w:p>
            <w:pPr>
              <w:spacing w:after="0"/>
            </w:pPr>
            <w:r/>
            <w:r>
              <w:rPr>
                <w:sz w:val="15"/>
              </w:rPr>
              <w:t>Target population, intended use, users</w:t>
            </w:r>
          </w:p>
        </w:tc>
        <w:tc>
          <w:tcPr>
            <w:tcW w:type="dxa" w:w="2493"/>
          </w:tcPr>
          <w:p>
            <w:pPr>
              <w:spacing w:after="0"/>
            </w:pPr>
            <w:r/>
            <w:r>
              <w:rPr>
                <w:sz w:val="15"/>
              </w:rPr>
              <w:t>✅</w:t>
            </w:r>
          </w:p>
        </w:tc>
        <w:tc>
          <w:tcPr>
            <w:tcW w:type="dxa" w:w="2493"/>
          </w:tcPr>
          <w:p>
            <w:pPr>
              <w:spacing w:after="0"/>
            </w:pPr>
            <w:r/>
            <w:r>
              <w:rPr>
                <w:sz w:val="15"/>
              </w:rPr>
              <w:t>laboratory physicians / clinicians; decision support, not autonomous</w:t>
            </w:r>
          </w:p>
        </w:tc>
      </w:tr>
      <w:tr>
        <w:tc>
          <w:tcPr>
            <w:tcW w:type="dxa" w:w="2493"/>
          </w:tcPr>
          <w:p>
            <w:pPr>
              <w:spacing w:after="0"/>
            </w:pPr>
            <w:r/>
            <w:r>
              <w:rPr>
                <w:sz w:val="15"/>
              </w:rPr>
              <w:t>4</w:t>
            </w:r>
          </w:p>
        </w:tc>
        <w:tc>
          <w:tcPr>
            <w:tcW w:type="dxa" w:w="2493"/>
          </w:tcPr>
          <w:p>
            <w:pPr>
              <w:spacing w:after="0"/>
            </w:pPr>
            <w:r/>
            <w:r>
              <w:rPr>
                <w:sz w:val="15"/>
              </w:rPr>
              <w:t>Objectives</w:t>
            </w:r>
          </w:p>
        </w:tc>
        <w:tc>
          <w:tcPr>
            <w:tcW w:type="dxa" w:w="2493"/>
          </w:tcPr>
          <w:p>
            <w:pPr>
              <w:spacing w:after="0"/>
            </w:pPr>
            <w:r/>
            <w:r>
              <w:rPr>
                <w:sz w:val="15"/>
              </w:rPr>
              <w:t>✅</w:t>
            </w:r>
          </w:p>
        </w:tc>
        <w:tc>
          <w:tcPr>
            <w:tcW w:type="dxa" w:w="2493"/>
          </w:tcPr>
          <w:p>
            <w:pPr>
              <w:spacing w:after="0"/>
            </w:pPr>
            <w:r/>
            <w:r>
              <w:rPr>
                <w:sz w:val="15"/>
              </w:rPr>
              <w:t>SAP §1</w:t>
            </w:r>
          </w:p>
        </w:tc>
      </w:tr>
      <w:tr>
        <w:tc>
          <w:tcPr>
            <w:tcW w:type="dxa" w:w="2493"/>
          </w:tcPr>
          <w:p>
            <w:pPr>
              <w:spacing w:after="0"/>
            </w:pPr>
            <w:r/>
            <w:r>
              <w:rPr>
                <w:sz w:val="15"/>
              </w:rPr>
              <w:t>5a</w:t>
            </w:r>
          </w:p>
        </w:tc>
        <w:tc>
          <w:tcPr>
            <w:tcW w:type="dxa" w:w="2493"/>
          </w:tcPr>
          <w:p>
            <w:pPr>
              <w:spacing w:after="0"/>
            </w:pPr>
            <w:r/>
            <w:r>
              <w:rPr>
                <w:sz w:val="15"/>
              </w:rPr>
              <w:t>Source of data, study design</w:t>
            </w:r>
          </w:p>
        </w:tc>
        <w:tc>
          <w:tcPr>
            <w:tcW w:type="dxa" w:w="2493"/>
          </w:tcPr>
          <w:p>
            <w:pPr>
              <w:spacing w:after="0"/>
            </w:pPr>
            <w:r/>
            <w:r>
              <w:rPr>
                <w:sz w:val="15"/>
              </w:rPr>
              <w:t>✅</w:t>
            </w:r>
          </w:p>
        </w:tc>
        <w:tc>
          <w:tcPr>
            <w:tcW w:type="dxa" w:w="2493"/>
          </w:tcPr>
          <w:p>
            <w:pPr>
              <w:spacing w:after="0"/>
            </w:pPr>
            <w:r/>
            <w:r>
              <w:rPr>
                <w:sz w:val="15"/>
              </w:rPr>
              <w:t>SAP §3 (6 public datasets)</w:t>
            </w:r>
          </w:p>
        </w:tc>
      </w:tr>
      <w:tr>
        <w:tc>
          <w:tcPr>
            <w:tcW w:type="dxa" w:w="2493"/>
          </w:tcPr>
          <w:p>
            <w:pPr>
              <w:spacing w:after="0"/>
            </w:pPr>
            <w:r/>
            <w:r>
              <w:rPr>
                <w:sz w:val="15"/>
              </w:rPr>
              <w:t>5b</w:t>
            </w:r>
          </w:p>
        </w:tc>
        <w:tc>
          <w:tcPr>
            <w:tcW w:type="dxa" w:w="2493"/>
          </w:tcPr>
          <w:p>
            <w:pPr>
              <w:spacing w:after="0"/>
            </w:pPr>
            <w:r/>
            <w:r>
              <w:rPr>
                <w:sz w:val="15"/>
              </w:rPr>
              <w:t>Setting, dates, eligibility</w:t>
            </w:r>
          </w:p>
        </w:tc>
        <w:tc>
          <w:tcPr>
            <w:tcW w:type="dxa" w:w="2493"/>
          </w:tcPr>
          <w:p>
            <w:pPr>
              <w:spacing w:after="0"/>
            </w:pPr>
            <w:r/>
            <w:r>
              <w:rPr>
                <w:sz w:val="15"/>
              </w:rPr>
              <w:t>✅</w:t>
            </w:r>
          </w:p>
        </w:tc>
        <w:tc>
          <w:tcPr>
            <w:tcW w:type="dxa" w:w="2493"/>
          </w:tcPr>
          <w:p>
            <w:pPr>
              <w:spacing w:after="0"/>
            </w:pPr>
            <w:r/>
            <w:r>
              <w:rPr>
                <w:sz w:val="15"/>
              </w:rPr>
              <w:t>Paper 1 Methods table (eICU-CRD demo 2014–15; NHANES 2005–2018 (7 cycles); PhysioNet/CinC 2019; UCI HCV/ILPD/thyroid; MIMIC-IV demo)</w:t>
            </w:r>
          </w:p>
        </w:tc>
      </w:tr>
      <w:tr>
        <w:tc>
          <w:tcPr>
            <w:tcW w:type="dxa" w:w="2493"/>
          </w:tcPr>
          <w:p>
            <w:pPr>
              <w:spacing w:after="0"/>
            </w:pPr>
            <w:r/>
            <w:r>
              <w:rPr>
                <w:sz w:val="15"/>
              </w:rPr>
              <w:t>5c</w:t>
            </w:r>
          </w:p>
        </w:tc>
        <w:tc>
          <w:tcPr>
            <w:tcW w:type="dxa" w:w="2493"/>
          </w:tcPr>
          <w:p>
            <w:pPr>
              <w:spacing w:after="0"/>
            </w:pPr>
            <w:r/>
            <w:r>
              <w:rPr>
                <w:sz w:val="15"/>
              </w:rPr>
              <w:t>Participants' eligibility</w:t>
            </w:r>
          </w:p>
        </w:tc>
        <w:tc>
          <w:tcPr>
            <w:tcW w:type="dxa" w:w="2493"/>
          </w:tcPr>
          <w:p>
            <w:pPr>
              <w:spacing w:after="0"/>
            </w:pPr>
            <w:r/>
            <w:r>
              <w:rPr>
                <w:sz w:val="15"/>
              </w:rPr>
              <w:t>✅</w:t>
            </w:r>
          </w:p>
        </w:tc>
        <w:tc>
          <w:tcPr>
            <w:tcW w:type="dxa" w:w="2493"/>
          </w:tcPr>
          <w:p>
            <w:pPr>
              <w:spacing w:after="0"/>
            </w:pPr>
            <w:r/>
            <w:r>
              <w:rPr>
                <w:sz w:val="15"/>
              </w:rPr>
              <w:t>SAP §6</w:t>
            </w:r>
          </w:p>
        </w:tc>
      </w:tr>
      <w:tr>
        <w:tc>
          <w:tcPr>
            <w:tcW w:type="dxa" w:w="2493"/>
          </w:tcPr>
          <w:p>
            <w:pPr>
              <w:spacing w:after="0"/>
            </w:pPr>
            <w:r/>
            <w:r>
              <w:rPr>
                <w:sz w:val="15"/>
              </w:rPr>
              <w:t>6a</w:t>
            </w:r>
          </w:p>
        </w:tc>
        <w:tc>
          <w:tcPr>
            <w:tcW w:type="dxa" w:w="2493"/>
          </w:tcPr>
          <w:p>
            <w:pPr>
              <w:spacing w:after="0"/>
            </w:pPr>
            <w:r/>
            <w:r>
              <w:rPr>
                <w:sz w:val="15"/>
              </w:rPr>
              <w:t>Outcome definition and assessment</w:t>
            </w:r>
          </w:p>
        </w:tc>
        <w:tc>
          <w:tcPr>
            <w:tcW w:type="dxa" w:w="2493"/>
          </w:tcPr>
          <w:p>
            <w:pPr>
              <w:spacing w:after="0"/>
            </w:pPr>
            <w:r/>
            <w:r>
              <w:rPr>
                <w:sz w:val="15"/>
              </w:rPr>
              <w:t>✅</w:t>
            </w:r>
          </w:p>
        </w:tc>
        <w:tc>
          <w:tcPr>
            <w:tcW w:type="dxa" w:w="2493"/>
          </w:tcPr>
          <w:p>
            <w:pPr>
              <w:spacing w:after="0"/>
            </w:pPr>
            <w:r/>
            <w:r>
              <w:rPr>
                <w:sz w:val="15"/>
              </w:rPr>
              <w:t>SAP §5, script docstrings</w:t>
            </w:r>
          </w:p>
        </w:tc>
      </w:tr>
      <w:tr>
        <w:tc>
          <w:tcPr>
            <w:tcW w:type="dxa" w:w="2493"/>
          </w:tcPr>
          <w:p>
            <w:pPr>
              <w:spacing w:after="0"/>
            </w:pPr>
            <w:r/>
            <w:r>
              <w:rPr>
                <w:sz w:val="15"/>
              </w:rPr>
              <w:t>6b</w:t>
            </w:r>
          </w:p>
        </w:tc>
        <w:tc>
          <w:tcPr>
            <w:tcW w:type="dxa" w:w="2493"/>
          </w:tcPr>
          <w:p>
            <w:pPr>
              <w:spacing w:after="0"/>
            </w:pPr>
            <w:r/>
            <w:r>
              <w:rPr>
                <w:sz w:val="15"/>
              </w:rPr>
              <w:t>Outcome blinded to predictors?</w:t>
            </w:r>
          </w:p>
        </w:tc>
        <w:tc>
          <w:tcPr>
            <w:tcW w:type="dxa" w:w="2493"/>
          </w:tcPr>
          <w:p>
            <w:pPr>
              <w:spacing w:after="0"/>
            </w:pPr>
            <w:r/>
            <w:r>
              <w:rPr>
                <w:sz w:val="15"/>
              </w:rPr>
              <w:t>✅</w:t>
            </w:r>
          </w:p>
        </w:tc>
        <w:tc>
          <w:tcPr>
            <w:tcW w:type="dxa" w:w="2493"/>
          </w:tcPr>
          <w:p>
            <w:pPr>
              <w:spacing w:after="0"/>
            </w:pPr>
            <w:r/>
            <w:r>
              <w:rPr>
                <w:sz w:val="15"/>
              </w:rPr>
              <w:t>labels pre-exist in datasets; engine untrained</w:t>
            </w:r>
          </w:p>
        </w:tc>
      </w:tr>
      <w:tr>
        <w:tc>
          <w:tcPr>
            <w:tcW w:type="dxa" w:w="2493"/>
          </w:tcPr>
          <w:p>
            <w:pPr>
              <w:spacing w:after="0"/>
            </w:pPr>
            <w:r/>
            <w:r>
              <w:rPr>
                <w:sz w:val="15"/>
              </w:rPr>
              <w:t>7a</w:t>
            </w:r>
          </w:p>
        </w:tc>
        <w:tc>
          <w:tcPr>
            <w:tcW w:type="dxa" w:w="2493"/>
          </w:tcPr>
          <w:p>
            <w:pPr>
              <w:spacing w:after="0"/>
            </w:pPr>
            <w:r/>
            <w:r>
              <w:rPr>
                <w:sz w:val="15"/>
              </w:rPr>
              <w:t>Predictors (inputs)</w:t>
            </w:r>
          </w:p>
        </w:tc>
        <w:tc>
          <w:tcPr>
            <w:tcW w:type="dxa" w:w="2493"/>
          </w:tcPr>
          <w:p>
            <w:pPr>
              <w:spacing w:after="0"/>
            </w:pPr>
            <w:r/>
            <w:r>
              <w:rPr>
                <w:sz w:val="15"/>
              </w:rPr>
              <w:t>✅</w:t>
            </w:r>
          </w:p>
        </w:tc>
        <w:tc>
          <w:tcPr>
            <w:tcW w:type="dxa" w:w="2493"/>
          </w:tcPr>
          <w:p>
            <w:pPr>
              <w:spacing w:after="0"/>
            </w:pPr>
            <w:r/>
            <w:r>
              <w:rPr>
                <w:sz w:val="15"/>
              </w:rPr>
              <w:t>analyte lists per dataset (map tables)</w:t>
            </w:r>
          </w:p>
        </w:tc>
      </w:tr>
      <w:tr>
        <w:tc>
          <w:tcPr>
            <w:tcW w:type="dxa" w:w="2493"/>
          </w:tcPr>
          <w:p>
            <w:pPr>
              <w:spacing w:after="0"/>
            </w:pPr>
            <w:r/>
            <w:r>
              <w:rPr>
                <w:sz w:val="15"/>
              </w:rPr>
              <w:t>7b</w:t>
            </w:r>
          </w:p>
        </w:tc>
        <w:tc>
          <w:tcPr>
            <w:tcW w:type="dxa" w:w="2493"/>
          </w:tcPr>
          <w:p>
            <w:pPr>
              <w:spacing w:after="0"/>
            </w:pPr>
            <w:r/>
            <w:r>
              <w:rPr>
                <w:sz w:val="15"/>
              </w:rPr>
              <w:t>Predictors blinded to outcome</w:t>
            </w:r>
          </w:p>
        </w:tc>
        <w:tc>
          <w:tcPr>
            <w:tcW w:type="dxa" w:w="2493"/>
          </w:tcPr>
          <w:p>
            <w:pPr>
              <w:spacing w:after="0"/>
            </w:pPr>
            <w:r/>
            <w:r>
              <w:rPr>
                <w:sz w:val="15"/>
              </w:rPr>
              <w:t>✅</w:t>
            </w:r>
          </w:p>
        </w:tc>
        <w:tc>
          <w:tcPr>
            <w:tcW w:type="dxa" w:w="2493"/>
          </w:tcPr>
          <w:p>
            <w:pPr>
              <w:spacing w:after="0"/>
            </w:pPr>
            <w:r/>
            <w:r>
              <w:rPr>
                <w:sz w:val="15"/>
              </w:rPr>
              <w:t>yes</w:t>
            </w:r>
          </w:p>
        </w:tc>
      </w:tr>
      <w:tr>
        <w:tc>
          <w:tcPr>
            <w:tcW w:type="dxa" w:w="2493"/>
          </w:tcPr>
          <w:p>
            <w:pPr>
              <w:spacing w:after="0"/>
            </w:pPr>
            <w:r/>
            <w:r>
              <w:rPr>
                <w:sz w:val="15"/>
              </w:rPr>
              <w:t>8</w:t>
            </w:r>
          </w:p>
        </w:tc>
        <w:tc>
          <w:tcPr>
            <w:tcW w:type="dxa" w:w="2493"/>
          </w:tcPr>
          <w:p>
            <w:pPr>
              <w:spacing w:after="0"/>
            </w:pPr>
            <w:r/>
            <w:r>
              <w:rPr>
                <w:sz w:val="15"/>
              </w:rPr>
              <w:t>Sample size</w:t>
            </w:r>
          </w:p>
        </w:tc>
        <w:tc>
          <w:tcPr>
            <w:tcW w:type="dxa" w:w="2493"/>
          </w:tcPr>
          <w:p>
            <w:pPr>
              <w:spacing w:after="0"/>
            </w:pPr>
            <w:r/>
            <w:r>
              <w:rPr>
                <w:sz w:val="15"/>
              </w:rPr>
              <w:t>✅</w:t>
            </w:r>
          </w:p>
        </w:tc>
        <w:tc>
          <w:tcPr>
            <w:tcW w:type="dxa" w:w="2493"/>
          </w:tcPr>
          <w:p>
            <w:pPr>
              <w:spacing w:after="0"/>
            </w:pPr>
            <w:r/>
            <w:r>
              <w:rPr>
                <w:sz w:val="15"/>
              </w:rPr>
              <w:t>no formal power calculation (pre-specified fixed public cohorts); groups with &lt; 20 events flagged "exploratory" in every table; eICU B3+B4+B8 LLM comparison n = 400 stays / 596 labels gives ±4 pp CI half-width</w:t>
            </w:r>
          </w:p>
        </w:tc>
      </w:tr>
      <w:tr>
        <w:tc>
          <w:tcPr>
            <w:tcW w:type="dxa" w:w="2493"/>
          </w:tcPr>
          <w:p>
            <w:pPr>
              <w:spacing w:after="0"/>
            </w:pPr>
            <w:r/>
            <w:r>
              <w:rPr>
                <w:sz w:val="15"/>
              </w:rPr>
              <w:t>9</w:t>
            </w:r>
          </w:p>
        </w:tc>
        <w:tc>
          <w:tcPr>
            <w:tcW w:type="dxa" w:w="2493"/>
          </w:tcPr>
          <w:p>
            <w:pPr>
              <w:spacing w:after="0"/>
            </w:pPr>
            <w:r/>
            <w:r>
              <w:rPr>
                <w:sz w:val="15"/>
              </w:rPr>
              <w:t>Missing data handling</w:t>
            </w:r>
          </w:p>
        </w:tc>
        <w:tc>
          <w:tcPr>
            <w:tcW w:type="dxa" w:w="2493"/>
          </w:tcPr>
          <w:p>
            <w:pPr>
              <w:spacing w:after="0"/>
            </w:pPr>
            <w:r/>
            <w:r>
              <w:rPr>
                <w:sz w:val="15"/>
              </w:rPr>
              <w:t>✅</w:t>
            </w:r>
          </w:p>
        </w:tc>
        <w:tc>
          <w:tcPr>
            <w:tcW w:type="dxa" w:w="2493"/>
          </w:tcPr>
          <w:p>
            <w:pPr>
              <w:spacing w:after="0"/>
            </w:pPr>
            <w:r/>
            <w:r>
              <w:rPr>
                <w:sz w:val="15"/>
              </w:rPr>
              <w:t>no imputation; key-analyte conditioning</w:t>
            </w:r>
          </w:p>
        </w:tc>
      </w:tr>
      <w:tr>
        <w:tc>
          <w:tcPr>
            <w:tcW w:type="dxa" w:w="2493"/>
          </w:tcPr>
          <w:p>
            <w:pPr>
              <w:spacing w:after="0"/>
            </w:pPr>
            <w:r/>
            <w:r>
              <w:rPr>
                <w:sz w:val="15"/>
              </w:rPr>
              <w:t>10a</w:t>
            </w:r>
          </w:p>
        </w:tc>
        <w:tc>
          <w:tcPr>
            <w:tcW w:type="dxa" w:w="2493"/>
          </w:tcPr>
          <w:p>
            <w:pPr>
              <w:spacing w:after="0"/>
            </w:pPr>
            <w:r/>
            <w:r>
              <w:rPr>
                <w:sz w:val="15"/>
              </w:rPr>
              <w:t>Model building: how predictors handled</w:t>
            </w:r>
          </w:p>
        </w:tc>
        <w:tc>
          <w:tcPr>
            <w:tcW w:type="dxa" w:w="2493"/>
          </w:tcPr>
          <w:p>
            <w:pPr>
              <w:spacing w:after="0"/>
            </w:pPr>
            <w:r/>
            <w:r>
              <w:rPr>
                <w:sz w:val="15"/>
              </w:rPr>
              <w:t>✅</w:t>
            </w:r>
          </w:p>
        </w:tc>
        <w:tc>
          <w:tcPr>
            <w:tcW w:type="dxa" w:w="2493"/>
          </w:tcPr>
          <w:p>
            <w:pPr>
              <w:spacing w:after="0"/>
            </w:pPr>
            <w:r/>
            <w:r>
              <w:rPr>
                <w:sz w:val="15"/>
              </w:rPr>
              <w:t>registry/ESL/fusion description</w:t>
            </w:r>
          </w:p>
        </w:tc>
      </w:tr>
      <w:tr>
        <w:tc>
          <w:tcPr>
            <w:tcW w:type="dxa" w:w="2493"/>
          </w:tcPr>
          <w:p>
            <w:pPr>
              <w:spacing w:after="0"/>
            </w:pPr>
            <w:r/>
            <w:r>
              <w:rPr>
                <w:sz w:val="15"/>
              </w:rPr>
              <w:t>10b</w:t>
            </w:r>
          </w:p>
        </w:tc>
        <w:tc>
          <w:tcPr>
            <w:tcW w:type="dxa" w:w="2493"/>
          </w:tcPr>
          <w:p>
            <w:pPr>
              <w:spacing w:after="0"/>
            </w:pPr>
            <w:r/>
            <w:r>
              <w:rPr>
                <w:sz w:val="15"/>
              </w:rPr>
              <w:t>Model type, training</w:t>
            </w:r>
          </w:p>
        </w:tc>
        <w:tc>
          <w:tcPr>
            <w:tcW w:type="dxa" w:w="2493"/>
          </w:tcPr>
          <w:p>
            <w:pPr>
              <w:spacing w:after="0"/>
            </w:pPr>
            <w:r/>
            <w:r>
              <w:rPr>
                <w:sz w:val="15"/>
              </w:rPr>
              <w:t>n/a</w:t>
            </w:r>
          </w:p>
        </w:tc>
        <w:tc>
          <w:tcPr>
            <w:tcW w:type="dxa" w:w="2493"/>
          </w:tcPr>
          <w:p>
            <w:pPr>
              <w:spacing w:after="0"/>
            </w:pPr>
            <w:r/>
            <w:r>
              <w:rPr>
                <w:sz w:val="15"/>
              </w:rPr>
              <w:t xml:space="preserve">knowledge base construction (AI-assisted curation + sources) — </w:t>
            </w:r>
            <w:r>
              <w:rPr>
                <w:b/>
                <w:sz w:val="15"/>
              </w:rPr>
              <w:t>registry audit needed (🟡)</w:t>
            </w:r>
          </w:p>
        </w:tc>
      </w:tr>
      <w:tr>
        <w:tc>
          <w:tcPr>
            <w:tcW w:type="dxa" w:w="2493"/>
          </w:tcPr>
          <w:p>
            <w:pPr>
              <w:spacing w:after="0"/>
            </w:pPr>
            <w:r/>
            <w:r>
              <w:rPr>
                <w:sz w:val="15"/>
              </w:rPr>
              <w:t>10c</w:t>
            </w:r>
          </w:p>
        </w:tc>
        <w:tc>
          <w:tcPr>
            <w:tcW w:type="dxa" w:w="2493"/>
          </w:tcPr>
          <w:p>
            <w:pPr>
              <w:spacing w:after="0"/>
            </w:pPr>
            <w:r/>
            <w:r>
              <w:rPr>
                <w:sz w:val="15"/>
              </w:rPr>
              <w:t>Hyper-parameters</w:t>
            </w:r>
          </w:p>
        </w:tc>
        <w:tc>
          <w:tcPr>
            <w:tcW w:type="dxa" w:w="2493"/>
          </w:tcPr>
          <w:p>
            <w:pPr>
              <w:spacing w:after="0"/>
            </w:pPr>
            <w:r/>
            <w:r>
              <w:rPr>
                <w:sz w:val="15"/>
              </w:rPr>
              <w:t>✅</w:t>
            </w:r>
          </w:p>
        </w:tc>
        <w:tc>
          <w:tcPr>
            <w:tcW w:type="dxa" w:w="2493"/>
          </w:tcPr>
          <w:p>
            <w:pPr>
              <w:spacing w:after="0"/>
            </w:pPr>
            <w:r/>
            <w:r>
              <w:rPr>
                <w:sz w:val="15"/>
              </w:rPr>
              <w:t>fusion constants table</w:t>
            </w:r>
          </w:p>
        </w:tc>
      </w:tr>
      <w:tr>
        <w:tc>
          <w:tcPr>
            <w:tcW w:type="dxa" w:w="2493"/>
          </w:tcPr>
          <w:p>
            <w:pPr>
              <w:spacing w:after="0"/>
            </w:pPr>
            <w:r/>
            <w:r>
              <w:rPr>
                <w:sz w:val="15"/>
              </w:rPr>
              <w:t>10d</w:t>
            </w:r>
          </w:p>
        </w:tc>
        <w:tc>
          <w:tcPr>
            <w:tcW w:type="dxa" w:w="2493"/>
          </w:tcPr>
          <w:p>
            <w:pPr>
              <w:spacing w:after="0"/>
            </w:pPr>
            <w:r/>
            <w:r>
              <w:rPr>
                <w:sz w:val="15"/>
              </w:rPr>
              <w:t>Performance measures</w:t>
            </w:r>
          </w:p>
        </w:tc>
        <w:tc>
          <w:tcPr>
            <w:tcW w:type="dxa" w:w="2493"/>
          </w:tcPr>
          <w:p>
            <w:pPr>
              <w:spacing w:after="0"/>
            </w:pPr>
            <w:r/>
            <w:r>
              <w:rPr>
                <w:sz w:val="15"/>
              </w:rPr>
              <w:t>✅</w:t>
            </w:r>
          </w:p>
        </w:tc>
        <w:tc>
          <w:tcPr>
            <w:tcW w:type="dxa" w:w="2493"/>
          </w:tcPr>
          <w:p>
            <w:pPr>
              <w:spacing w:after="0"/>
            </w:pPr>
            <w:r/>
            <w:r>
              <w:rPr>
                <w:sz w:val="15"/>
              </w:rPr>
              <w:t>SAP §4</w:t>
            </w:r>
          </w:p>
        </w:tc>
      </w:tr>
      <w:tr>
        <w:tc>
          <w:tcPr>
            <w:tcW w:type="dxa" w:w="2493"/>
          </w:tcPr>
          <w:p>
            <w:pPr>
              <w:spacing w:after="0"/>
            </w:pPr>
            <w:r/>
            <w:r>
              <w:rPr>
                <w:sz w:val="15"/>
              </w:rPr>
              <w:t>10e</w:t>
            </w:r>
          </w:p>
        </w:tc>
        <w:tc>
          <w:tcPr>
            <w:tcW w:type="dxa" w:w="2493"/>
          </w:tcPr>
          <w:p>
            <w:pPr>
              <w:spacing w:after="0"/>
            </w:pPr>
            <w:r/>
            <w:r>
              <w:rPr>
                <w:sz w:val="15"/>
              </w:rPr>
              <w:t>Model updating</w:t>
            </w:r>
          </w:p>
        </w:tc>
        <w:tc>
          <w:tcPr>
            <w:tcW w:type="dxa" w:w="2493"/>
          </w:tcPr>
          <w:p>
            <w:pPr>
              <w:spacing w:after="0"/>
            </w:pPr>
            <w:r/>
            <w:r>
              <w:rPr>
                <w:sz w:val="15"/>
              </w:rPr>
              <w:t>✅</w:t>
            </w:r>
          </w:p>
        </w:tc>
        <w:tc>
          <w:tcPr>
            <w:tcW w:type="dxa" w:w="2493"/>
          </w:tcPr>
          <w:p>
            <w:pPr>
              <w:spacing w:after="0"/>
            </w:pPr>
            <w:r/>
            <w:r>
              <w:rPr>
                <w:sz w:val="15"/>
              </w:rPr>
              <w:t>ESL ext. 4 / fixes after MIMIC demo, disclosed</w:t>
            </w:r>
          </w:p>
        </w:tc>
      </w:tr>
      <w:tr>
        <w:tc>
          <w:tcPr>
            <w:tcW w:type="dxa" w:w="2493"/>
          </w:tcPr>
          <w:p>
            <w:pPr>
              <w:spacing w:after="0"/>
            </w:pPr>
            <w:r/>
            <w:r>
              <w:rPr>
                <w:sz w:val="15"/>
              </w:rPr>
              <w:t>11</w:t>
            </w:r>
          </w:p>
        </w:tc>
        <w:tc>
          <w:tcPr>
            <w:tcW w:type="dxa" w:w="2493"/>
          </w:tcPr>
          <w:p>
            <w:pPr>
              <w:spacing w:after="0"/>
            </w:pPr>
            <w:r/>
            <w:r>
              <w:rPr>
                <w:sz w:val="15"/>
              </w:rPr>
              <w:t>Fairness: subgroup analysis</w:t>
            </w:r>
          </w:p>
        </w:tc>
        <w:tc>
          <w:tcPr>
            <w:tcW w:type="dxa" w:w="2493"/>
          </w:tcPr>
          <w:p>
            <w:pPr>
              <w:spacing w:after="0"/>
            </w:pPr>
            <w:r/>
            <w:r>
              <w:rPr>
                <w:sz w:val="15"/>
              </w:rPr>
              <w:t>✅</w:t>
            </w:r>
          </w:p>
        </w:tc>
        <w:tc>
          <w:tcPr>
            <w:tcW w:type="dxa" w:w="2493"/>
          </w:tcPr>
          <w:p>
            <w:pPr>
              <w:spacing w:after="0"/>
            </w:pPr>
            <w:r/>
            <w:r>
              <w:rPr>
                <w:sz w:val="15"/>
              </w:rPr>
              <w:t>eval/subgroup_fairness.py → sex, age band, hospital, panel size (eICU v5.3: run_20261023_v53/subgroup.log; Supplementary Table S4; sex gap M 65.4 vs F 61.1 reported as unresolved, H1 failed)</w:t>
            </w:r>
          </w:p>
        </w:tc>
      </w:tr>
      <w:tr>
        <w:tc>
          <w:tcPr>
            <w:tcW w:type="dxa" w:w="2493"/>
          </w:tcPr>
          <w:p>
            <w:pPr>
              <w:spacing w:after="0"/>
            </w:pPr>
            <w:r/>
            <w:r>
              <w:rPr>
                <w:sz w:val="15"/>
              </w:rPr>
              <w:t>12</w:t>
            </w:r>
          </w:p>
        </w:tc>
        <w:tc>
          <w:tcPr>
            <w:tcW w:type="dxa" w:w="2493"/>
          </w:tcPr>
          <w:p>
            <w:pPr>
              <w:spacing w:after="0"/>
            </w:pPr>
            <w:r/>
            <w:r>
              <w:rPr>
                <w:sz w:val="15"/>
              </w:rPr>
              <w:t>Evaluation / internal validation design</w:t>
            </w:r>
          </w:p>
        </w:tc>
        <w:tc>
          <w:tcPr>
            <w:tcW w:type="dxa" w:w="2493"/>
          </w:tcPr>
          <w:p>
            <w:pPr>
              <w:spacing w:after="0"/>
            </w:pPr>
            <w:r/>
            <w:r>
              <w:rPr>
                <w:sz w:val="15"/>
              </w:rPr>
              <w:t>✅</w:t>
            </w:r>
          </w:p>
        </w:tc>
        <w:tc>
          <w:tcPr>
            <w:tcW w:type="dxa" w:w="2493"/>
          </w:tcPr>
          <w:p>
            <w:pPr>
              <w:spacing w:after="0"/>
            </w:pPr>
            <w:r/>
            <w:r>
              <w:rPr>
                <w:sz w:val="15"/>
              </w:rPr>
              <w:t>SAP §3 roles</w:t>
            </w:r>
          </w:p>
        </w:tc>
      </w:tr>
      <w:tr>
        <w:tc>
          <w:tcPr>
            <w:tcW w:type="dxa" w:w="2493"/>
          </w:tcPr>
          <w:p>
            <w:pPr>
              <w:spacing w:after="0"/>
            </w:pPr>
            <w:r/>
            <w:r>
              <w:rPr>
                <w:sz w:val="15"/>
              </w:rPr>
              <w:t>13</w:t>
            </w:r>
          </w:p>
        </w:tc>
        <w:tc>
          <w:tcPr>
            <w:tcW w:type="dxa" w:w="2493"/>
          </w:tcPr>
          <w:p>
            <w:pPr>
              <w:spacing w:after="0"/>
            </w:pPr>
            <w:r/>
            <w:r>
              <w:rPr>
                <w:sz w:val="15"/>
              </w:rPr>
              <w:t>Comparison to other models / baselines</w:t>
            </w:r>
          </w:p>
        </w:tc>
        <w:tc>
          <w:tcPr>
            <w:tcW w:type="dxa" w:w="2493"/>
          </w:tcPr>
          <w:p>
            <w:pPr>
              <w:spacing w:after="0"/>
            </w:pPr>
            <w:r/>
            <w:r>
              <w:rPr>
                <w:sz w:val="15"/>
              </w:rPr>
              <w:t>✅</w:t>
            </w:r>
          </w:p>
        </w:tc>
        <w:tc>
          <w:tcPr>
            <w:tcW w:type="dxa" w:w="2493"/>
          </w:tcPr>
          <w:p>
            <w:pPr>
              <w:spacing w:after="0"/>
            </w:pPr>
            <w:r/>
            <w:r>
              <w:rPr>
                <w:sz w:val="15"/>
              </w:rPr>
              <w:t>B1 single-analyte rule; B2 supervised ML (eICU); blind unnamed frontier (capability-tier "GPT-4-class") LLM via agent (B3/B4/B8, n = 400, McNemar p = 0.009); supervised logistic baseline on Sepsis-2019; published Isabel/DXplain figures in Discussion (not head-to-head)</w:t>
            </w:r>
          </w:p>
        </w:tc>
      </w:tr>
      <w:tr>
        <w:tc>
          <w:tcPr>
            <w:tcW w:type="dxa" w:w="2493"/>
          </w:tcPr>
          <w:p>
            <w:pPr>
              <w:spacing w:after="0"/>
            </w:pPr>
            <w:r/>
            <w:r>
              <w:rPr>
                <w:sz w:val="15"/>
              </w:rPr>
              <w:t>14a</w:t>
            </w:r>
          </w:p>
        </w:tc>
        <w:tc>
          <w:tcPr>
            <w:tcW w:type="dxa" w:w="2493"/>
          </w:tcPr>
          <w:p>
            <w:pPr>
              <w:spacing w:after="0"/>
            </w:pPr>
            <w:r/>
            <w:r>
              <w:rPr>
                <w:sz w:val="15"/>
              </w:rPr>
              <w:t>Participant flow diagram</w:t>
            </w:r>
          </w:p>
        </w:tc>
        <w:tc>
          <w:tcPr>
            <w:tcW w:type="dxa" w:w="2493"/>
          </w:tcPr>
          <w:p>
            <w:pPr>
              <w:spacing w:after="0"/>
            </w:pPr>
            <w:r/>
            <w:r>
              <w:rPr>
                <w:sz w:val="15"/>
              </w:rPr>
              <w:t>✅</w:t>
            </w:r>
          </w:p>
        </w:tc>
        <w:tc>
          <w:tcPr>
            <w:tcW w:type="dxa" w:w="2493"/>
          </w:tcPr>
          <w:p>
            <w:pPr>
              <w:spacing w:after="0"/>
            </w:pPr>
            <w:r/>
            <w:r>
              <w:rPr>
                <w:sz w:val="15"/>
              </w:rPr>
              <w:t>Supplementary Fig. S7 (participant flow) + Table S3 (cohort flow)</w:t>
            </w:r>
          </w:p>
        </w:tc>
      </w:tr>
      <w:tr>
        <w:tc>
          <w:tcPr>
            <w:tcW w:type="dxa" w:w="2493"/>
          </w:tcPr>
          <w:p>
            <w:pPr>
              <w:spacing w:after="0"/>
            </w:pPr>
            <w:r/>
            <w:r>
              <w:rPr>
                <w:sz w:val="15"/>
              </w:rPr>
              <w:t>14b</w:t>
            </w:r>
          </w:p>
        </w:tc>
        <w:tc>
          <w:tcPr>
            <w:tcW w:type="dxa" w:w="2493"/>
          </w:tcPr>
          <w:p>
            <w:pPr>
              <w:spacing w:after="0"/>
            </w:pPr>
            <w:r/>
            <w:r>
              <w:rPr>
                <w:sz w:val="15"/>
              </w:rPr>
              <w:t>Participant characteristics</w:t>
            </w:r>
          </w:p>
        </w:tc>
        <w:tc>
          <w:tcPr>
            <w:tcW w:type="dxa" w:w="2493"/>
          </w:tcPr>
          <w:p>
            <w:pPr>
              <w:spacing w:after="0"/>
            </w:pPr>
            <w:r/>
            <w:r>
              <w:rPr>
                <w:sz w:val="15"/>
              </w:rPr>
              <w:t>✅</w:t>
            </w:r>
          </w:p>
        </w:tc>
        <w:tc>
          <w:tcPr>
            <w:tcW w:type="dxa" w:w="2493"/>
          </w:tcPr>
          <w:p>
            <w:pPr>
              <w:spacing w:after="0"/>
            </w:pPr>
            <w:r/>
            <w:r>
              <w:rPr>
                <w:sz w:val="15"/>
              </w:rPr>
              <w:t>Supplementary Table S1 (cohort flow + age/sex/panel size per cohort)</w:t>
            </w:r>
          </w:p>
        </w:tc>
      </w:tr>
      <w:tr>
        <w:tc>
          <w:tcPr>
            <w:tcW w:type="dxa" w:w="2493"/>
          </w:tcPr>
          <w:p>
            <w:pPr>
              <w:spacing w:after="0"/>
            </w:pPr>
            <w:r/>
            <w:r>
              <w:rPr>
                <w:sz w:val="15"/>
              </w:rPr>
              <w:t>15</w:t>
            </w:r>
          </w:p>
        </w:tc>
        <w:tc>
          <w:tcPr>
            <w:tcW w:type="dxa" w:w="2493"/>
          </w:tcPr>
          <w:p>
            <w:pPr>
              <w:spacing w:after="0"/>
            </w:pPr>
            <w:r/>
            <w:r>
              <w:rPr>
                <w:sz w:val="15"/>
              </w:rPr>
              <w:t>Model specification / availability</w:t>
            </w:r>
          </w:p>
        </w:tc>
        <w:tc>
          <w:tcPr>
            <w:tcW w:type="dxa" w:w="2493"/>
          </w:tcPr>
          <w:p>
            <w:pPr>
              <w:spacing w:after="0"/>
            </w:pPr>
            <w:r/>
            <w:r>
              <w:rPr>
                <w:sz w:val="15"/>
              </w:rPr>
              <w:t>✅</w:t>
            </w:r>
          </w:p>
        </w:tc>
        <w:tc>
          <w:tcPr>
            <w:tcW w:type="dxa" w:w="2493"/>
          </w:tcPr>
          <w:p>
            <w:pPr>
              <w:spacing w:after="0"/>
            </w:pPr>
            <w:r/>
            <w:r>
              <w:rPr>
                <w:sz w:val="15"/>
              </w:rPr>
              <w:t>code + registries public (GitHub); add Zenodo DOI</w:t>
            </w:r>
          </w:p>
        </w:tc>
      </w:tr>
      <w:tr>
        <w:tc>
          <w:tcPr>
            <w:tcW w:type="dxa" w:w="2493"/>
          </w:tcPr>
          <w:p>
            <w:pPr>
              <w:spacing w:after="0"/>
            </w:pPr>
            <w:r/>
            <w:r>
              <w:rPr>
                <w:sz w:val="15"/>
              </w:rPr>
              <w:t>16</w:t>
            </w:r>
          </w:p>
        </w:tc>
        <w:tc>
          <w:tcPr>
            <w:tcW w:type="dxa" w:w="2493"/>
          </w:tcPr>
          <w:p>
            <w:pPr>
              <w:spacing w:after="0"/>
            </w:pPr>
            <w:r/>
            <w:r>
              <w:rPr>
                <w:sz w:val="15"/>
              </w:rPr>
              <w:t>Model performance with CIs</w:t>
            </w:r>
          </w:p>
        </w:tc>
        <w:tc>
          <w:tcPr>
            <w:tcW w:type="dxa" w:w="2493"/>
          </w:tcPr>
          <w:p>
            <w:pPr>
              <w:spacing w:after="0"/>
            </w:pPr>
            <w:r/>
            <w:r>
              <w:rPr>
                <w:sz w:val="15"/>
              </w:rPr>
              <w:t>✅</w:t>
            </w:r>
          </w:p>
        </w:tc>
        <w:tc>
          <w:tcPr>
            <w:tcW w:type="dxa" w:w="2493"/>
          </w:tcPr>
          <w:p>
            <w:pPr>
              <w:spacing w:after="0"/>
            </w:pPr>
            <w:r/>
            <w:r>
              <w:rPr>
                <w:sz w:val="15"/>
              </w:rPr>
              <w:t>reports in eval/results</w:t>
            </w:r>
          </w:p>
        </w:tc>
      </w:tr>
      <w:tr>
        <w:tc>
          <w:tcPr>
            <w:tcW w:type="dxa" w:w="2493"/>
          </w:tcPr>
          <w:p>
            <w:pPr>
              <w:spacing w:after="0"/>
            </w:pPr>
            <w:r/>
            <w:r>
              <w:rPr>
                <w:sz w:val="15"/>
              </w:rPr>
              <w:t>17</w:t>
            </w:r>
          </w:p>
        </w:tc>
        <w:tc>
          <w:tcPr>
            <w:tcW w:type="dxa" w:w="2493"/>
          </w:tcPr>
          <w:p>
            <w:pPr>
              <w:spacing w:after="0"/>
            </w:pPr>
            <w:r/>
            <w:r>
              <w:rPr>
                <w:sz w:val="15"/>
              </w:rPr>
              <w:t>Model updating results</w:t>
            </w:r>
          </w:p>
        </w:tc>
        <w:tc>
          <w:tcPr>
            <w:tcW w:type="dxa" w:w="2493"/>
          </w:tcPr>
          <w:p>
            <w:pPr>
              <w:spacing w:after="0"/>
            </w:pPr>
            <w:r/>
            <w:r>
              <w:rPr>
                <w:sz w:val="15"/>
              </w:rPr>
              <w:t>✅</w:t>
            </w:r>
          </w:p>
        </w:tc>
        <w:tc>
          <w:tcPr>
            <w:tcW w:type="dxa" w:w="2493"/>
          </w:tcPr>
          <w:p>
            <w:pPr>
              <w:spacing w:after="0"/>
            </w:pPr>
            <w:r/>
            <w:r>
              <w:rPr>
                <w:sz w:val="15"/>
              </w:rPr>
              <w:t>before/after tables</w:t>
            </w:r>
          </w:p>
        </w:tc>
      </w:tr>
      <w:tr>
        <w:tc>
          <w:tcPr>
            <w:tcW w:type="dxa" w:w="2493"/>
          </w:tcPr>
          <w:p>
            <w:pPr>
              <w:spacing w:after="0"/>
            </w:pPr>
            <w:r/>
            <w:r>
              <w:rPr>
                <w:sz w:val="15"/>
              </w:rPr>
              <w:t>18a</w:t>
            </w:r>
          </w:p>
        </w:tc>
        <w:tc>
          <w:tcPr>
            <w:tcW w:type="dxa" w:w="2493"/>
          </w:tcPr>
          <w:p>
            <w:pPr>
              <w:spacing w:after="0"/>
            </w:pPr>
            <w:r/>
            <w:r>
              <w:rPr>
                <w:sz w:val="15"/>
              </w:rPr>
              <w:t>Limitations</w:t>
            </w:r>
          </w:p>
        </w:tc>
        <w:tc>
          <w:tcPr>
            <w:tcW w:type="dxa" w:w="2493"/>
          </w:tcPr>
          <w:p>
            <w:pPr>
              <w:spacing w:after="0"/>
            </w:pPr>
            <w:r/>
            <w:r>
              <w:rPr>
                <w:sz w:val="15"/>
              </w:rPr>
              <w:t>✅</w:t>
            </w:r>
          </w:p>
        </w:tc>
        <w:tc>
          <w:tcPr>
            <w:tcW w:type="dxa" w:w="2493"/>
          </w:tcPr>
          <w:p>
            <w:pPr>
              <w:spacing w:after="0"/>
            </w:pPr>
            <w:r/>
            <w:r>
              <w:rPr>
                <w:sz w:val="15"/>
              </w:rPr>
              <w:t>REAL_DATA_VALIDATION §4</w:t>
            </w:r>
          </w:p>
        </w:tc>
      </w:tr>
      <w:tr>
        <w:tc>
          <w:tcPr>
            <w:tcW w:type="dxa" w:w="2493"/>
          </w:tcPr>
          <w:p>
            <w:pPr>
              <w:spacing w:after="0"/>
            </w:pPr>
            <w:r/>
            <w:r>
              <w:rPr>
                <w:sz w:val="15"/>
              </w:rPr>
              <w:t>18b</w:t>
            </w:r>
          </w:p>
        </w:tc>
        <w:tc>
          <w:tcPr>
            <w:tcW w:type="dxa" w:w="2493"/>
          </w:tcPr>
          <w:p>
            <w:pPr>
              <w:spacing w:after="0"/>
            </w:pPr>
            <w:r/>
            <w:r>
              <w:rPr>
                <w:sz w:val="15"/>
              </w:rPr>
              <w:t>Interpretation</w:t>
            </w:r>
          </w:p>
        </w:tc>
        <w:tc>
          <w:tcPr>
            <w:tcW w:type="dxa" w:w="2493"/>
          </w:tcPr>
          <w:p>
            <w:pPr>
              <w:spacing w:after="0"/>
            </w:pPr>
            <w:r/>
            <w:r>
              <w:rPr>
                <w:sz w:val="15"/>
              </w:rPr>
              <w:t>✅</w:t>
            </w:r>
          </w:p>
        </w:tc>
        <w:tc>
          <w:tcPr>
            <w:tcW w:type="dxa" w:w="2493"/>
          </w:tcPr>
          <w:p>
            <w:pPr>
              <w:spacing w:after="0"/>
            </w:pPr>
            <w:r/>
            <w:r>
              <w:rPr>
                <w:sz w:val="15"/>
              </w:rPr>
              <w:t>Paper 1 Discussion</w:t>
            </w:r>
          </w:p>
        </w:tc>
      </w:tr>
      <w:tr>
        <w:tc>
          <w:tcPr>
            <w:tcW w:type="dxa" w:w="2493"/>
          </w:tcPr>
          <w:p>
            <w:pPr>
              <w:spacing w:after="0"/>
            </w:pPr>
            <w:r/>
            <w:r>
              <w:rPr>
                <w:sz w:val="15"/>
              </w:rPr>
              <w:t>18c</w:t>
            </w:r>
          </w:p>
        </w:tc>
        <w:tc>
          <w:tcPr>
            <w:tcW w:type="dxa" w:w="2493"/>
          </w:tcPr>
          <w:p>
            <w:pPr>
              <w:spacing w:after="0"/>
            </w:pPr>
            <w:r/>
            <w:r>
              <w:rPr>
                <w:sz w:val="15"/>
              </w:rPr>
              <w:t>Implications</w:t>
            </w:r>
          </w:p>
        </w:tc>
        <w:tc>
          <w:tcPr>
            <w:tcW w:type="dxa" w:w="2493"/>
          </w:tcPr>
          <w:p>
            <w:pPr>
              <w:spacing w:after="0"/>
            </w:pPr>
            <w:r/>
            <w:r>
              <w:rPr>
                <w:sz w:val="15"/>
              </w:rPr>
              <w:t>✅</w:t>
            </w:r>
          </w:p>
        </w:tc>
        <w:tc>
          <w:tcPr>
            <w:tcW w:type="dxa" w:w="2493"/>
          </w:tcPr>
          <w:p>
            <w:pPr>
              <w:spacing w:after="0"/>
            </w:pPr>
            <w:r/>
            <w:r>
              <w:rPr>
                <w:sz w:val="15"/>
              </w:rPr>
              <w:t>Paper 1 Discussion (decision support, not autonomous; calibration needed before thresholds are used)</w:t>
            </w:r>
          </w:p>
        </w:tc>
      </w:tr>
      <w:tr>
        <w:tc>
          <w:tcPr>
            <w:tcW w:type="dxa" w:w="2493"/>
          </w:tcPr>
          <w:p>
            <w:pPr>
              <w:spacing w:after="0"/>
            </w:pPr>
            <w:r/>
            <w:r>
              <w:rPr>
                <w:sz w:val="15"/>
              </w:rPr>
              <w:t>19</w:t>
            </w:r>
          </w:p>
        </w:tc>
        <w:tc>
          <w:tcPr>
            <w:tcW w:type="dxa" w:w="2493"/>
          </w:tcPr>
          <w:p>
            <w:pPr>
              <w:spacing w:after="0"/>
            </w:pPr>
            <w:r/>
            <w:r>
              <w:rPr>
                <w:sz w:val="15"/>
              </w:rPr>
              <w:t>Registration / protocol</w:t>
            </w:r>
          </w:p>
        </w:tc>
        <w:tc>
          <w:tcPr>
            <w:tcW w:type="dxa" w:w="2493"/>
          </w:tcPr>
          <w:p>
            <w:pPr>
              <w:spacing w:after="0"/>
            </w:pPr>
            <w:r/>
            <w:r>
              <w:rPr>
                <w:sz w:val="15"/>
              </w:rPr>
              <w:t>🟡</w:t>
            </w:r>
          </w:p>
        </w:tc>
        <w:tc>
          <w:tcPr>
            <w:tcW w:type="dxa" w:w="2493"/>
          </w:tcPr>
          <w:p>
            <w:pPr>
              <w:spacing w:after="0"/>
            </w:pPr>
            <w:r/>
            <w:r>
              <w:rPr>
                <w:sz w:val="15"/>
              </w:rPr>
              <w:t>SAP v1 + Amendments 1–12 time-stamped in git; OSF registration text ready (docs/paper1/supplement/OSF_REGISTRATION_TEXT.md) — upload needs the author's OSF account</w:t>
            </w:r>
          </w:p>
        </w:tc>
      </w:tr>
      <w:tr>
        <w:tc>
          <w:tcPr>
            <w:tcW w:type="dxa" w:w="2493"/>
          </w:tcPr>
          <w:p>
            <w:pPr>
              <w:spacing w:after="0"/>
            </w:pPr>
            <w:r/>
            <w:r>
              <w:rPr>
                <w:sz w:val="15"/>
              </w:rPr>
              <w:t>20</w:t>
            </w:r>
          </w:p>
        </w:tc>
        <w:tc>
          <w:tcPr>
            <w:tcW w:type="dxa" w:w="2493"/>
          </w:tcPr>
          <w:p>
            <w:pPr>
              <w:spacing w:after="0"/>
            </w:pPr>
            <w:r/>
            <w:r>
              <w:rPr>
                <w:sz w:val="15"/>
              </w:rPr>
              <w:t>Code, data availability</w:t>
            </w:r>
          </w:p>
        </w:tc>
        <w:tc>
          <w:tcPr>
            <w:tcW w:type="dxa" w:w="2493"/>
          </w:tcPr>
          <w:p>
            <w:pPr>
              <w:spacing w:after="0"/>
            </w:pPr>
            <w:r/>
            <w:r>
              <w:rPr>
                <w:sz w:val="15"/>
              </w:rPr>
              <w:t>✅/🟡</w:t>
            </w:r>
          </w:p>
        </w:tc>
        <w:tc>
          <w:tcPr>
            <w:tcW w:type="dxa" w:w="2493"/>
          </w:tcPr>
          <w:p>
            <w:pPr>
              <w:spacing w:after="0"/>
            </w:pPr>
            <w:r/>
            <w:r>
              <w:rPr>
                <w:sz w:val="15"/>
              </w:rPr>
              <w:t>code public (GitHub); all datasets public (URLs in Data availability); Zenodo DOI minted at release by the author</w:t>
            </w:r>
          </w:p>
        </w:tc>
      </w:tr>
      <w:tr>
        <w:tc>
          <w:tcPr>
            <w:tcW w:type="dxa" w:w="2493"/>
          </w:tcPr>
          <w:p>
            <w:pPr>
              <w:spacing w:after="0"/>
            </w:pPr>
            <w:r/>
            <w:r>
              <w:rPr>
                <w:sz w:val="15"/>
              </w:rPr>
              <w:t>21</w:t>
            </w:r>
          </w:p>
        </w:tc>
        <w:tc>
          <w:tcPr>
            <w:tcW w:type="dxa" w:w="2493"/>
          </w:tcPr>
          <w:p>
            <w:pPr>
              <w:spacing w:after="0"/>
            </w:pPr>
            <w:r/>
            <w:r>
              <w:rPr>
                <w:sz w:val="15"/>
              </w:rPr>
              <w:t>Funding, conflicts</w:t>
            </w:r>
          </w:p>
        </w:tc>
        <w:tc>
          <w:tcPr>
            <w:tcW w:type="dxa" w:w="2493"/>
          </w:tcPr>
          <w:p>
            <w:pPr>
              <w:spacing w:after="0"/>
            </w:pPr>
            <w:r/>
            <w:r>
              <w:rPr>
                <w:sz w:val="15"/>
              </w:rPr>
              <w:t>✅</w:t>
            </w:r>
          </w:p>
        </w:tc>
        <w:tc>
          <w:tcPr>
            <w:tcW w:type="dxa" w:w="2493"/>
          </w:tcPr>
          <w:p>
            <w:pPr>
              <w:spacing w:after="0"/>
            </w:pPr>
            <w:r/>
            <w:r>
              <w:rPr>
                <w:sz w:val="15"/>
              </w:rPr>
              <w:t>no funding; SB is the sole developer of Hemoglyph (declared)</w:t>
            </w:r>
          </w:p>
        </w:tc>
      </w:tr>
      <w:tr>
        <w:tc>
          <w:tcPr>
            <w:tcW w:type="dxa" w:w="2493"/>
          </w:tcPr>
          <w:p>
            <w:pPr>
              <w:spacing w:after="0"/>
            </w:pPr>
            <w:r/>
            <w:r>
              <w:rPr>
                <w:sz w:val="15"/>
              </w:rPr>
              <w:t>22</w:t>
            </w:r>
          </w:p>
        </w:tc>
        <w:tc>
          <w:tcPr>
            <w:tcW w:type="dxa" w:w="2493"/>
          </w:tcPr>
          <w:p>
            <w:pPr>
              <w:spacing w:after="0"/>
            </w:pPr>
            <w:r/>
            <w:r>
              <w:rPr>
                <w:sz w:val="15"/>
              </w:rPr>
              <w:t>Ethics approval</w:t>
            </w:r>
          </w:p>
        </w:tc>
        <w:tc>
          <w:tcPr>
            <w:tcW w:type="dxa" w:w="2493"/>
          </w:tcPr>
          <w:p>
            <w:pPr>
              <w:spacing w:after="0"/>
            </w:pPr>
            <w:r/>
            <w:r>
              <w:rPr>
                <w:sz w:val="15"/>
              </w:rPr>
              <w:t>✅</w:t>
            </w:r>
          </w:p>
        </w:tc>
        <w:tc>
          <w:tcPr>
            <w:tcW w:type="dxa" w:w="2493"/>
          </w:tcPr>
          <w:p>
            <w:pPr>
              <w:spacing w:after="0"/>
            </w:pPr>
            <w:r/>
            <w:r>
              <w:rPr>
                <w:sz w:val="15"/>
              </w:rPr>
              <w:t>public de-identified data; no IRB needed; state DUA terms</w:t>
            </w:r>
          </w:p>
        </w:tc>
      </w:tr>
      <w:tr>
        <w:tc>
          <w:tcPr>
            <w:tcW w:type="dxa" w:w="2493"/>
          </w:tcPr>
          <w:p>
            <w:pPr>
              <w:spacing w:after="0"/>
            </w:pPr>
            <w:r/>
            <w:r>
              <w:rPr>
                <w:sz w:val="15"/>
              </w:rPr>
              <w:t>23</w:t>
            </w:r>
          </w:p>
        </w:tc>
        <w:tc>
          <w:tcPr>
            <w:tcW w:type="dxa" w:w="2493"/>
          </w:tcPr>
          <w:p>
            <w:pPr>
              <w:spacing w:after="0"/>
            </w:pPr>
            <w:r/>
            <w:r>
              <w:rPr>
                <w:sz w:val="15"/>
              </w:rPr>
              <w:t>Patient &amp; public involvement</w:t>
            </w:r>
          </w:p>
        </w:tc>
        <w:tc>
          <w:tcPr>
            <w:tcW w:type="dxa" w:w="2493"/>
          </w:tcPr>
          <w:p>
            <w:pPr>
              <w:spacing w:after="0"/>
            </w:pPr>
            <w:r/>
            <w:r>
              <w:rPr>
                <w:sz w:val="15"/>
              </w:rPr>
              <w:t>✅</w:t>
            </w:r>
          </w:p>
        </w:tc>
        <w:tc>
          <w:tcPr>
            <w:tcW w:type="dxa" w:w="2493"/>
          </w:tcPr>
          <w:p>
            <w:pPr>
              <w:spacing w:after="0"/>
            </w:pPr>
            <w:r/>
            <w:r>
              <w:rPr>
                <w:sz w:val="15"/>
              </w:rPr>
              <w:t>none — stated</w:t>
            </w:r>
          </w:p>
        </w:tc>
      </w:tr>
      <w:tr>
        <w:tc>
          <w:tcPr>
            <w:tcW w:type="dxa" w:w="2493"/>
          </w:tcPr>
          <w:p>
            <w:pPr>
              <w:spacing w:after="0"/>
            </w:pPr>
            <w:r/>
            <w:r>
              <w:rPr>
                <w:sz w:val="15"/>
              </w:rPr>
              <w:t>24</w:t>
            </w:r>
          </w:p>
        </w:tc>
        <w:tc>
          <w:tcPr>
            <w:tcW w:type="dxa" w:w="2493"/>
          </w:tcPr>
          <w:p>
            <w:pPr>
              <w:spacing w:after="0"/>
            </w:pPr>
            <w:r/>
            <w:r>
              <w:rPr>
                <w:sz w:val="15"/>
              </w:rPr>
              <w:t>Open science: data sharing, code</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25</w:t>
            </w:r>
          </w:p>
        </w:tc>
        <w:tc>
          <w:tcPr>
            <w:tcW w:type="dxa" w:w="2493"/>
          </w:tcPr>
          <w:p>
            <w:pPr>
              <w:spacing w:after="0"/>
            </w:pPr>
            <w:r/>
            <w:r>
              <w:rPr>
                <w:sz w:val="15"/>
              </w:rPr>
              <w:t>Supplementary materials</w:t>
            </w:r>
          </w:p>
        </w:tc>
        <w:tc>
          <w:tcPr>
            <w:tcW w:type="dxa" w:w="2493"/>
          </w:tcPr>
          <w:p>
            <w:pPr>
              <w:spacing w:after="0"/>
            </w:pPr>
            <w:r/>
            <w:r>
              <w:rPr>
                <w:sz w:val="15"/>
              </w:rPr>
              <w:t>✅</w:t>
            </w:r>
          </w:p>
        </w:tc>
        <w:tc>
          <w:tcPr>
            <w:tcW w:type="dxa" w:w="2493"/>
          </w:tcPr>
          <w:p>
            <w:pPr>
              <w:spacing w:after="0"/>
            </w:pPr>
            <w:r/>
            <w:r>
              <w:rPr>
                <w:sz w:val="15"/>
              </w:rPr>
              <w:t>SAP + amendments; per-group tables; error audit taxonomy (A/B/C1/C2, n = 200); calibration + DCA; fairness; LLM blind protocol &amp; raw read-outs</w:t>
            </w:r>
          </w:p>
        </w:tc>
      </w:tr>
      <w:tr>
        <w:tc>
          <w:tcPr>
            <w:tcW w:type="dxa" w:w="2493"/>
          </w:tcPr>
          <w:p>
            <w:pPr>
              <w:spacing w:after="0"/>
            </w:pPr>
            <w:r/>
            <w:r>
              <w:rPr>
                <w:sz w:val="15"/>
              </w:rPr>
              <w:t>26</w:t>
            </w:r>
          </w:p>
        </w:tc>
        <w:tc>
          <w:tcPr>
            <w:tcW w:type="dxa" w:w="2493"/>
          </w:tcPr>
          <w:p>
            <w:pPr>
              <w:spacing w:after="0"/>
            </w:pPr>
            <w:r/>
            <w:r>
              <w:rPr>
                <w:sz w:val="15"/>
              </w:rPr>
              <w:t>Human–AI interaction, deployment context</w:t>
            </w:r>
          </w:p>
        </w:tc>
        <w:tc>
          <w:tcPr>
            <w:tcW w:type="dxa" w:w="2493"/>
          </w:tcPr>
          <w:p>
            <w:pPr>
              <w:spacing w:after="0"/>
            </w:pPr>
            <w:r/>
            <w:r>
              <w:rPr>
                <w:sz w:val="15"/>
              </w:rPr>
              <w:t>🟡</w:t>
            </w:r>
          </w:p>
        </w:tc>
        <w:tc>
          <w:tcPr>
            <w:tcW w:type="dxa" w:w="2493"/>
          </w:tcPr>
          <w:p>
            <w:pPr>
              <w:spacing w:after="0"/>
            </w:pPr>
            <w:r/>
            <w:r>
              <w:rPr>
                <w:sz w:val="15"/>
              </w:rPr>
              <w:t>UI, explanation and alert hierarchy described; NO reader study (stated as limitation)</w:t>
            </w:r>
          </w:p>
        </w:tc>
      </w:tr>
      <w:tr>
        <w:tc>
          <w:tcPr>
            <w:tcW w:type="dxa" w:w="2493"/>
          </w:tcPr>
          <w:p>
            <w:pPr>
              <w:spacing w:after="0"/>
            </w:pPr>
            <w:r/>
            <w:r>
              <w:rPr>
                <w:sz w:val="15"/>
              </w:rPr>
              <w:t>27</w:t>
            </w:r>
          </w:p>
        </w:tc>
        <w:tc>
          <w:tcPr>
            <w:tcW w:type="dxa" w:w="2493"/>
          </w:tcPr>
          <w:p>
            <w:pPr>
              <w:spacing w:after="0"/>
            </w:pPr>
            <w:r/>
            <w:r>
              <w:rPr>
                <w:sz w:val="15"/>
              </w:rPr>
              <w:t>Safety / failure analysis</w:t>
            </w:r>
          </w:p>
        </w:tc>
        <w:tc>
          <w:tcPr>
            <w:tcW w:type="dxa" w:w="2493"/>
          </w:tcPr>
          <w:p>
            <w:pPr>
              <w:spacing w:after="0"/>
            </w:pPr>
            <w:r/>
            <w:r>
              <w:rPr>
                <w:sz w:val="15"/>
              </w:rPr>
              <w:t>✅</w:t>
            </w:r>
          </w:p>
        </w:tc>
        <w:tc>
          <w:tcPr>
            <w:tcW w:type="dxa" w:w="2493"/>
          </w:tcPr>
          <w:p>
            <w:pPr>
              <w:spacing w:after="0"/>
            </w:pPr>
            <w:r/>
            <w:r>
              <w:rPr>
                <w:sz w:val="15"/>
              </w:rPr>
              <w:t>S5 critical-value capture; B7 critical values; fabrication provocation 200/200; healthy sweep 0/1000; error audit n = 200</w:t>
            </w:r>
          </w:p>
        </w:tc>
      </w:tr>
      <w:tr>
        <w:tc>
          <w:tcPr>
            <w:tcW w:type="dxa" w:w="2493"/>
          </w:tcPr>
          <w:p>
            <w:pPr>
              <w:spacing w:after="0"/>
            </w:pPr>
            <w:r/>
            <w:r>
              <w:rPr>
                <w:sz w:val="15"/>
              </w:rPr>
              <w:t>registry-off ablation</w:t>
            </w:r>
          </w:p>
        </w:tc>
        <w:tc>
          <w:tcPr>
            <w:tcW w:type="dxa" w:w="2493"/>
          </w:tcPr>
          <w:p>
            <w:pPr>
              <w:spacing w:after="0"/>
            </w:pPr>
            <w:r/>
            <w:r>
              <w:rPr>
                <w:sz w:val="15"/>
              </w:rPr>
              <w:t>v5.3 (before registry revisions 13.3–14.1)</w:t>
            </w:r>
          </w:p>
        </w:tc>
        <w:tc>
          <w:tcPr>
            <w:tcW w:type="dxa" w:w="2493"/>
          </w:tcPr>
          <w:p>
            <w:pPr>
              <w:spacing w:after="0"/>
            </w:pPr>
            <w:r/>
            <w:r>
              <w:rPr>
                <w:sz w:val="15"/>
              </w:rPr>
              <w:t>flat@3/5/10 47.6 / 62.0 / 75.4; panel-supported@5/10 75.3 / 89.9</w:t>
            </w:r>
          </w:p>
        </w:tc>
        <w:tc>
          <w:tcPr>
            <w:tcW w:type="dxa" w:w="2493"/>
          </w:tcPr>
          <w:p>
            <w:pPr>
              <w:spacing w:after="0"/>
            </w:pPr>
            <w:r/>
            <w:r>
              <w:rPr>
                <w:sz w:val="15"/>
              </w:rPr>
              <w:t xml:space="preserve">engine and registry both changed; the ablations of the evaluated release are in main Table 5 (arm </w:t>
            </w:r>
            <w:r>
              <w:rPr>
                <w:rFonts w:ascii="Consolas" w:hAnsi="Consolas"/>
                <w:sz w:val="15"/>
              </w:rPr>
              <w:t>no_rule</w:t>
            </w:r>
            <w:r>
              <w:rPr>
                <w:sz w:val="15"/>
              </w:rPr>
              <w:t xml:space="preserve">, </w:t>
            </w:r>
            <w:r>
              <w:rPr>
                <w:rFonts w:ascii="Consolas" w:hAnsi="Consolas"/>
                <w:sz w:val="15"/>
              </w:rPr>
              <w:t>anchor_only</w:t>
            </w:r>
            <w:r>
              <w:rPr>
                <w:sz w:val="15"/>
              </w:rPr>
              <w:t xml:space="preserve">, </w:t>
            </w:r>
            <w:r>
              <w:rPr>
                <w:rFonts w:ascii="Consolas" w:hAnsi="Consolas"/>
                <w:sz w:val="15"/>
              </w:rPr>
              <w:t>anchor_only_no_esl</w:t>
            </w:r>
            <w:r>
              <w:rPr>
                <w:sz w:val="15"/>
              </w:rPr>
              <w:t>)</w:t>
            </w:r>
          </w:p>
        </w:tc>
      </w:tr>
      <w:tr>
        <w:tc>
          <w:tcPr>
            <w:tcW w:type="dxa" w:w="2493"/>
          </w:tcPr>
          <w:p>
            <w:pPr>
              <w:spacing w:after="0"/>
            </w:pPr>
            <w:r/>
            <w:r>
              <w:rPr>
                <w:sz w:val="15"/>
              </w:rPr>
              <w:t>LLM comparison</w:t>
            </w:r>
          </w:p>
        </w:tc>
        <w:tc>
          <w:tcPr>
            <w:tcW w:type="dxa" w:w="2493"/>
          </w:tcPr>
          <w:p>
            <w:pPr>
              <w:spacing w:after="0"/>
            </w:pPr>
            <w:r/>
            <w:r>
              <w:rPr>
                <w:sz w:val="15"/>
              </w:rPr>
              <w:t>v5.1</w:t>
            </w:r>
          </w:p>
        </w:tc>
        <w:tc>
          <w:tcPr>
            <w:tcW w:type="dxa" w:w="2493"/>
          </w:tcPr>
          <w:p>
            <w:pPr>
              <w:spacing w:after="0"/>
            </w:pPr>
            <w:r/>
            <w:r>
              <w:rPr>
                <w:sz w:val="15"/>
              </w:rPr>
              <w:t>recall@5 64.4 % (60.5–68.2) vs LLM 59.6 %, +4.9 pp, naive McNemar p = 0.009</w:t>
            </w:r>
          </w:p>
        </w:tc>
        <w:tc>
          <w:tcPr>
            <w:tcW w:type="dxa" w:w="2493"/>
          </w:tcPr>
          <w:p>
            <w:pPr>
              <w:spacing w:after="0"/>
            </w:pPr>
            <w:r/>
            <w:r>
              <w:rPr>
                <w:sz w:val="15"/>
              </w:rPr>
              <w:t>ignored stay clustering; re-scored with frozen v7 and cluster-adjusted inference → 60.7 % vs 59.6 %, p = 0.54 (main Table 4)</w:t>
            </w:r>
          </w:p>
        </w:tc>
      </w:tr>
      <w:tr>
        <w:tc>
          <w:tcPr>
            <w:tcW w:type="dxa" w:w="2493"/>
          </w:tcPr>
          <w:p>
            <w:pPr>
              <w:spacing w:after="0"/>
            </w:pPr>
            <w:r/>
            <w:r>
              <w:rPr>
                <w:sz w:val="15"/>
              </w:rPr>
              <w:t xml:space="preserve">inference engine </w:t>
            </w:r>
            <w:r>
              <w:rPr>
                <w:rFonts w:ascii="Consolas" w:hAnsi="Consolas"/>
                <w:sz w:val="15"/>
              </w:rPr>
              <w:t>analyse_gidlines.py</w:t>
            </w:r>
            <w:r>
              <w:rPr>
                <w:sz w:val="15"/>
              </w:rPr>
              <w:t xml:space="preserve"> (v7, single file)</w:t>
            </w:r>
          </w:p>
        </w:tc>
        <w:tc>
          <w:tcPr>
            <w:tcW w:type="dxa" w:w="2493"/>
          </w:tcPr>
          <w:p>
            <w:pPr>
              <w:spacing w:after="0"/>
            </w:pPr>
            <w:r/>
            <w:r>
              <w:rPr>
                <w:sz w:val="15"/>
              </w:rPr>
              <w:t>AGPL-3.0-or-later, public</w:t>
            </w:r>
          </w:p>
        </w:tc>
        <w:tc>
          <w:tcPr>
            <w:tcW w:type="dxa" w:w="2493"/>
          </w:tcPr>
          <w:p>
            <w:pPr>
              <w:spacing w:after="0"/>
            </w:pPr>
            <w:r/>
            <w:r>
              <w:rPr>
                <w:b/>
                <w:sz w:val="15"/>
              </w:rPr>
              <w:t>yes — the only inference component evaluated</w:t>
            </w:r>
          </w:p>
        </w:tc>
        <w:tc>
          <w:tcPr>
            <w:tcW w:type="dxa" w:w="2493"/>
          </w:tcPr>
          <w:p>
            <w:pPr>
              <w:spacing w:after="0"/>
            </w:pPr>
            <w:r/>
            <w:r>
              <w:rPr>
                <w:sz w:val="15"/>
              </w:rPr>
              <w:t>GitHub; Zenodo snapshot before publication</w:t>
            </w:r>
          </w:p>
        </w:tc>
      </w:tr>
      <w:tr>
        <w:tc>
          <w:tcPr>
            <w:tcW w:type="dxa" w:w="2493"/>
          </w:tcPr>
          <w:p>
            <w:pPr>
              <w:spacing w:after="0"/>
            </w:pPr>
            <w:r/>
            <w:r>
              <w:rPr>
                <w:sz w:val="15"/>
              </w:rPr>
              <w:t>disease-guideline registry 14.1.0 and feature registry (2,045 analytes)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same</w:t>
            </w:r>
          </w:p>
        </w:tc>
      </w:tr>
      <w:tr>
        <w:tc>
          <w:tcPr>
            <w:tcW w:type="dxa" w:w="2493"/>
          </w:tcPr>
          <w:p>
            <w:pPr>
              <w:spacing w:after="0"/>
            </w:pPr>
            <w:r/>
            <w:r>
              <w:rPr>
                <w:sz w:val="15"/>
              </w:rPr>
              <w:t>evaluation scripts, label maps, SAP, freeze manifests, per-stay outputs</w:t>
            </w:r>
          </w:p>
        </w:tc>
        <w:tc>
          <w:tcPr>
            <w:tcW w:type="dxa" w:w="2493"/>
          </w:tcPr>
          <w:p>
            <w:pPr>
              <w:spacing w:after="0"/>
            </w:pPr>
            <w:r/>
            <w:r>
              <w:rPr>
                <w:sz w:val="15"/>
              </w:rPr>
              <w:t>AGPL-3.0-or-later / CC BY-SA 4.0, public</w:t>
            </w:r>
          </w:p>
        </w:tc>
        <w:tc>
          <w:tcPr>
            <w:tcW w:type="dxa" w:w="2493"/>
          </w:tcPr>
          <w:p>
            <w:pPr>
              <w:spacing w:after="0"/>
            </w:pPr>
            <w:r/>
            <w:r>
              <w:rPr>
                <w:sz w:val="15"/>
              </w:rPr>
              <w:t>yes (they produce every number)</w:t>
            </w:r>
          </w:p>
        </w:tc>
        <w:tc>
          <w:tcPr>
            <w:tcW w:type="dxa" w:w="2493"/>
          </w:tcPr>
          <w:p>
            <w:pPr>
              <w:spacing w:after="0"/>
            </w:pPr>
            <w:r/>
            <w:r>
              <w:rPr>
                <w:sz w:val="15"/>
              </w:rPr>
              <w:t>same</w:t>
            </w:r>
          </w:p>
        </w:tc>
      </w:tr>
      <w:tr>
        <w:tc>
          <w:tcPr>
            <w:tcW w:type="dxa" w:w="2493"/>
          </w:tcPr>
          <w:p>
            <w:pPr>
              <w:spacing w:after="0"/>
            </w:pPr>
            <w:r/>
            <w:r>
              <w:rPr>
                <w:sz w:val="15"/>
              </w:rPr>
              <w:t>LLM prompts and raw outputs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Supplementary Data</w:t>
            </w:r>
          </w:p>
        </w:tc>
      </w:tr>
      <w:tr>
        <w:tc>
          <w:tcPr>
            <w:tcW w:type="dxa" w:w="2493"/>
          </w:tcPr>
          <w:p>
            <w:pPr>
              <w:spacing w:after="0"/>
            </w:pPr>
            <w:r/>
            <w:r>
              <w:rPr>
                <w:sz w:val="15"/>
              </w:rPr>
              <w:t>desktop shell (Qt/QML UI, licensing, node-locked activation, telemetry)</w:t>
            </w:r>
          </w:p>
        </w:tc>
        <w:tc>
          <w:tcPr>
            <w:tcW w:type="dxa" w:w="2493"/>
          </w:tcPr>
          <w:p>
            <w:pPr>
              <w:spacing w:after="0"/>
            </w:pPr>
            <w:r/>
            <w:r>
              <w:rPr>
                <w:sz w:val="15"/>
              </w:rPr>
              <w:t>proprietary, first author</w:t>
            </w:r>
          </w:p>
        </w:tc>
        <w:tc>
          <w:tcPr>
            <w:tcW w:type="dxa" w:w="2493"/>
          </w:tcPr>
          <w:p>
            <w:pPr>
              <w:spacing w:after="0"/>
            </w:pPr>
            <w:r/>
            <w:r>
              <w:rPr>
                <w:b/>
                <w:sz w:val="15"/>
              </w:rPr>
              <w:t>no</w:t>
            </w:r>
          </w:p>
        </w:tc>
        <w:tc>
          <w:tcPr>
            <w:tcW w:type="dxa" w:w="2493"/>
          </w:tcPr>
          <w:p>
            <w:pPr>
              <w:spacing w:after="0"/>
            </w:pPr>
            <w:r/>
            <w:r>
              <w:rPr>
                <w:sz w:val="15"/>
              </w:rPr>
              <w:t>not released</w:t>
            </w:r>
          </w:p>
        </w:tc>
      </w:tr>
      <w:tr>
        <w:tc>
          <w:tcPr>
            <w:tcW w:type="dxa" w:w="2493"/>
          </w:tcPr>
          <w:p>
            <w:pPr>
              <w:spacing w:after="0"/>
            </w:pPr>
            <w:r/>
            <w:r>
              <w:rPr>
                <w:sz w:val="15"/>
              </w:rPr>
              <w:t>OCR / report-image path (optional cloud OCR)</w:t>
            </w:r>
          </w:p>
        </w:tc>
        <w:tc>
          <w:tcPr>
            <w:tcW w:type="dxa" w:w="2493"/>
          </w:tcPr>
          <w:p>
            <w:pPr>
              <w:spacing w:after="0"/>
            </w:pPr>
            <w:r/>
            <w:r>
              <w:rPr>
                <w:sz w:val="15"/>
              </w:rPr>
              <w:t>proprietary; transmits images</w:t>
            </w:r>
          </w:p>
        </w:tc>
        <w:tc>
          <w:tcPr>
            <w:tcW w:type="dxa" w:w="2493"/>
          </w:tcPr>
          <w:p>
            <w:pPr>
              <w:spacing w:after="0"/>
            </w:pPr>
            <w:r/>
            <w:r>
              <w:rPr>
                <w:b/>
                <w:sz w:val="15"/>
              </w:rPr>
              <w:t>no</w:t>
            </w:r>
          </w:p>
        </w:tc>
        <w:tc>
          <w:tcPr>
            <w:tcW w:type="dxa" w:w="2493"/>
          </w:tcPr>
          <w:p>
            <w:pPr>
              <w:spacing w:after="0"/>
            </w:pPr>
            <w:r/>
            <w:r>
              <w:rPr>
                <w:sz w:val="15"/>
              </w:rPr>
              <w:t>not released; explicitly out of scope</w:t>
            </w:r>
          </w:p>
        </w:tc>
      </w:tr>
      <w:tr>
        <w:tc>
          <w:tcPr>
            <w:tcW w:type="dxa" w:w="2493"/>
          </w:tcPr>
          <w:p>
            <w:pPr>
              <w:spacing w:after="0"/>
            </w:pPr>
            <w:r/>
            <w:r>
              <w:rPr>
                <w:sz w:val="15"/>
              </w:rPr>
              <w:t>local chat assistant</w:t>
            </w:r>
          </w:p>
        </w:tc>
        <w:tc>
          <w:tcPr>
            <w:tcW w:type="dxa" w:w="2493"/>
          </w:tcPr>
          <w:p>
            <w:pPr>
              <w:spacing w:after="0"/>
            </w:pPr>
            <w:r/>
            <w:r>
              <w:rPr>
                <w:sz w:val="15"/>
              </w:rPr>
              <w:t>disabled in release 1.3.1</w:t>
            </w:r>
          </w:p>
        </w:tc>
        <w:tc>
          <w:tcPr>
            <w:tcW w:type="dxa" w:w="2493"/>
          </w:tcPr>
          <w:p>
            <w:pPr>
              <w:spacing w:after="0"/>
            </w:pPr>
            <w:r/>
            <w:r>
              <w:rPr>
                <w:sz w:val="15"/>
              </w:rPr>
              <w:t>no</w:t>
            </w:r>
          </w:p>
        </w:tc>
        <w:tc>
          <w:tcPr>
            <w:tcW w:type="dxa" w:w="2493"/>
          </w:tcPr>
          <w:p>
            <w:pPr>
              <w:spacing w:after="0"/>
            </w:pPr>
            <w:r/>
            <w:r>
              <w:rPr>
                <w:sz w:val="15"/>
              </w:rPr>
              <w:t>—</w:t>
            </w:r>
          </w:p>
        </w:tc>
      </w:tr>
      <w:tr>
        <w:tc>
          <w:tcPr>
            <w:tcW w:type="dxa" w:w="2493"/>
          </w:tcPr>
          <w:p>
            <w:pPr>
              <w:spacing w:after="0"/>
            </w:pPr>
            <w:r/>
            <w:r>
              <w:rPr>
                <w:rFonts w:ascii="Consolas" w:hAnsi="Consolas"/>
                <w:sz w:val="15"/>
              </w:rPr>
              <w:t>HEMOGLYPH_DISEASE_GUIDELINE_REGISTRY.json.br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HEMOGLYPH_DISEASE_GUIDELINE_REGISTRY.json.br.bak_v13_1_0</w:t>
            </w:r>
          </w:p>
        </w:tc>
        <w:tc>
          <w:tcPr>
            <w:tcW w:type="dxa" w:w="2493"/>
          </w:tcPr>
          <w:p>
            <w:pPr>
              <w:spacing w:after="0"/>
            </w:pPr>
            <w:r/>
            <w:r>
              <w:rPr>
                <w:sz w:val="15"/>
              </w:rPr>
              <w:t>2026-10-26 03:25</w:t>
            </w:r>
          </w:p>
        </w:tc>
        <w:tc>
          <w:tcPr>
            <w:tcW w:type="dxa" w:w="2493"/>
          </w:tcPr>
          <w:p>
            <w:pPr>
              <w:spacing w:after="0"/>
            </w:pPr>
            <w:r/>
            <w:r>
              <w:rPr>
                <w:sz w:val="15"/>
              </w:rPr>
              <w:t>1,186,778</w:t>
            </w:r>
          </w:p>
        </w:tc>
        <w:tc>
          <w:tcPr>
            <w:tcW w:type="dxa" w:w="2493"/>
          </w:tcPr>
          <w:p>
            <w:pPr>
              <w:spacing w:after="0"/>
            </w:pPr>
            <w:r/>
            <w:r>
              <w:rPr>
                <w:sz w:val="15"/>
              </w:rPr>
              <w:t>cebe06ae07e53f17…</w:t>
            </w:r>
          </w:p>
        </w:tc>
      </w:tr>
      <w:tr>
        <w:tc>
          <w:tcPr>
            <w:tcW w:type="dxa" w:w="2493"/>
          </w:tcPr>
          <w:p>
            <w:pPr>
              <w:spacing w:after="0"/>
            </w:pPr>
            <w:r/>
            <w:r>
              <w:rPr>
                <w:rFonts w:ascii="Consolas" w:hAnsi="Consolas"/>
                <w:sz w:val="15"/>
              </w:rPr>
              <w:t>HEMOGLYPH_DISEASE_GUIDELINE_REGISTRY.json.br.bak_v13_3_0</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r>
        <w:tc>
          <w:tcPr>
            <w:tcW w:type="dxa" w:w="2493"/>
          </w:tcPr>
          <w:p>
            <w:pPr>
              <w:spacing w:after="0"/>
            </w:pPr>
            <w:r/>
            <w:r>
              <w:rPr>
                <w:rFonts w:ascii="Consolas" w:hAnsi="Consolas"/>
                <w:sz w:val="15"/>
              </w:rPr>
              <w:t>HEMOGLYPH_DISEASE_GUIDELINE_REGISTRY.json.br.bak_v13_4_2</w:t>
            </w:r>
          </w:p>
        </w:tc>
        <w:tc>
          <w:tcPr>
            <w:tcW w:type="dxa" w:w="2493"/>
          </w:tcPr>
          <w:p>
            <w:pPr>
              <w:spacing w:after="0"/>
            </w:pPr>
            <w:r/>
            <w:r>
              <w:rPr>
                <w:sz w:val="15"/>
              </w:rPr>
              <w:t>2026-10-26 03:25</w:t>
            </w:r>
          </w:p>
        </w:tc>
        <w:tc>
          <w:tcPr>
            <w:tcW w:type="dxa" w:w="2493"/>
          </w:tcPr>
          <w:p>
            <w:pPr>
              <w:spacing w:after="0"/>
            </w:pPr>
            <w:r/>
            <w:r>
              <w:rPr>
                <w:sz w:val="15"/>
              </w:rPr>
              <w:t>1,227,539</w:t>
            </w:r>
          </w:p>
        </w:tc>
        <w:tc>
          <w:tcPr>
            <w:tcW w:type="dxa" w:w="2493"/>
          </w:tcPr>
          <w:p>
            <w:pPr>
              <w:spacing w:after="0"/>
            </w:pPr>
            <w:r/>
            <w:r>
              <w:rPr>
                <w:sz w:val="15"/>
              </w:rPr>
              <w:t>48a0c2e6c5dcaaf1…</w:t>
            </w:r>
          </w:p>
        </w:tc>
      </w:tr>
      <w:tr>
        <w:tc>
          <w:tcPr>
            <w:tcW w:type="dxa" w:w="2493"/>
          </w:tcPr>
          <w:p>
            <w:pPr>
              <w:spacing w:after="0"/>
            </w:pPr>
            <w:r/>
            <w:r>
              <w:rPr>
                <w:rFonts w:ascii="Consolas" w:hAnsi="Consolas"/>
                <w:sz w:val="15"/>
              </w:rPr>
              <w:t>HEMOGLYPH_DISEASE_GUIDELINE_REGISTRY.json.br.bak_v14_0_0</w:t>
            </w:r>
          </w:p>
        </w:tc>
        <w:tc>
          <w:tcPr>
            <w:tcW w:type="dxa" w:w="2493"/>
          </w:tcPr>
          <w:p>
            <w:pPr>
              <w:spacing w:after="0"/>
            </w:pPr>
            <w:r/>
            <w:r>
              <w:rPr>
                <w:sz w:val="15"/>
              </w:rPr>
              <w:t>2026-10-26 03:25</w:t>
            </w:r>
          </w:p>
        </w:tc>
        <w:tc>
          <w:tcPr>
            <w:tcW w:type="dxa" w:w="2493"/>
          </w:tcPr>
          <w:p>
            <w:pPr>
              <w:spacing w:after="0"/>
            </w:pPr>
            <w:r/>
            <w:r>
              <w:rPr>
                <w:sz w:val="15"/>
              </w:rPr>
              <w:t>1,231,539</w:t>
            </w:r>
          </w:p>
        </w:tc>
        <w:tc>
          <w:tcPr>
            <w:tcW w:type="dxa" w:w="2493"/>
          </w:tcPr>
          <w:p>
            <w:pPr>
              <w:spacing w:after="0"/>
            </w:pPr>
            <w:r/>
            <w:r>
              <w:rPr>
                <w:sz w:val="15"/>
              </w:rPr>
              <w:t>6efc802ea33e7c28…</w:t>
            </w:r>
          </w:p>
        </w:tc>
      </w:tr>
      <w:tr>
        <w:tc>
          <w:tcPr>
            <w:tcW w:type="dxa" w:w="2493"/>
          </w:tcPr>
          <w:p>
            <w:pPr>
              <w:spacing w:after="0"/>
            </w:pPr>
            <w:r/>
            <w:r>
              <w:rPr>
                <w:rFonts w:ascii="Consolas" w:hAnsi="Consolas"/>
                <w:sz w:val="15"/>
              </w:rPr>
              <w:t>HEMOGLYPH_FEATURE_REGISTRY.json.br</w:t>
            </w:r>
          </w:p>
        </w:tc>
        <w:tc>
          <w:tcPr>
            <w:tcW w:type="dxa" w:w="2493"/>
          </w:tcPr>
          <w:p>
            <w:pPr>
              <w:spacing w:after="0"/>
            </w:pPr>
            <w:r/>
            <w:r>
              <w:rPr>
                <w:sz w:val="15"/>
              </w:rPr>
              <w:t>2026-10-26 03:25</w:t>
            </w:r>
          </w:p>
        </w:tc>
        <w:tc>
          <w:tcPr>
            <w:tcW w:type="dxa" w:w="2493"/>
          </w:tcPr>
          <w:p>
            <w:pPr>
              <w:spacing w:after="0"/>
            </w:pPr>
            <w:r/>
            <w:r>
              <w:rPr>
                <w:sz w:val="15"/>
              </w:rPr>
              <w:t>3,113,259</w:t>
            </w:r>
          </w:p>
        </w:tc>
        <w:tc>
          <w:tcPr>
            <w:tcW w:type="dxa" w:w="2493"/>
          </w:tcPr>
          <w:p>
            <w:pPr>
              <w:spacing w:after="0"/>
            </w:pPr>
            <w:r/>
            <w:r>
              <w:rPr>
                <w:sz w:val="15"/>
              </w:rPr>
              <w:t>953d8daa4d0fe4df…</w:t>
            </w:r>
          </w:p>
        </w:tc>
      </w:tr>
      <w:tr>
        <w:tc>
          <w:tcPr>
            <w:tcW w:type="dxa" w:w="2493"/>
          </w:tcPr>
          <w:p>
            <w:pPr>
              <w:spacing w:after="0"/>
            </w:pPr>
            <w:r/>
            <w:r>
              <w:rPr>
                <w:rFonts w:ascii="Consolas" w:hAnsi="Consolas"/>
                <w:sz w:val="15"/>
              </w:rPr>
              <w:t>HEMOGLYPH_GUIDELINE_REGISTRY.json.br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analyse_gidlines.py</w:t>
            </w:r>
          </w:p>
        </w:tc>
        <w:tc>
          <w:tcPr>
            <w:tcW w:type="dxa" w:w="2493"/>
          </w:tcPr>
          <w:p>
            <w:pPr>
              <w:spacing w:after="0"/>
            </w:pPr>
            <w:r/>
            <w:r>
              <w:rPr>
                <w:sz w:val="15"/>
              </w:rPr>
              <w:t>2026-10-26 03:25</w:t>
            </w:r>
          </w:p>
        </w:tc>
        <w:tc>
          <w:tcPr>
            <w:tcW w:type="dxa" w:w="2493"/>
          </w:tcPr>
          <w:p>
            <w:pPr>
              <w:spacing w:after="0"/>
            </w:pPr>
            <w:r/>
            <w:r>
              <w:rPr>
                <w:sz w:val="15"/>
              </w:rPr>
              <w:t>975,269</w:t>
            </w:r>
          </w:p>
        </w:tc>
        <w:tc>
          <w:tcPr>
            <w:tcW w:type="dxa" w:w="2493"/>
          </w:tcPr>
          <w:p>
            <w:pPr>
              <w:spacing w:after="0"/>
            </w:pPr>
            <w:r/>
            <w:r>
              <w:rPr>
                <w:sz w:val="15"/>
              </w:rPr>
              <w:t>6670cf41b944ae12…</w:t>
            </w:r>
          </w:p>
        </w:tc>
      </w:tr>
      <w:tr>
        <w:tc>
          <w:tcPr>
            <w:tcW w:type="dxa" w:w="2493"/>
          </w:tcPr>
          <w:p>
            <w:pPr>
              <w:spacing w:after="0"/>
            </w:pPr>
            <w:r/>
            <w:r>
              <w:rPr>
                <w:rFonts w:ascii="Consolas" w:hAnsi="Consolas"/>
                <w:sz w:val="15"/>
              </w:rPr>
              <w:t>eval/engine_13_4_2_ref/analyse_gidlines.py</w:t>
            </w:r>
          </w:p>
        </w:tc>
        <w:tc>
          <w:tcPr>
            <w:tcW w:type="dxa" w:w="2493"/>
          </w:tcPr>
          <w:p>
            <w:pPr>
              <w:spacing w:after="0"/>
            </w:pPr>
            <w:r/>
            <w:r>
              <w:rPr>
                <w:sz w:val="15"/>
              </w:rPr>
              <w:t>2026-10-26 03:25</w:t>
            </w:r>
          </w:p>
        </w:tc>
        <w:tc>
          <w:tcPr>
            <w:tcW w:type="dxa" w:w="2493"/>
          </w:tcPr>
          <w:p>
            <w:pPr>
              <w:spacing w:after="0"/>
            </w:pPr>
            <w:r/>
            <w:r>
              <w:rPr>
                <w:sz w:val="15"/>
              </w:rPr>
              <w:t>945,898</w:t>
            </w:r>
          </w:p>
        </w:tc>
        <w:tc>
          <w:tcPr>
            <w:tcW w:type="dxa" w:w="2493"/>
          </w:tcPr>
          <w:p>
            <w:pPr>
              <w:spacing w:after="0"/>
            </w:pPr>
            <w:r/>
            <w:r>
              <w:rPr>
                <w:sz w:val="15"/>
              </w:rPr>
              <w:t>1780fab94ee8f213…</w:t>
            </w:r>
          </w:p>
        </w:tc>
      </w:tr>
      <w:tr>
        <w:tc>
          <w:tcPr>
            <w:tcW w:type="dxa" w:w="2493"/>
          </w:tcPr>
          <w:p>
            <w:pPr>
              <w:spacing w:after="0"/>
            </w:pPr>
            <w:r/>
            <w:r>
              <w:rPr>
                <w:rFonts w:ascii="Consolas" w:hAnsi="Consolas"/>
                <w:sz w:val="15"/>
              </w:rPr>
              <w:t>eval/engine_13_4_2_ref/cache_registry.py</w:t>
            </w:r>
          </w:p>
        </w:tc>
        <w:tc>
          <w:tcPr>
            <w:tcW w:type="dxa" w:w="2493"/>
          </w:tcPr>
          <w:p>
            <w:pPr>
              <w:spacing w:after="0"/>
            </w:pPr>
            <w:r/>
            <w:r>
              <w:rPr>
                <w:sz w:val="15"/>
              </w:rPr>
              <w:t>2026-10-26 03:25</w:t>
            </w:r>
          </w:p>
        </w:tc>
        <w:tc>
          <w:tcPr>
            <w:tcW w:type="dxa" w:w="2493"/>
          </w:tcPr>
          <w:p>
            <w:pPr>
              <w:spacing w:after="0"/>
            </w:pPr>
            <w:r/>
            <w:r>
              <w:rPr>
                <w:sz w:val="15"/>
              </w:rPr>
              <w:t>3,982</w:t>
            </w:r>
          </w:p>
        </w:tc>
        <w:tc>
          <w:tcPr>
            <w:tcW w:type="dxa" w:w="2493"/>
          </w:tcPr>
          <w:p>
            <w:pPr>
              <w:spacing w:after="0"/>
            </w:pPr>
            <w:r/>
            <w:r>
              <w:rPr>
                <w:sz w:val="15"/>
              </w:rPr>
              <w:t>123b829a2fce5af7…</w:t>
            </w:r>
          </w:p>
        </w:tc>
      </w:tr>
      <w:tr>
        <w:tc>
          <w:tcPr>
            <w:tcW w:type="dxa" w:w="2493"/>
          </w:tcPr>
          <w:p>
            <w:pPr>
              <w:spacing w:after="0"/>
            </w:pPr>
            <w:r/>
            <w:r>
              <w:rPr>
                <w:rFonts w:ascii="Consolas" w:hAnsi="Consolas"/>
                <w:sz w:val="15"/>
              </w:rPr>
              <w:t>eval/engine_13_4_2_ref/calcu.py</w:t>
            </w:r>
          </w:p>
        </w:tc>
        <w:tc>
          <w:tcPr>
            <w:tcW w:type="dxa" w:w="2493"/>
          </w:tcPr>
          <w:p>
            <w:pPr>
              <w:spacing w:after="0"/>
            </w:pPr>
            <w:r/>
            <w:r>
              <w:rPr>
                <w:sz w:val="15"/>
              </w:rPr>
              <w:t>2026-10-26 03:25</w:t>
            </w:r>
          </w:p>
        </w:tc>
        <w:tc>
          <w:tcPr>
            <w:tcW w:type="dxa" w:w="2493"/>
          </w:tcPr>
          <w:p>
            <w:pPr>
              <w:spacing w:after="0"/>
            </w:pPr>
            <w:r/>
            <w:r>
              <w:rPr>
                <w:sz w:val="15"/>
              </w:rPr>
              <w:t>95,606</w:t>
            </w:r>
          </w:p>
        </w:tc>
        <w:tc>
          <w:tcPr>
            <w:tcW w:type="dxa" w:w="2493"/>
          </w:tcPr>
          <w:p>
            <w:pPr>
              <w:spacing w:after="0"/>
            </w:pPr>
            <w:r/>
            <w:r>
              <w:rPr>
                <w:sz w:val="15"/>
              </w:rPr>
              <w:t>2e850f64cddc4cc4…</w:t>
            </w:r>
          </w:p>
        </w:tc>
      </w:tr>
      <w:tr>
        <w:tc>
          <w:tcPr>
            <w:tcW w:type="dxa" w:w="2493"/>
          </w:tcPr>
          <w:p>
            <w:pPr>
              <w:spacing w:after="0"/>
            </w:pPr>
            <w:r/>
            <w:r>
              <w:rPr>
                <w:rFonts w:ascii="Consolas" w:hAnsi="Consolas"/>
                <w:sz w:val="15"/>
              </w:rPr>
              <w:t>eval/frozen_registry_13_3_0/HEMOGLYPH_DISEASE_GUIDELINE_REGISTRY.json.br</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r>
        <w:tc>
          <w:tcPr>
            <w:tcW w:type="dxa" w:w="2493"/>
          </w:tcPr>
          <w:p>
            <w:pPr>
              <w:spacing w:after="0"/>
            </w:pPr>
            <w:r/>
            <w:r>
              <w:rPr>
                <w:sz w:val="15"/>
              </w:rPr>
              <w:t>A (development)</w:t>
            </w:r>
          </w:p>
        </w:tc>
        <w:tc>
          <w:tcPr>
            <w:tcW w:type="dxa" w:w="2493"/>
          </w:tcPr>
          <w:p>
            <w:pPr>
              <w:spacing w:after="0"/>
            </w:pPr>
            <w:r/>
            <w:r>
              <w:rPr>
                <w:sz w:val="15"/>
              </w:rPr>
              <w:t>logistic (L2)</w:t>
            </w:r>
          </w:p>
        </w:tc>
        <w:tc>
          <w:tcPr>
            <w:tcW w:type="dxa" w:w="2493"/>
          </w:tcPr>
          <w:p>
            <w:pPr>
              <w:spacing w:after="0"/>
            </w:pPr>
            <w:r/>
            <w:r>
              <w:rPr>
                <w:sz w:val="15"/>
              </w:rPr>
              <w:t>0.773</w:t>
            </w:r>
          </w:p>
        </w:tc>
        <w:tc>
          <w:tcPr>
            <w:tcW w:type="dxa" w:w="2493"/>
          </w:tcPr>
          <w:p>
            <w:pPr>
              <w:spacing w:after="0"/>
            </w:pPr>
            <w:r/>
            <w:r>
              <w:rPr>
                <w:sz w:val="15"/>
              </w:rPr>
              <w:t>0.091</w:t>
            </w:r>
          </w:p>
        </w:tc>
      </w:tr>
      <w:tr>
        <w:tc>
          <w:tcPr>
            <w:tcW w:type="dxa" w:w="2493"/>
          </w:tcPr>
          <w:p>
            <w:pPr>
              <w:spacing w:after="0"/>
            </w:pPr>
            <w:r/>
            <w:r>
              <w:rPr>
                <w:sz w:val="15"/>
              </w:rPr>
              <w:t>A (development)</w:t>
            </w:r>
          </w:p>
        </w:tc>
        <w:tc>
          <w:tcPr>
            <w:tcW w:type="dxa" w:w="2493"/>
          </w:tcPr>
          <w:p>
            <w:pPr>
              <w:spacing w:after="0"/>
            </w:pPr>
            <w:r/>
            <w:r>
              <w:rPr>
                <w:sz w:val="15"/>
              </w:rPr>
              <w:t>gradient boosting</w:t>
            </w:r>
          </w:p>
        </w:tc>
        <w:tc>
          <w:tcPr>
            <w:tcW w:type="dxa" w:w="2493"/>
          </w:tcPr>
          <w:p>
            <w:pPr>
              <w:spacing w:after="0"/>
            </w:pPr>
            <w:r/>
            <w:r>
              <w:rPr>
                <w:sz w:val="15"/>
              </w:rPr>
              <w:t>0.934</w:t>
            </w:r>
          </w:p>
        </w:tc>
        <w:tc>
          <w:tcPr>
            <w:tcW w:type="dxa" w:w="2493"/>
          </w:tcPr>
          <w:p>
            <w:pPr>
              <w:spacing w:after="0"/>
            </w:pPr>
            <w:r/>
            <w:r>
              <w:rPr>
                <w:sz w:val="15"/>
              </w:rPr>
              <w:t>0.319</w:t>
            </w:r>
          </w:p>
        </w:tc>
      </w:tr>
      <w:tr>
        <w:tc>
          <w:tcPr>
            <w:tcW w:type="dxa" w:w="2493"/>
          </w:tcPr>
          <w:p>
            <w:pPr>
              <w:spacing w:after="0"/>
            </w:pPr>
            <w:r/>
            <w:r>
              <w:rPr>
                <w:sz w:val="15"/>
              </w:rPr>
              <w:t>B (held out)</w:t>
            </w:r>
          </w:p>
        </w:tc>
        <w:tc>
          <w:tcPr>
            <w:tcW w:type="dxa" w:w="2493"/>
          </w:tcPr>
          <w:p>
            <w:pPr>
              <w:spacing w:after="0"/>
            </w:pPr>
            <w:r/>
            <w:r>
              <w:rPr>
                <w:sz w:val="15"/>
              </w:rPr>
              <w:t>logistic (L2)</w:t>
            </w:r>
          </w:p>
        </w:tc>
        <w:tc>
          <w:tcPr>
            <w:tcW w:type="dxa" w:w="2493"/>
          </w:tcPr>
          <w:p>
            <w:pPr>
              <w:spacing w:after="0"/>
            </w:pPr>
            <w:r/>
            <w:r>
              <w:rPr>
                <w:sz w:val="15"/>
              </w:rPr>
              <w:t>0.717</w:t>
            </w:r>
          </w:p>
        </w:tc>
        <w:tc>
          <w:tcPr>
            <w:tcW w:type="dxa" w:w="2493"/>
          </w:tcPr>
          <w:p>
            <w:pPr>
              <w:spacing w:after="0"/>
            </w:pPr>
            <w:r/>
            <w:r>
              <w:rPr>
                <w:sz w:val="15"/>
              </w:rPr>
              <w:t>0.051</w:t>
            </w:r>
          </w:p>
        </w:tc>
      </w:tr>
      <w:tr>
        <w:tc>
          <w:tcPr>
            <w:tcW w:type="dxa" w:w="2493"/>
          </w:tcPr>
          <w:p>
            <w:pPr>
              <w:spacing w:after="0"/>
            </w:pPr>
            <w:r/>
            <w:r>
              <w:rPr>
                <w:sz w:val="15"/>
              </w:rPr>
              <w:t>B (held out)</w:t>
            </w:r>
          </w:p>
        </w:tc>
        <w:tc>
          <w:tcPr>
            <w:tcW w:type="dxa" w:w="2493"/>
          </w:tcPr>
          <w:p>
            <w:pPr>
              <w:spacing w:after="0"/>
            </w:pPr>
            <w:r/>
            <w:r>
              <w:rPr>
                <w:sz w:val="15"/>
              </w:rPr>
              <w:t>gradient boosting</w:t>
            </w:r>
          </w:p>
        </w:tc>
        <w:tc>
          <w:tcPr>
            <w:tcW w:type="dxa" w:w="2493"/>
          </w:tcPr>
          <w:p>
            <w:pPr>
              <w:spacing w:after="0"/>
            </w:pPr>
            <w:r/>
            <w:r>
              <w:rPr>
                <w:sz w:val="15"/>
              </w:rPr>
              <w:t>0.757</w:t>
            </w:r>
          </w:p>
        </w:tc>
        <w:tc>
          <w:tcPr>
            <w:tcW w:type="dxa" w:w="2493"/>
          </w:tcPr>
          <w:p>
            <w:pPr>
              <w:spacing w:after="0"/>
            </w:pPr>
            <w:r/>
            <w:r>
              <w:rPr>
                <w:sz w:val="15"/>
              </w:rPr>
              <w:t>0.066</w:t>
            </w:r>
          </w:p>
        </w:tc>
      </w:tr>
      <w:tr>
        <w:tc>
          <w:tcPr>
            <w:tcW w:type="dxa" w:w="2493"/>
          </w:tcPr>
          <w:p>
            <w:pPr>
              <w:spacing w:after="0"/>
            </w:pPr>
            <w:r/>
            <w:r>
              <w:rPr>
                <w:sz w:val="15"/>
              </w:rPr>
              <w:t>B2 (held out)</w:t>
            </w:r>
          </w:p>
        </w:tc>
        <w:tc>
          <w:tcPr>
            <w:tcW w:type="dxa" w:w="2493"/>
          </w:tcPr>
          <w:p>
            <w:pPr>
              <w:spacing w:after="0"/>
            </w:pPr>
            <w:r/>
            <w:r>
              <w:rPr>
                <w:sz w:val="15"/>
              </w:rPr>
              <w:t>logistic (L2)</w:t>
            </w:r>
          </w:p>
        </w:tc>
        <w:tc>
          <w:tcPr>
            <w:tcW w:type="dxa" w:w="2493"/>
          </w:tcPr>
          <w:p>
            <w:pPr>
              <w:spacing w:after="0"/>
            </w:pPr>
            <w:r/>
            <w:r>
              <w:rPr>
                <w:sz w:val="15"/>
              </w:rPr>
              <w:t>0.726</w:t>
            </w:r>
          </w:p>
        </w:tc>
        <w:tc>
          <w:tcPr>
            <w:tcW w:type="dxa" w:w="2493"/>
          </w:tcPr>
          <w:p>
            <w:pPr>
              <w:spacing w:after="0"/>
            </w:pPr>
            <w:r/>
            <w:r>
              <w:rPr>
                <w:sz w:val="15"/>
              </w:rPr>
              <w:t>0.052</w:t>
            </w:r>
          </w:p>
        </w:tc>
      </w:tr>
      <w:tr>
        <w:tc>
          <w:tcPr>
            <w:tcW w:type="dxa" w:w="2493"/>
          </w:tcPr>
          <w:p>
            <w:pPr>
              <w:spacing w:after="0"/>
            </w:pPr>
            <w:r/>
            <w:r>
              <w:rPr>
                <w:sz w:val="15"/>
              </w:rPr>
              <w:t>B2 (held out)</w:t>
            </w:r>
          </w:p>
        </w:tc>
        <w:tc>
          <w:tcPr>
            <w:tcW w:type="dxa" w:w="2493"/>
          </w:tcPr>
          <w:p>
            <w:pPr>
              <w:spacing w:after="0"/>
            </w:pPr>
            <w:r/>
            <w:r>
              <w:rPr>
                <w:sz w:val="15"/>
              </w:rPr>
              <w:t>gradient boosting</w:t>
            </w:r>
          </w:p>
        </w:tc>
        <w:tc>
          <w:tcPr>
            <w:tcW w:type="dxa" w:w="2493"/>
          </w:tcPr>
          <w:p>
            <w:pPr>
              <w:spacing w:after="0"/>
            </w:pPr>
            <w:r/>
            <w:r>
              <w:rPr>
                <w:sz w:val="15"/>
              </w:rPr>
              <w:t>0.750</w:t>
            </w:r>
          </w:p>
        </w:tc>
        <w:tc>
          <w:tcPr>
            <w:tcW w:type="dxa" w:w="2493"/>
          </w:tcPr>
          <w:p>
            <w:pPr>
              <w:spacing w:after="0"/>
            </w:pPr>
            <w:r/>
            <w:r>
              <w:rPr>
                <w:sz w:val="15"/>
              </w:rPr>
              <w:t>0.068</w:t>
            </w:r>
          </w:p>
        </w:tc>
      </w:tr>
      <w:tr>
        <w:tc>
          <w:tcPr>
            <w:tcW w:type="dxa" w:w="2493"/>
          </w:tcPr>
          <w:p>
            <w:pPr>
              <w:spacing w:after="0"/>
            </w:pPr>
            <w:r/>
            <w:r>
              <w:rPr>
                <w:sz w:val="15"/>
              </w:rPr>
              <w:t>reference: frozen engine v7 (labs only)</w:t>
            </w:r>
          </w:p>
        </w:tc>
        <w:tc>
          <w:tcPr>
            <w:tcW w:type="dxa" w:w="2493"/>
          </w:tcPr>
          <w:p>
            <w:pPr>
              <w:spacing w:after="0"/>
            </w:pPr>
            <w:r/>
            <w:r>
              <w:rPr>
                <w:sz w:val="15"/>
              </w:rPr>
              <w:t>rules</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1</w:t>
            </w:r>
          </w:p>
        </w:tc>
        <w:tc>
          <w:tcPr>
            <w:tcW w:type="dxa" w:w="2493"/>
          </w:tcPr>
          <w:p>
            <w:pPr>
              <w:spacing w:after="0"/>
            </w:pPr>
            <w:r/>
            <w:r>
              <w:rPr>
                <w:sz w:val="15"/>
              </w:rPr>
              <w:t>Hybrid rule + interpretable ML for sepsis with vitals, time and utility score</w:t>
            </w:r>
          </w:p>
        </w:tc>
        <w:tc>
          <w:tcPr>
            <w:tcW w:type="dxa" w:w="2493"/>
          </w:tcPr>
          <w:p>
            <w:pPr>
              <w:spacing w:after="0"/>
            </w:pPr>
            <w:r/>
            <w:r>
              <w:rPr>
                <w:sz w:val="15"/>
              </w:rPr>
              <w:t>companion model: Table S16</w:t>
            </w:r>
          </w:p>
        </w:tc>
        <w:tc>
          <w:tcPr>
            <w:tcW w:type="dxa" w:w="2493"/>
          </w:tcPr>
          <w:p>
            <w:pPr>
              <w:spacing w:after="0"/>
            </w:pPr>
            <w:r/>
            <w:r>
              <w:rPr>
                <w:sz w:val="15"/>
              </w:rPr>
              <w:t>supported (modest gain)</w:t>
            </w:r>
          </w:p>
        </w:tc>
      </w:tr>
      <w:tr>
        <w:tc>
          <w:tcPr>
            <w:tcW w:type="dxa" w:w="2493"/>
          </w:tcPr>
          <w:p>
            <w:pPr>
              <w:spacing w:after="0"/>
            </w:pPr>
            <w:r/>
            <w:r>
              <w:rPr>
                <w:sz w:val="15"/>
              </w:rPr>
              <w:t>2a</w:t>
            </w:r>
          </w:p>
        </w:tc>
        <w:tc>
          <w:tcPr>
            <w:tcW w:type="dxa" w:w="2493"/>
          </w:tcPr>
          <w:p>
            <w:pPr>
              <w:spacing w:after="0"/>
            </w:pPr>
            <w:r/>
            <w:r>
              <w:rPr>
                <w:sz w:val="15"/>
              </w:rPr>
              <w:t>Evidence-state thresholding / adaptive truncation for precision@5</w:t>
            </w:r>
          </w:p>
        </w:tc>
        <w:tc>
          <w:tcPr>
            <w:tcW w:type="dxa" w:w="2493"/>
          </w:tcPr>
          <w:p>
            <w:pPr>
              <w:spacing w:after="0"/>
            </w:pPr>
            <w:r/>
            <w:r>
              <w:rPr>
                <w:sz w:val="15"/>
              </w:rPr>
              <w:t>precision vs recall on v7 top-5: k = 5 14.2 / 60.8; relative ≥ 0.6 15.3 / 58.8; relative ≥ 0.8 18.1 / 48.9; absolute ≥ 0.6 19.0 / 53.5; absolute ≥ 0.7 23.3 / 43.3; absolute ≥ 0.8 25.7 / 23.4; gap &gt; 0.15 16.7 / 45.4; k = 3 16.5 / 47.9; ceiling under perfect ranking ≈ 21%</w:t>
            </w:r>
          </w:p>
        </w:tc>
        <w:tc>
          <w:tcPr>
            <w:tcW w:type="dxa" w:w="2493"/>
          </w:tcPr>
          <w:p>
            <w:pPr>
              <w:spacing w:after="0"/>
            </w:pPr>
            <w:r/>
            <w:r>
              <w:rPr>
                <w:sz w:val="15"/>
              </w:rPr>
              <w:t>refuted as an accuracy gain</w:t>
            </w:r>
          </w:p>
        </w:tc>
      </w:tr>
      <w:tr>
        <w:tc>
          <w:tcPr>
            <w:tcW w:type="dxa" w:w="2493"/>
          </w:tcPr>
          <w:p>
            <w:pPr>
              <w:spacing w:after="0"/>
            </w:pPr>
            <w:r/>
            <w:r>
              <w:rPr>
                <w:sz w:val="15"/>
              </w:rPr>
              <w:t>2b</w:t>
            </w:r>
          </w:p>
        </w:tc>
        <w:tc>
          <w:tcPr>
            <w:tcW w:type="dxa" w:w="2493"/>
          </w:tcPr>
          <w:p>
            <w:pPr>
              <w:spacing w:after="0"/>
            </w:pPr>
            <w:r/>
            <w:r>
              <w:rPr>
                <w:sz w:val="15"/>
              </w:rPr>
              <w:t>Asymmetric covering-diagnosis suppression (DKA, GI bleed, pancreatitis)</w:t>
            </w:r>
          </w:p>
        </w:tc>
        <w:tc>
          <w:tcPr>
            <w:tcW w:type="dxa" w:w="2493"/>
          </w:tcPr>
          <w:p>
            <w:pPr>
              <w:spacing w:after="0"/>
            </w:pPr>
            <w:r/>
            <w:r>
              <w:rPr>
                <w:sz w:val="15"/>
              </w:rPr>
              <w:t>DKA 107 coded: 68 top-5, 7 at 6–10, 26 absent; absent stays lack HCO₃/anion gap/ketones; entities above DKA when missed: diabetes 23, AKI 22, sepsis 18</w:t>
            </w:r>
          </w:p>
        </w:tc>
        <w:tc>
          <w:tcPr>
            <w:tcW w:type="dxa" w:w="2493"/>
          </w:tcPr>
          <w:p>
            <w:pPr>
              <w:spacing w:after="0"/>
            </w:pPr>
            <w:r/>
            <w:r>
              <w:rPr>
                <w:sz w:val="15"/>
              </w:rPr>
              <w:t>refuted (missing criterion, not suppression)</w:t>
            </w:r>
          </w:p>
        </w:tc>
      </w:tr>
      <w:tr>
        <w:tc>
          <w:tcPr>
            <w:tcW w:type="dxa" w:w="2493"/>
          </w:tcPr>
          <w:p>
            <w:pPr>
              <w:spacing w:after="0"/>
            </w:pPr>
            <w:r/>
            <w:r>
              <w:rPr>
                <w:sz w:val="15"/>
              </w:rPr>
              <w:t>3</w:t>
            </w:r>
          </w:p>
        </w:tc>
        <w:tc>
          <w:tcPr>
            <w:tcW w:type="dxa" w:w="2493"/>
          </w:tcPr>
          <w:p>
            <w:pPr>
              <w:spacing w:after="0"/>
            </w:pPr>
            <w:r/>
            <w:r>
              <w:rPr>
                <w:sz w:val="15"/>
              </w:rPr>
              <w:t>Remove or revive the four 'inert' fusion layers</w:t>
            </w:r>
          </w:p>
        </w:tc>
        <w:tc>
          <w:tcPr>
            <w:tcW w:type="dxa" w:w="2493"/>
          </w:tcPr>
          <w:p>
            <w:pPr>
              <w:spacing w:after="0"/>
            </w:pPr>
            <w:r/>
            <w:r>
              <w:rPr>
                <w:sz w:val="15"/>
              </w:rPr>
              <w:t>ablation Δ flat@5: Bayesian −1.3, fuzzy +0.3, graph +0.1, risk 0.0; fuzzy/risk carry perturbation robustness and the documented risk models</w:t>
            </w:r>
          </w:p>
        </w:tc>
        <w:tc>
          <w:tcPr>
            <w:tcW w:type="dxa" w:w="2493"/>
          </w:tcPr>
          <w:p>
            <w:pPr>
              <w:spacing w:after="0"/>
            </w:pPr>
            <w:r/>
            <w:r>
              <w:rPr>
                <w:sz w:val="15"/>
              </w:rPr>
              <w:t>partly</w:t>
            </w:r>
          </w:p>
        </w:tc>
      </w:tr>
      <w:tr>
        <w:tc>
          <w:tcPr>
            <w:tcW w:type="dxa" w:w="2493"/>
          </w:tcPr>
          <w:p>
            <w:pPr>
              <w:spacing w:after="0"/>
            </w:pPr>
            <w:r/>
            <w:r>
              <w:rPr>
                <w:sz w:val="15"/>
              </w:rPr>
              <w:t>4</w:t>
            </w:r>
          </w:p>
        </w:tc>
        <w:tc>
          <w:tcPr>
            <w:tcW w:type="dxa" w:w="2493"/>
          </w:tcPr>
          <w:p>
            <w:pPr>
              <w:spacing w:after="0"/>
            </w:pPr>
            <w:r/>
            <w:r>
              <w:rPr>
                <w:sz w:val="15"/>
              </w:rPr>
              <w:t>'Probable' tiers for CKD, leukocytosis, diabetes</w:t>
            </w:r>
          </w:p>
        </w:tc>
        <w:tc>
          <w:tcPr>
            <w:tcW w:type="dxa" w:w="2493"/>
          </w:tcPr>
          <w:p>
            <w:pPr>
              <w:spacing w:after="0"/>
            </w:pPr>
            <w:r/>
            <w:r>
              <w:rPr>
                <w:sz w:val="15"/>
              </w:rPr>
              <w:t xml:space="preserve">CKD surfaces as </w:t>
            </w:r>
            <w:r>
              <w:rPr>
                <w:rFonts w:ascii="Consolas" w:hAnsi="Consolas"/>
                <w:sz w:val="15"/>
              </w:rPr>
              <w:t>reduced_gfr_chronicity_undetermined</w:t>
            </w:r>
            <w:r>
              <w:rPr>
                <w:sz w:val="15"/>
              </w:rPr>
              <w:t xml:space="preserve"> (renal union 255 vs 250); leukocytosis correctly nested under sepsis; diabetes absent stays lack HbA1c with glucose &lt; 200 mg/dL</w:t>
            </w:r>
          </w:p>
        </w:tc>
        <w:tc>
          <w:tcPr>
            <w:tcW w:type="dxa" w:w="2493"/>
          </w:tcPr>
          <w:p>
            <w:pPr>
              <w:spacing w:after="0"/>
            </w:pPr>
            <w:r/>
            <w:r>
              <w:rPr>
                <w:sz w:val="15"/>
              </w:rPr>
              <w:t>refuted (would create false positives)</w:t>
            </w:r>
          </w:p>
        </w:tc>
      </w:tr>
      <w:tr>
        <w:tc>
          <w:tcPr>
            <w:tcW w:type="dxa" w:w="2493"/>
          </w:tcPr>
          <w:p>
            <w:pPr>
              <w:spacing w:after="0"/>
            </w:pPr>
            <w:r/>
            <w:r>
              <w:rPr>
                <w:sz w:val="15"/>
              </w:rPr>
              <w:t>5</w:t>
            </w:r>
          </w:p>
        </w:tc>
        <w:tc>
          <w:tcPr>
            <w:tcW w:type="dxa" w:w="2493"/>
          </w:tcPr>
          <w:p>
            <w:pPr>
              <w:spacing w:after="0"/>
            </w:pPr>
            <w:r/>
            <w:r>
              <w:rPr>
                <w:sz w:val="15"/>
              </w:rPr>
              <w:t xml:space="preserve">Prune registry, drop 28 </w:t>
            </w:r>
            <w:r>
              <w:rPr>
                <w:rFonts w:ascii="Consolas" w:hAnsi="Consolas"/>
                <w:sz w:val="15"/>
              </w:rPr>
              <w:t>unverified_source</w:t>
            </w:r>
            <w:r>
              <w:rPr>
                <w:sz w:val="15"/>
              </w:rPr>
              <w:t xml:space="preserve"> rules, remove 388 unused sources</w:t>
            </w:r>
          </w:p>
        </w:tc>
        <w:tc>
          <w:tcPr>
            <w:tcW w:type="dxa" w:w="2493"/>
          </w:tcPr>
          <w:p>
            <w:pPr>
              <w:spacing w:after="0"/>
            </w:pPr>
            <w:r/>
            <w:r>
              <w:rPr>
                <w:sz w:val="15"/>
              </w:rPr>
              <w:t>the 28 rules are correct toxicology/transfusion/endocrine thresholds; ablation 0.0 only because eICU has no such cases</w:t>
            </w:r>
          </w:p>
        </w:tc>
        <w:tc>
          <w:tcPr>
            <w:tcW w:type="dxa" w:w="2493"/>
          </w:tcPr>
          <w:p>
            <w:pPr>
              <w:spacing w:after="0"/>
            </w:pPr>
            <w:r/>
            <w:r>
              <w:rPr>
                <w:sz w:val="15"/>
              </w:rPr>
              <w:t>partly</w:t>
            </w:r>
          </w:p>
        </w:tc>
      </w:tr>
      <w:tr>
        <w:tc>
          <w:tcPr>
            <w:tcW w:type="dxa" w:w="2493"/>
          </w:tcPr>
          <w:p>
            <w:pPr>
              <w:spacing w:after="0"/>
            </w:pPr>
            <w:r/>
            <w:r>
              <w:rPr>
                <w:sz w:val="15"/>
              </w:rPr>
              <w:t>6</w:t>
            </w:r>
          </w:p>
        </w:tc>
        <w:tc>
          <w:tcPr>
            <w:tcW w:type="dxa" w:w="2493"/>
          </w:tcPr>
          <w:p>
            <w:pPr>
              <w:spacing w:after="0"/>
            </w:pPr>
            <w:r/>
            <w:r>
              <w:rPr>
                <w:sz w:val="15"/>
              </w:rPr>
              <w:t>Audit and expand the syndrome layer</w:t>
            </w:r>
          </w:p>
        </w:tc>
        <w:tc>
          <w:tcPr>
            <w:tcW w:type="dxa" w:w="2493"/>
          </w:tcPr>
          <w:p>
            <w:pPr>
              <w:spacing w:after="0"/>
            </w:pPr>
            <w:r/>
            <w:r>
              <w:rPr>
                <w:sz w:val="15"/>
              </w:rPr>
              <w:t>no matched evaluation set for new syndromes</w:t>
            </w:r>
          </w:p>
        </w:tc>
        <w:tc>
          <w:tcPr>
            <w:tcW w:type="dxa" w:w="2493"/>
          </w:tcPr>
          <w:p>
            <w:pPr>
              <w:spacing w:after="0"/>
            </w:pPr>
            <w:r/>
            <w:r>
              <w:rPr>
                <w:sz w:val="15"/>
              </w:rPr>
              <w:t>deferred</w:t>
            </w:r>
          </w:p>
        </w:tc>
      </w:tr>
      <w:tr>
        <w:tc>
          <w:tcPr>
            <w:tcW w:type="dxa" w:w="2493"/>
          </w:tcPr>
          <w:p>
            <w:pPr>
              <w:spacing w:after="0"/>
            </w:pPr>
            <w:r/>
            <w:r>
              <w:rPr>
                <w:sz w:val="15"/>
              </w:rPr>
              <w:t>7</w:t>
            </w:r>
          </w:p>
        </w:tc>
        <w:tc>
          <w:tcPr>
            <w:tcW w:type="dxa" w:w="2493"/>
          </w:tcPr>
          <w:p>
            <w:pPr>
              <w:spacing w:after="0"/>
            </w:pPr>
            <w:r/>
            <w:r>
              <w:rPr>
                <w:sz w:val="15"/>
              </w:rPr>
              <w:t>Medication/history context as risk and trend rules</w:t>
            </w:r>
          </w:p>
        </w:tc>
        <w:tc>
          <w:tcPr>
            <w:tcW w:type="dxa" w:w="2493"/>
          </w:tcPr>
          <w:p>
            <w:pPr>
              <w:spacing w:after="0"/>
            </w:pPr>
            <w:r/>
            <w:r>
              <w:rPr>
                <w:sz w:val="15"/>
              </w:rPr>
              <w:t xml:space="preserve">context predicates and </w:t>
            </w:r>
            <w:r>
              <w:rPr>
                <w:rFonts w:ascii="Consolas" w:hAnsi="Consolas"/>
                <w:sz w:val="15"/>
              </w:rPr>
              <w:t>documented_history</w:t>
            </w:r>
            <w:r>
              <w:rPr>
                <w:sz w:val="15"/>
              </w:rPr>
              <w:t xml:space="preserve"> tier already present; not measurable on labs-only eICU</w:t>
            </w:r>
          </w:p>
        </w:tc>
        <w:tc>
          <w:tcPr>
            <w:tcW w:type="dxa" w:w="2493"/>
          </w:tcPr>
          <w:p>
            <w:pPr>
              <w:spacing w:after="0"/>
            </w:pPr>
            <w:r/>
            <w:r>
              <w:rPr>
                <w:sz w:val="15"/>
              </w:rPr>
              <w:t>already present</w:t>
            </w:r>
          </w:p>
        </w:tc>
      </w:tr>
      <w:tr>
        <w:tc>
          <w:tcPr>
            <w:tcW w:type="dxa" w:w="2493"/>
          </w:tcPr>
          <w:p>
            <w:pPr>
              <w:spacing w:after="0"/>
            </w:pPr>
            <w:r/>
            <w:r>
              <w:rPr>
                <w:sz w:val="15"/>
              </w:rPr>
              <w:t>8</w:t>
            </w:r>
          </w:p>
        </w:tc>
        <w:tc>
          <w:tcPr>
            <w:tcW w:type="dxa" w:w="2493"/>
          </w:tcPr>
          <w:p>
            <w:pPr>
              <w:spacing w:after="0"/>
            </w:pPr>
            <w:r/>
            <w:r>
              <w:rPr>
                <w:sz w:val="15"/>
              </w:rPr>
              <w:t>Derived indices (NLR, PLR, MELD, Child-Pugh, CURB-65, HAS-BLED, CHA₂DS₂-VASc, APRI, BARD, corrected Ca, osmolal gap, delta-delta)</w:t>
            </w:r>
          </w:p>
        </w:tc>
        <w:tc>
          <w:tcPr>
            <w:tcW w:type="dxa" w:w="2493"/>
          </w:tcPr>
          <w:p>
            <w:pPr>
              <w:spacing w:after="0"/>
            </w:pPr>
            <w:r/>
            <w:r>
              <w:rPr>
                <w:sz w:val="15"/>
              </w:rPr>
              <w:t>present: corrected Ca, NLR, delta ratio, osmolal gap, effective osmolality, glucose-corrected Na, FIB-4, APRI, HOMA; scores needing clinical inputs excluded</w:t>
            </w:r>
          </w:p>
        </w:tc>
        <w:tc>
          <w:tcPr>
            <w:tcW w:type="dxa" w:w="2493"/>
          </w:tcPr>
          <w:p>
            <w:pPr>
              <w:spacing w:after="0"/>
            </w:pPr>
            <w:r/>
            <w:r>
              <w:rPr>
                <w:sz w:val="15"/>
              </w:rPr>
              <w:t>partly</w:t>
            </w:r>
          </w:p>
        </w:tc>
      </w:tr>
      <w:tr>
        <w:tc>
          <w:tcPr>
            <w:tcW w:type="dxa" w:w="2493"/>
          </w:tcPr>
          <w:p>
            <w:pPr>
              <w:spacing w:after="0"/>
            </w:pPr>
            <w:r/>
            <w:r>
              <w:rPr>
                <w:sz w:val="15"/>
              </w:rPr>
              <w:t>9</w:t>
            </w:r>
          </w:p>
        </w:tc>
        <w:tc>
          <w:tcPr>
            <w:tcW w:type="dxa" w:w="2493"/>
          </w:tcPr>
          <w:p>
            <w:pPr>
              <w:spacing w:after="0"/>
            </w:pPr>
            <w:r/>
            <w:r>
              <w:rPr>
                <w:sz w:val="15"/>
              </w:rPr>
              <w:t>Post-hoc calibration map with disclosure</w:t>
            </w:r>
          </w:p>
        </w:tc>
        <w:tc>
          <w:tcPr>
            <w:tcW w:type="dxa" w:w="2493"/>
          </w:tcPr>
          <w:p>
            <w:pPr>
              <w:spacing w:after="0"/>
            </w:pPr>
            <w:r/>
            <w:r>
              <w:rPr>
                <w:sz w:val="15"/>
              </w:rPr>
              <w:t>already in v7 (ECE 0.162 → 0.003; Fig. 8, Table S10)</w:t>
            </w:r>
          </w:p>
        </w:tc>
        <w:tc>
          <w:tcPr>
            <w:tcW w:type="dxa" w:w="2493"/>
          </w:tcPr>
          <w:p>
            <w:pPr>
              <w:spacing w:after="0"/>
            </w:pPr>
            <w:r/>
            <w:r>
              <w:rPr>
                <w:sz w:val="15"/>
              </w:rPr>
              <w:t>already present</w:t>
            </w:r>
          </w:p>
        </w:tc>
      </w:tr>
      <w:tr>
        <w:tc>
          <w:tcPr>
            <w:tcW w:type="dxa" w:w="2493"/>
          </w:tcPr>
          <w:p>
            <w:pPr>
              <w:spacing w:after="0"/>
            </w:pPr>
            <w:r/>
            <w:r>
              <w:rPr>
                <w:sz w:val="15"/>
              </w:rPr>
              <w:t>10</w:t>
            </w:r>
          </w:p>
        </w:tc>
        <w:tc>
          <w:tcPr>
            <w:tcW w:type="dxa" w:w="2493"/>
          </w:tcPr>
          <w:p>
            <w:pPr>
              <w:spacing w:after="0"/>
            </w:pPr>
            <w:r/>
            <w:r>
              <w:rPr>
                <w:sz w:val="15"/>
              </w:rPr>
              <w:t>Thyroid and liver rules</w:t>
            </w:r>
          </w:p>
        </w:tc>
        <w:tc>
          <w:tcPr>
            <w:tcW w:type="dxa" w:w="2493"/>
          </w:tcPr>
          <w:p>
            <w:pPr>
              <w:spacing w:after="0"/>
            </w:pPr>
            <w:r/>
            <w:r>
              <w:rPr>
                <w:sz w:val="15"/>
              </w:rPr>
              <w:t>thyroid AUROC 0.979 (TSH) / 0.798 (self-report); HCV 0.925; ILPD 0.704 (label noise)</w:t>
            </w:r>
          </w:p>
        </w:tc>
        <w:tc>
          <w:tcPr>
            <w:tcW w:type="dxa" w:w="2493"/>
          </w:tcPr>
          <w:p>
            <w:pPr>
              <w:spacing w:after="0"/>
            </w:pPr>
            <w:r/>
            <w:r>
              <w:rPr>
                <w:sz w:val="15"/>
              </w:rPr>
              <w:t>no action supported</w:t>
            </w:r>
          </w:p>
        </w:tc>
      </w:tr>
      <w:tr>
        <w:tc>
          <w:tcPr>
            <w:tcW w:type="dxa" w:w="2493"/>
          </w:tcPr>
          <w:p>
            <w:pPr>
              <w:spacing w:after="0"/>
            </w:pPr>
            <w:r/>
            <w:r>
              <w:rPr>
                <w:sz w:val="15"/>
              </w:rPr>
              <w:t>11</w:t>
            </w:r>
          </w:p>
        </w:tc>
        <w:tc>
          <w:tcPr>
            <w:tcW w:type="dxa" w:w="2493"/>
          </w:tcPr>
          <w:p>
            <w:pPr>
              <w:spacing w:after="0"/>
            </w:pPr>
            <w:r/>
            <w:r>
              <w:rPr>
                <w:sz w:val="15"/>
              </w:rPr>
              <w:t>Fuzzy thresholds for perturbation</w:t>
            </w:r>
          </w:p>
        </w:tc>
        <w:tc>
          <w:tcPr>
            <w:tcW w:type="dxa" w:w="2493"/>
          </w:tcPr>
          <w:p>
            <w:pPr>
              <w:spacing w:after="0"/>
            </w:pPr>
            <w:r/>
            <w:r>
              <w:rPr>
                <w:sz w:val="15"/>
              </w:rPr>
              <w:t>fuzzy layer active; 753/755 by design</w:t>
            </w:r>
          </w:p>
        </w:tc>
        <w:tc>
          <w:tcPr>
            <w:tcW w:type="dxa" w:w="2493"/>
          </w:tcPr>
          <w:p>
            <w:pPr>
              <w:spacing w:after="0"/>
            </w:pPr>
            <w:r/>
            <w:r>
              <w:rPr>
                <w:sz w:val="15"/>
              </w:rPr>
              <w:t>already present</w:t>
            </w:r>
          </w:p>
        </w:tc>
      </w:tr>
      <w:tr>
        <w:tc>
          <w:tcPr>
            <w:tcW w:type="dxa" w:w="2493"/>
          </w:tcPr>
          <w:p>
            <w:pPr>
              <w:spacing w:after="0"/>
            </w:pPr>
            <w:r/>
            <w:r>
              <w:rPr>
                <w:sz w:val="15"/>
              </w:rPr>
              <w:t>12</w:t>
            </w:r>
          </w:p>
        </w:tc>
        <w:tc>
          <w:tcPr>
            <w:tcW w:type="dxa" w:w="2493"/>
          </w:tcPr>
          <w:p>
            <w:pPr>
              <w:spacing w:after="0"/>
            </w:pPr>
            <w:r/>
            <w:r>
              <w:rPr>
                <w:sz w:val="15"/>
              </w:rPr>
              <w:t>LLM extraction front end; path A/B/C on 'untrained'</w:t>
            </w:r>
          </w:p>
        </w:tc>
        <w:tc>
          <w:tcPr>
            <w:tcW w:type="dxa" w:w="2493"/>
          </w:tcPr>
          <w:p>
            <w:pPr>
              <w:spacing w:after="0"/>
            </w:pPr>
            <w:r/>
            <w:r>
              <w:rPr>
                <w:sz w:val="15"/>
              </w:rPr>
              <w:t>path C: engine stays untrained; supervised components only as labelled companions</w:t>
            </w:r>
          </w:p>
        </w:tc>
        <w:tc>
          <w:tcPr>
            <w:tcW w:type="dxa" w:w="2493"/>
          </w:tcPr>
          <w:p>
            <w:pPr>
              <w:spacing w:after="0"/>
            </w:pPr>
            <w:r/>
            <w:r>
              <w:rPr>
                <w:sz w:val="15"/>
              </w:rPr>
              <w:t>decided</w:t>
            </w:r>
          </w:p>
        </w:tc>
      </w:tr>
    </w:tbl>
    <w:p/>
    <w:p>
      <w:r>
        <w:t xml:space="preserve">(analyte, operator/threshold, population qualifier, disease attribution)? It does </w:t>
      </w:r>
      <w:r>
        <w:rPr>
          <w:b/>
        </w:rPr>
        <w:t>not</w:t>
      </w:r>
      <w:r>
        <w:t xml:space="preserve"> assess clinical validity: a rule</w:t>
      </w:r>
    </w:p>
    <w:p>
      <w:r>
        <w:t>can be transcribed perfectly and still be clinically wrong, and no clinician took part. The protocol was frozen before</w:t>
      </w:r>
    </w:p>
    <w:p>
      <w:r>
        <w:t>sampling (</w:t>
      </w:r>
      <w:r>
        <w:rPr>
          <w:rFonts w:ascii="Consolas" w:hAnsi="Consolas"/>
        </w:rPr>
        <w:t>eval/source_audit/PROTOCOL.md</w:t>
      </w:r>
      <w:r>
        <w:t xml:space="preserve">). </w:t>
      </w:r>
      <w:r>
        <w:rPr>
          <w:b/>
        </w:rPr>
        <w:t>Sampling.</w:t>
      </w:r>
      <w:r>
        <w:t xml:space="preserve"> Seed 20261026; 100 of the 272 curated anchor rules (stratum A); 100 executable candidates (stratum B), split</w:t>
      </w:r>
    </w:p>
    <w:p>
      <w:r>
        <w:t>50/50 between B1 "eICU-relevant" (feature present in &gt;= 50 % of eICU first panels and disease in an evaluated label group;</w:t>
      </w:r>
    </w:p>
    <w:p>
      <w:r>
        <w:t xml:space="preserve">141 eligible) and B2 uniform from the remaining 32,760 candidates. Registry 14.1.0 (frozen v7). </w:t>
      </w:r>
      <w:r>
        <w:rPr>
          <w:b/>
        </w:rPr>
        <w:t>Source retrieval.</w:t>
      </w:r>
      <w:r>
        <w:t xml:space="preserve"> The 200 rules cite 92 unique locators. From the audit sandbox, 43 returned HTTP 403 (publisher</w:t>
      </w:r>
    </w:p>
    <w:p>
      <w:r>
        <w:t>paywalls: Wiley, OUP, Lippincott, Endocrine Society, AHA, ADA), 7 returned 404/406 (including the WHO essential</w:t>
      </w:r>
    </w:p>
    <w:p>
      <w:r>
        <w:t>diagnostics list URL cited by 13 rules and both kdigo.org guideline pages, whose PDFs were then retrieved directly), and 42</w:t>
      </w:r>
    </w:p>
    <w:p>
      <w:r>
        <w:t>returned a page; for paywalled DOIs the Crossref title and PubMed abstract were obtained instead. Net: 12 rules had no</w:t>
      </w:r>
    </w:p>
    <w:p>
      <w:r>
        <w:t>retrievable text at all, 55 only a title/abstract, 46 cite only generic methodological sources (WHO essential diagnostics</w:t>
      </w:r>
    </w:p>
    <w:p>
      <w:r>
        <w:t>list, CLSI EP28, CLSI C59) that cannot by construction contain a disease-specific threshold, and 71 a landing page or a</w:t>
      </w:r>
    </w:p>
    <w:p>
      <w:r>
        <w:t xml:space="preserve">full text in which the specific statement was looked for. </w:t>
      </w:r>
      <w:r>
        <w:rPr>
          <w:b/>
        </w:rPr>
        <w:t>Labels (single rater: AI agent, declared; see Addendum).</w:t>
      </w:r>
      <w:r>
        <w:t xml:space="preserve"> Tie-break: when in doubt,</w:t>
      </w:r>
    </w:p>
    <w:p>
      <w:r>
        <w:t>UNRESOLVABLE, never CONCORDANT. A rule was called DISCORDANT only when a reachable source was clearly about a different</w:t>
      </w:r>
    </w:p>
    <w:p>
      <w:r>
        <w:t>disease (attribution error) or when a retrieved full text was on-topic and demonstrably did not contain the rule's</w:t>
      </w:r>
    </w:p>
    <w:p>
      <w:r>
        <w:t>threshold or definition. | Stratum | n | Concordant | Discordant | Unresolvable | Discordant / resolvable (Wilson 95 % CI) | Discordant / all (95 % CI) | Unresolvable / all (95 % CI) |</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r>
      <w:tr>
        <w:tc>
          <w:tcPr>
            <w:tcW w:type="dxa" w:w="1246"/>
          </w:tcPr>
          <w:p>
            <w:pPr>
              <w:spacing w:after="0"/>
            </w:pPr>
            <w:r/>
            <w:r>
              <w:rPr>
                <w:sz w:val="15"/>
              </w:rPr>
              <w:t>A anchors</w:t>
            </w:r>
          </w:p>
        </w:tc>
        <w:tc>
          <w:tcPr>
            <w:tcW w:type="dxa" w:w="1246"/>
          </w:tcPr>
          <w:p>
            <w:pPr>
              <w:spacing w:after="0"/>
            </w:pPr>
            <w:r/>
            <w:r>
              <w:rPr>
                <w:sz w:val="15"/>
              </w:rPr>
              <w:t>100</w:t>
            </w:r>
          </w:p>
        </w:tc>
        <w:tc>
          <w:tcPr>
            <w:tcW w:type="dxa" w:w="1246"/>
          </w:tcPr>
          <w:p>
            <w:pPr>
              <w:spacing w:after="0"/>
            </w:pPr>
            <w:r/>
            <w:r>
              <w:rPr>
                <w:sz w:val="15"/>
              </w:rPr>
              <w:t>1</w:t>
            </w:r>
          </w:p>
        </w:tc>
        <w:tc>
          <w:tcPr>
            <w:tcW w:type="dxa" w:w="1246"/>
          </w:tcPr>
          <w:p>
            <w:pPr>
              <w:spacing w:after="0"/>
            </w:pPr>
            <w:r/>
            <w:r>
              <w:rPr>
                <w:sz w:val="15"/>
              </w:rPr>
              <w:t>7</w:t>
            </w:r>
          </w:p>
        </w:tc>
        <w:tc>
          <w:tcPr>
            <w:tcW w:type="dxa" w:w="1246"/>
          </w:tcPr>
          <w:p>
            <w:pPr>
              <w:spacing w:after="0"/>
            </w:pPr>
            <w:r/>
            <w:r>
              <w:rPr>
                <w:sz w:val="15"/>
              </w:rPr>
              <w:t>92</w:t>
            </w:r>
          </w:p>
        </w:tc>
        <w:tc>
          <w:tcPr>
            <w:tcW w:type="dxa" w:w="1246"/>
          </w:tcPr>
          <w:p>
            <w:pPr>
              <w:spacing w:after="0"/>
            </w:pPr>
            <w:r/>
            <w:r>
              <w:rPr>
                <w:sz w:val="15"/>
              </w:rPr>
              <w:t>7/8 = 87.5 % (52.9–97.8)</w:t>
            </w:r>
          </w:p>
        </w:tc>
        <w:tc>
          <w:tcPr>
            <w:tcW w:type="dxa" w:w="1246"/>
          </w:tcPr>
          <w:p>
            <w:pPr>
              <w:spacing w:after="0"/>
            </w:pPr>
            <w:r/>
            <w:r>
              <w:rPr>
                <w:sz w:val="15"/>
              </w:rPr>
              <w:t>7.0 % (3.4–13.7)</w:t>
            </w:r>
          </w:p>
        </w:tc>
        <w:tc>
          <w:tcPr>
            <w:tcW w:type="dxa" w:w="1246"/>
          </w:tcPr>
          <w:p>
            <w:pPr>
              <w:spacing w:after="0"/>
            </w:pPr>
            <w:r/>
            <w:r>
              <w:rPr>
                <w:sz w:val="15"/>
              </w:rPr>
              <w:t>92.0 % (85.0–95.9)</w:t>
            </w:r>
          </w:p>
        </w:tc>
      </w:tr>
      <w:tr>
        <w:tc>
          <w:tcPr>
            <w:tcW w:type="dxa" w:w="1246"/>
          </w:tcPr>
          <w:p>
            <w:pPr>
              <w:spacing w:after="0"/>
            </w:pPr>
            <w:r/>
            <w:r>
              <w:rPr>
                <w:sz w:val="15"/>
              </w:rPr>
              <w:t>B1 eICU-relevant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7</w:t>
            </w:r>
          </w:p>
        </w:tc>
        <w:tc>
          <w:tcPr>
            <w:tcW w:type="dxa" w:w="1246"/>
          </w:tcPr>
          <w:p>
            <w:pPr>
              <w:spacing w:after="0"/>
            </w:pPr>
            <w:r/>
            <w:r>
              <w:rPr>
                <w:sz w:val="15"/>
              </w:rPr>
              <w:t>43</w:t>
            </w:r>
          </w:p>
        </w:tc>
        <w:tc>
          <w:tcPr>
            <w:tcW w:type="dxa" w:w="1246"/>
          </w:tcPr>
          <w:p>
            <w:pPr>
              <w:spacing w:after="0"/>
            </w:pPr>
            <w:r/>
            <w:r>
              <w:rPr>
                <w:sz w:val="15"/>
              </w:rPr>
              <w:t>7/7 = 100 % (64.6–100)</w:t>
            </w:r>
          </w:p>
        </w:tc>
        <w:tc>
          <w:tcPr>
            <w:tcW w:type="dxa" w:w="1246"/>
          </w:tcPr>
          <w:p>
            <w:pPr>
              <w:spacing w:after="0"/>
            </w:pPr>
            <w:r/>
            <w:r>
              <w:rPr>
                <w:sz w:val="15"/>
              </w:rPr>
              <w:t>14.0 % (7.0–26.2)</w:t>
            </w:r>
          </w:p>
        </w:tc>
        <w:tc>
          <w:tcPr>
            <w:tcW w:type="dxa" w:w="1246"/>
          </w:tcPr>
          <w:p>
            <w:pPr>
              <w:spacing w:after="0"/>
            </w:pPr>
            <w:r/>
            <w:r>
              <w:rPr>
                <w:sz w:val="15"/>
              </w:rPr>
              <w:t>86.0 % (73.8–93.0)</w:t>
            </w:r>
          </w:p>
        </w:tc>
      </w:tr>
      <w:tr>
        <w:tc>
          <w:tcPr>
            <w:tcW w:type="dxa" w:w="1246"/>
          </w:tcPr>
          <w:p>
            <w:pPr>
              <w:spacing w:after="0"/>
            </w:pPr>
            <w:r/>
            <w:r>
              <w:rPr>
                <w:sz w:val="15"/>
              </w:rPr>
              <w:t>B2 other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1</w:t>
            </w:r>
          </w:p>
        </w:tc>
        <w:tc>
          <w:tcPr>
            <w:tcW w:type="dxa" w:w="1246"/>
          </w:tcPr>
          <w:p>
            <w:pPr>
              <w:spacing w:after="0"/>
            </w:pPr>
            <w:r/>
            <w:r>
              <w:rPr>
                <w:sz w:val="15"/>
              </w:rPr>
              <w:t>49</w:t>
            </w:r>
          </w:p>
        </w:tc>
        <w:tc>
          <w:tcPr>
            <w:tcW w:type="dxa" w:w="1246"/>
          </w:tcPr>
          <w:p>
            <w:pPr>
              <w:spacing w:after="0"/>
            </w:pPr>
            <w:r/>
            <w:r>
              <w:rPr>
                <w:sz w:val="15"/>
              </w:rPr>
              <w:t>1/1 (20.7–100)</w:t>
            </w:r>
          </w:p>
        </w:tc>
        <w:tc>
          <w:tcPr>
            <w:tcW w:type="dxa" w:w="1246"/>
          </w:tcPr>
          <w:p>
            <w:pPr>
              <w:spacing w:after="0"/>
            </w:pPr>
            <w:r/>
            <w:r>
              <w:rPr>
                <w:sz w:val="15"/>
              </w:rPr>
              <w:t>2.0 % (0.4–10.5)</w:t>
            </w:r>
          </w:p>
        </w:tc>
        <w:tc>
          <w:tcPr>
            <w:tcW w:type="dxa" w:w="1246"/>
          </w:tcPr>
          <w:p>
            <w:pPr>
              <w:spacing w:after="0"/>
            </w:pPr>
            <w:r/>
            <w:r>
              <w:rPr>
                <w:sz w:val="15"/>
              </w:rPr>
              <w:t>98.0 % (89.5–99.6)</w:t>
            </w:r>
          </w:p>
        </w:tc>
      </w:tr>
      <w:tr>
        <w:tc>
          <w:tcPr>
            <w:tcW w:type="dxa" w:w="1246"/>
          </w:tcPr>
          <w:p>
            <w:pPr>
              <w:spacing w:after="0"/>
            </w:pPr>
            <w:r/>
            <w:r>
              <w:rPr>
                <w:sz w:val="15"/>
              </w:rPr>
              <w:t>All</w:t>
            </w:r>
          </w:p>
        </w:tc>
        <w:tc>
          <w:tcPr>
            <w:tcW w:type="dxa" w:w="1246"/>
          </w:tcPr>
          <w:p>
            <w:pPr>
              <w:spacing w:after="0"/>
            </w:pPr>
            <w:r/>
            <w:r>
              <w:rPr>
                <w:sz w:val="15"/>
              </w:rPr>
              <w:t>200</w:t>
            </w:r>
          </w:p>
        </w:tc>
        <w:tc>
          <w:tcPr>
            <w:tcW w:type="dxa" w:w="1246"/>
          </w:tcPr>
          <w:p>
            <w:pPr>
              <w:spacing w:after="0"/>
            </w:pPr>
            <w:r/>
            <w:r>
              <w:rPr>
                <w:sz w:val="15"/>
              </w:rPr>
              <w:t>1</w:t>
            </w:r>
          </w:p>
        </w:tc>
        <w:tc>
          <w:tcPr>
            <w:tcW w:type="dxa" w:w="1246"/>
          </w:tcPr>
          <w:p>
            <w:pPr>
              <w:spacing w:after="0"/>
            </w:pPr>
            <w:r/>
            <w:r>
              <w:rPr>
                <w:sz w:val="15"/>
              </w:rPr>
              <w:t>15</w:t>
            </w:r>
          </w:p>
        </w:tc>
        <w:tc>
          <w:tcPr>
            <w:tcW w:type="dxa" w:w="1246"/>
          </w:tcPr>
          <w:p>
            <w:pPr>
              <w:spacing w:after="0"/>
            </w:pPr>
            <w:r/>
            <w:r>
              <w:rPr>
                <w:sz w:val="15"/>
              </w:rPr>
              <w:t>184</w:t>
            </w:r>
          </w:p>
        </w:tc>
        <w:tc>
          <w:tcPr>
            <w:tcW w:type="dxa" w:w="1246"/>
          </w:tcPr>
          <w:p>
            <w:pPr>
              <w:spacing w:after="0"/>
            </w:pPr>
            <w:r/>
            <w:r>
              <w:rPr>
                <w:sz w:val="15"/>
              </w:rPr>
              <w:t>15/16 = 93.8 % (71.7–98.9)</w:t>
            </w:r>
          </w:p>
        </w:tc>
        <w:tc>
          <w:tcPr>
            <w:tcW w:type="dxa" w:w="1246"/>
          </w:tcPr>
          <w:p>
            <w:pPr>
              <w:spacing w:after="0"/>
            </w:pPr>
            <w:r/>
            <w:r>
              <w:rPr>
                <w:sz w:val="15"/>
              </w:rPr>
              <w:t>7.5 % (4.6–12.0)</w:t>
            </w:r>
          </w:p>
        </w:tc>
        <w:tc>
          <w:tcPr>
            <w:tcW w:type="dxa" w:w="1246"/>
          </w:tcPr>
          <w:p>
            <w:pPr>
              <w:spacing w:after="0"/>
            </w:pPr>
            <w:r/>
            <w:r>
              <w:rPr>
                <w:sz w:val="15"/>
              </w:rPr>
              <w:t>92.0 % (87.4–95.1)</w:t>
            </w:r>
          </w:p>
        </w:tc>
      </w:tr>
    </w:tbl>
    <w:p/>
    <w:p>
      <w:r>
        <w:t xml:space="preserve">source </w:t>
      </w:r>
      <w:r>
        <w:rPr>
          <w:i/>
        </w:rPr>
        <w:t>title</w:t>
      </w:r>
      <w:r>
        <w:t xml:space="preserve">, whereas confirming concordance needs the </w:t>
      </w:r>
      <w:r>
        <w:rPr>
          <w:i/>
        </w:rPr>
        <w:t>full text</w:t>
      </w:r>
      <w:r>
        <w:t xml:space="preserve"> behind a paywall, so discordant rules are far easier</w:t>
      </w:r>
    </w:p>
    <w:p>
      <w:r>
        <w:t xml:space="preserve">to detect than concordant ones in this environment. The 94 % discordance among resolvable rules is therefore </w:t>
      </w:r>
      <w:r>
        <w:rPr>
          <w:b/>
        </w:rPr>
        <w:t>not</w:t>
      </w:r>
      <w:r>
        <w:t xml:space="preserve"> an</w:t>
      </w:r>
    </w:p>
    <w:p>
      <w:r>
        <w:t>estimate of the registry's discordance rate; the defensible statements are (i) at least 7.5 % (4.6–12.0) of sampled rules</w:t>
      </w:r>
    </w:p>
    <w:p>
      <w:r>
        <w:t>are demonstrably discordant with their cited source, (ii) 92 % could not be verified from the locator the registry</w:t>
      </w:r>
    </w:p>
    <w:p>
      <w:r>
        <w:t>provides, and (iii) the dominant failure is provenance granularity — organisation-level URLs, generic methodological</w:t>
      </w:r>
    </w:p>
    <w:p>
      <w:r>
        <w:t>standards and homepages instead of section-level citations — which makes the registry, as released, **not auditable</w:t>
      </w:r>
    </w:p>
    <w:p>
      <w:r>
        <w:t>rule-by-rule from its own locators*</w:t>
      </w:r>
      <w:r>
        <w:rPr>
          <w:i/>
        </w:rPr>
        <w:t xml:space="preserve">. Seven of the 15 discordances are attribution errors in </w:t>
      </w:r>
      <w:r>
        <w:t>curated anchors* (e.g. a</w:t>
      </w:r>
    </w:p>
    <w:p>
      <w:r>
        <w:t>hypernatraemia rule citing the hyponatraemia guideline; acquired haemophilia A citing the rare-coagulation-disorders</w:t>
      </w:r>
    </w:p>
    <w:p>
      <w:r>
        <w:t>guideline that excludes it); eight are thresholds or definitions absent from an on-topic source, the most consequential</w:t>
      </w:r>
    </w:p>
    <w:p>
      <w:r>
        <w:t>being an AKI "diagnostic criterion" defined by a fixed creatinine &gt; 1.1 mg/dL and attributed to KDIGO 2012, which defines</w:t>
      </w:r>
    </w:p>
    <w:p>
      <w:r>
        <w:t xml:space="preserve">AKI only by change from baseline (this candidate rule is one of the B1 rules most likely to have fired in eICU). </w:t>
      </w:r>
      <w:r>
        <w:rPr>
          <w:b/>
        </w:rPr>
        <w:t>Discordant rules (all 15, verbatim).</w:t>
      </w:r>
      <w:r>
        <w:t xml:space="preserve"> | rule_id | stratum | disease | finding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rFonts w:ascii="Consolas" w:hAnsi="Consolas"/>
                <w:sz w:val="15"/>
              </w:rPr>
              <w:t>hypernatremia_severe_155_cur13</w:t>
            </w:r>
          </w:p>
        </w:tc>
        <w:tc>
          <w:tcPr>
            <w:tcW w:type="dxa" w:w="2493"/>
          </w:tcPr>
          <w:p>
            <w:pPr>
              <w:spacing w:after="0"/>
            </w:pPr>
            <w:r/>
            <w:r>
              <w:rPr>
                <w:sz w:val="15"/>
              </w:rPr>
              <w:t>A</w:t>
            </w:r>
          </w:p>
        </w:tc>
        <w:tc>
          <w:tcPr>
            <w:tcW w:type="dxa" w:w="2493"/>
          </w:tcPr>
          <w:p>
            <w:pPr>
              <w:spacing w:after="0"/>
            </w:pPr>
            <w:r/>
            <w:r>
              <w:rPr>
                <w:sz w:val="15"/>
              </w:rPr>
              <w:t>hypernatremia</w:t>
            </w:r>
          </w:p>
        </w:tc>
        <w:tc>
          <w:tcPr>
            <w:tcW w:type="dxa" w:w="2493"/>
          </w:tcPr>
          <w:p>
            <w:pPr>
              <w:spacing w:after="0"/>
            </w:pPr>
            <w:r/>
            <w:r>
              <w:rPr>
                <w:sz w:val="15"/>
              </w:rPr>
              <w:t>attribution: hypernatraemia &gt;155 cites the EJE 2014 hyponatraemia guideline, which does not address hypernatraemia</w:t>
            </w:r>
          </w:p>
        </w:tc>
      </w:tr>
      <w:tr>
        <w:tc>
          <w:tcPr>
            <w:tcW w:type="dxa" w:w="2493"/>
          </w:tcPr>
          <w:p>
            <w:pPr>
              <w:spacing w:after="0"/>
            </w:pPr>
            <w:r/>
            <w:r>
              <w:rPr>
                <w:rFonts w:ascii="Consolas" w:hAnsi="Consolas"/>
                <w:sz w:val="15"/>
              </w:rPr>
              <w:t>pseudohypoparathyroidism_hypocalcemia_high_pth_normal_renal_cur13</w:t>
            </w:r>
          </w:p>
        </w:tc>
        <w:tc>
          <w:tcPr>
            <w:tcW w:type="dxa" w:w="2493"/>
          </w:tcPr>
          <w:p>
            <w:pPr>
              <w:spacing w:after="0"/>
            </w:pPr>
            <w:r/>
            <w:r>
              <w:rPr>
                <w:sz w:val="15"/>
              </w:rPr>
              <w:t>A</w:t>
            </w:r>
          </w:p>
        </w:tc>
        <w:tc>
          <w:tcPr>
            <w:tcW w:type="dxa" w:w="2493"/>
          </w:tcPr>
          <w:p>
            <w:pPr>
              <w:spacing w:after="0"/>
            </w:pPr>
            <w:r/>
            <w:r>
              <w:rPr>
                <w:sz w:val="15"/>
              </w:rPr>
              <w:t>pseudohypoparathyroidism</w:t>
            </w:r>
          </w:p>
        </w:tc>
        <w:tc>
          <w:tcPr>
            <w:tcW w:type="dxa" w:w="2493"/>
          </w:tcPr>
          <w:p>
            <w:pPr>
              <w:spacing w:after="0"/>
            </w:pPr>
            <w:r/>
            <w:r>
              <w:rPr>
                <w:sz w:val="15"/>
              </w:rPr>
              <w:t>attribution: pseudohypoparathyroidism criteria cite the primary hyperparathyroidism workshop guideline (different disease)</w:t>
            </w:r>
          </w:p>
        </w:tc>
      </w:tr>
      <w:tr>
        <w:tc>
          <w:tcPr>
            <w:tcW w:type="dxa" w:w="2493"/>
          </w:tcPr>
          <w:p>
            <w:pPr>
              <w:spacing w:after="0"/>
            </w:pPr>
            <w:r/>
            <w:r>
              <w:rPr>
                <w:rFonts w:ascii="Consolas" w:hAnsi="Consolas"/>
                <w:sz w:val="15"/>
              </w:rPr>
              <w:t>hypomagnesemia_severe_1_2_cur13</w:t>
            </w:r>
          </w:p>
        </w:tc>
        <w:tc>
          <w:tcPr>
            <w:tcW w:type="dxa" w:w="2493"/>
          </w:tcPr>
          <w:p>
            <w:pPr>
              <w:spacing w:after="0"/>
            </w:pPr>
            <w:r/>
            <w:r>
              <w:rPr>
                <w:sz w:val="15"/>
              </w:rPr>
              <w:t>A</w:t>
            </w:r>
          </w:p>
        </w:tc>
        <w:tc>
          <w:tcPr>
            <w:tcW w:type="dxa" w:w="2493"/>
          </w:tcPr>
          <w:p>
            <w:pPr>
              <w:spacing w:after="0"/>
            </w:pPr>
            <w:r/>
            <w:r>
              <w:rPr>
                <w:sz w:val="15"/>
              </w:rPr>
              <w:t>hypomagnesemia</w:t>
            </w:r>
          </w:p>
        </w:tc>
        <w:tc>
          <w:tcPr>
            <w:tcW w:type="dxa" w:w="2493"/>
          </w:tcPr>
          <w:p>
            <w:pPr>
              <w:spacing w:after="0"/>
            </w:pPr>
            <w:r/>
            <w:r>
              <w:rPr>
                <w:sz w:val="15"/>
              </w:rPr>
              <w:t>attribution: severe hypomagnesaemia &lt;1.2 mg/dL cites the KDIGO potassium/dyskalaemia conference report</w:t>
            </w:r>
          </w:p>
        </w:tc>
      </w:tr>
      <w:tr>
        <w:tc>
          <w:tcPr>
            <w:tcW w:type="dxa" w:w="2493"/>
          </w:tcPr>
          <w:p>
            <w:pPr>
              <w:spacing w:after="0"/>
            </w:pPr>
            <w:r/>
            <w:r>
              <w:rPr>
                <w:rFonts w:ascii="Consolas" w:hAnsi="Consolas"/>
                <w:sz w:val="15"/>
              </w:rPr>
              <w:t>septic_shock_severe_lactic_acidosis_sepsis3_lactate_4_cur13</w:t>
            </w:r>
          </w:p>
        </w:tc>
        <w:tc>
          <w:tcPr>
            <w:tcW w:type="dxa" w:w="2493"/>
          </w:tcPr>
          <w:p>
            <w:pPr>
              <w:spacing w:after="0"/>
            </w:pPr>
            <w:r/>
            <w:r>
              <w:rPr>
                <w:sz w:val="15"/>
              </w:rPr>
              <w:t>A</w:t>
            </w:r>
          </w:p>
        </w:tc>
        <w:tc>
          <w:tcPr>
            <w:tcW w:type="dxa" w:w="2493"/>
          </w:tcPr>
          <w:p>
            <w:pPr>
              <w:spacing w:after="0"/>
            </w:pPr>
            <w:r/>
            <w:r>
              <w:rPr>
                <w:sz w:val="15"/>
              </w:rPr>
              <w:t>septic_shock_severe_lactic_acidosis</w:t>
            </w:r>
          </w:p>
        </w:tc>
        <w:tc>
          <w:tcPr>
            <w:tcW w:type="dxa" w:w="2493"/>
          </w:tcPr>
          <w:p>
            <w:pPr>
              <w:spacing w:after="0"/>
            </w:pPr>
            <w:r/>
            <w:r>
              <w:rPr>
                <w:sz w:val="15"/>
              </w:rPr>
              <w:t>threshold: cited Sepsis-3 defines septic shock with lactate &gt;2 mmol/L; the &gt;4 mmol/L cut-off is not in the cited source (it derives from the SSC resuscitation bundle)</w:t>
            </w:r>
          </w:p>
        </w:tc>
      </w:tr>
      <w:tr>
        <w:tc>
          <w:tcPr>
            <w:tcW w:type="dxa" w:w="2493"/>
          </w:tcPr>
          <w:p>
            <w:pPr>
              <w:spacing w:after="0"/>
            </w:pPr>
            <w:r/>
            <w:r>
              <w:rPr>
                <w:rFonts w:ascii="Consolas" w:hAnsi="Consolas"/>
                <w:sz w:val="15"/>
              </w:rPr>
              <w:t>hyperprolactinemia_pituitary_2023_prolactin_elevated_cur13</w:t>
            </w:r>
          </w:p>
        </w:tc>
        <w:tc>
          <w:tcPr>
            <w:tcW w:type="dxa" w:w="2493"/>
          </w:tcPr>
          <w:p>
            <w:pPr>
              <w:spacing w:after="0"/>
            </w:pPr>
            <w:r/>
            <w:r>
              <w:rPr>
                <w:sz w:val="15"/>
              </w:rPr>
              <w:t>A</w:t>
            </w:r>
          </w:p>
        </w:tc>
        <w:tc>
          <w:tcPr>
            <w:tcW w:type="dxa" w:w="2493"/>
          </w:tcPr>
          <w:p>
            <w:pPr>
              <w:spacing w:after="0"/>
            </w:pPr>
            <w:r/>
            <w:r>
              <w:rPr>
                <w:sz w:val="15"/>
              </w:rPr>
              <w:t>hyperprolactinemia</w:t>
            </w:r>
          </w:p>
        </w:tc>
        <w:tc>
          <w:tcPr>
            <w:tcW w:type="dxa" w:w="2493"/>
          </w:tcPr>
          <w:p>
            <w:pPr>
              <w:spacing w:after="0"/>
            </w:pPr>
            <w:r/>
            <w:r>
              <w:rPr>
                <w:sz w:val="15"/>
              </w:rPr>
              <w:t>threshold: Pituitary Society 2023 consensus (full text retrieved) defers to assay-specific reference ranges and does not state 25 ng/mL</w:t>
            </w:r>
          </w:p>
        </w:tc>
      </w:tr>
      <w:tr>
        <w:tc>
          <w:tcPr>
            <w:tcW w:type="dxa" w:w="2493"/>
          </w:tcPr>
          <w:p>
            <w:pPr>
              <w:spacing w:after="0"/>
            </w:pPr>
            <w:r/>
            <w:r>
              <w:rPr>
                <w:rFonts w:ascii="Consolas" w:hAnsi="Consolas"/>
                <w:sz w:val="15"/>
              </w:rPr>
              <w:t>hepatitis_a_igm_anti_hav_positive_cur13</w:t>
            </w:r>
          </w:p>
        </w:tc>
        <w:tc>
          <w:tcPr>
            <w:tcW w:type="dxa" w:w="2493"/>
          </w:tcPr>
          <w:p>
            <w:pPr>
              <w:spacing w:after="0"/>
            </w:pPr>
            <w:r/>
            <w:r>
              <w:rPr>
                <w:sz w:val="15"/>
              </w:rPr>
              <w:t>A</w:t>
            </w:r>
          </w:p>
        </w:tc>
        <w:tc>
          <w:tcPr>
            <w:tcW w:type="dxa" w:w="2493"/>
          </w:tcPr>
          <w:p>
            <w:pPr>
              <w:spacing w:after="0"/>
            </w:pPr>
            <w:r/>
            <w:r>
              <w:rPr>
                <w:sz w:val="15"/>
              </w:rPr>
              <w:t>hepatitis_a</w:t>
            </w:r>
          </w:p>
        </w:tc>
        <w:tc>
          <w:tcPr>
            <w:tcW w:type="dxa" w:w="2493"/>
          </w:tcPr>
          <w:p>
            <w:pPr>
              <w:spacing w:after="0"/>
            </w:pPr>
            <w:r/>
            <w:r>
              <w:rPr>
                <w:sz w:val="15"/>
              </w:rPr>
              <w:t>attribution: hepatitis A IgM criterion cites the EASL hepatitis E guideline</w:t>
            </w:r>
          </w:p>
        </w:tc>
      </w:tr>
      <w:tr>
        <w:tc>
          <w:tcPr>
            <w:tcW w:type="dxa" w:w="2493"/>
          </w:tcPr>
          <w:p>
            <w:pPr>
              <w:spacing w:after="0"/>
            </w:pPr>
            <w:r/>
            <w:r>
              <w:rPr>
                <w:rFonts w:ascii="Consolas" w:hAnsi="Consolas"/>
                <w:sz w:val="15"/>
              </w:rPr>
              <w:t>acquired_hemophilia_a_reanchor_scre_v13_4</w:t>
            </w:r>
          </w:p>
        </w:tc>
        <w:tc>
          <w:tcPr>
            <w:tcW w:type="dxa" w:w="2493"/>
          </w:tcPr>
          <w:p>
            <w:pPr>
              <w:spacing w:after="0"/>
            </w:pPr>
            <w:r/>
            <w:r>
              <w:rPr>
                <w:sz w:val="15"/>
              </w:rPr>
              <w:t>A</w:t>
            </w:r>
          </w:p>
        </w:tc>
        <w:tc>
          <w:tcPr>
            <w:tcW w:type="dxa" w:w="2493"/>
          </w:tcPr>
          <w:p>
            <w:pPr>
              <w:spacing w:after="0"/>
            </w:pPr>
            <w:r/>
            <w:r>
              <w:rPr>
                <w:sz w:val="15"/>
              </w:rPr>
              <w:t>acquired_hemophilia_a</w:t>
            </w:r>
          </w:p>
        </w:tc>
        <w:tc>
          <w:tcPr>
            <w:tcW w:type="dxa" w:w="2493"/>
          </w:tcPr>
          <w:p>
            <w:pPr>
              <w:spacing w:after="0"/>
            </w:pPr>
            <w:r/>
            <w:r>
              <w:rPr>
                <w:sz w:val="15"/>
              </w:rPr>
              <w:t>attribution: acquired haemophilia A cites the BSH rare coagulation disorders guideline, which excludes FVIII deficiency (covered by a separate BSH guideline)</w:t>
            </w:r>
          </w:p>
        </w:tc>
      </w:tr>
      <w:tr>
        <w:tc>
          <w:tcPr>
            <w:tcW w:type="dxa" w:w="2493"/>
          </w:tcPr>
          <w:p>
            <w:pPr>
              <w:spacing w:after="0"/>
            </w:pPr>
            <w:r/>
            <w:r>
              <w:rPr>
                <w:rFonts w:ascii="Consolas" w:hAnsi="Consolas"/>
                <w:sz w:val="15"/>
              </w:rPr>
              <w:t>diabetes_insipidus_nephrogenic_hypokalemia_risk</w:t>
            </w:r>
          </w:p>
        </w:tc>
        <w:tc>
          <w:tcPr>
            <w:tcW w:type="dxa" w:w="2493"/>
          </w:tcPr>
          <w:p>
            <w:pPr>
              <w:spacing w:after="0"/>
            </w:pPr>
            <w:r/>
            <w:r>
              <w:rPr>
                <w:sz w:val="15"/>
              </w:rPr>
              <w:t>B1</w:t>
            </w:r>
          </w:p>
        </w:tc>
        <w:tc>
          <w:tcPr>
            <w:tcW w:type="dxa" w:w="2493"/>
          </w:tcPr>
          <w:p>
            <w:pPr>
              <w:spacing w:after="0"/>
            </w:pPr>
            <w:r/>
            <w:r>
              <w:rPr>
                <w:sz w:val="15"/>
              </w:rPr>
              <w:t>diabetes_insipidus_nephrogenic</w:t>
            </w:r>
          </w:p>
        </w:tc>
        <w:tc>
          <w:tcPr>
            <w:tcW w:type="dxa" w:w="2493"/>
          </w:tcPr>
          <w:p>
            <w:pPr>
              <w:spacing w:after="0"/>
            </w:pPr>
            <w:r/>
            <w:r>
              <w:rPr>
                <w:sz w:val="15"/>
              </w:rPr>
              <w:t>attribution/statement: nephrogenic diabetes insipidus screen by potassium &lt;=3.0 cites KDIGO CKD 2024 (full PDF retrieved); no such statement</w:t>
            </w:r>
          </w:p>
        </w:tc>
      </w:tr>
      <w:tr>
        <w:tc>
          <w:tcPr>
            <w:tcW w:type="dxa" w:w="2493"/>
          </w:tcPr>
          <w:p>
            <w:pPr>
              <w:spacing w:after="0"/>
            </w:pPr>
            <w:r/>
            <w:r>
              <w:rPr>
                <w:rFonts w:ascii="Consolas" w:hAnsi="Consolas"/>
                <w:sz w:val="15"/>
              </w:rPr>
              <w:t>hyponatremia_hyperkalemia_pattern_diagnostic_criterion_1_v1</w:t>
            </w:r>
          </w:p>
        </w:tc>
        <w:tc>
          <w:tcPr>
            <w:tcW w:type="dxa" w:w="2493"/>
          </w:tcPr>
          <w:p>
            <w:pPr>
              <w:spacing w:after="0"/>
            </w:pPr>
            <w:r/>
            <w:r>
              <w:rPr>
                <w:sz w:val="15"/>
              </w:rPr>
              <w:t>B1</w:t>
            </w:r>
          </w:p>
        </w:tc>
        <w:tc>
          <w:tcPr>
            <w:tcW w:type="dxa" w:w="2493"/>
          </w:tcPr>
          <w:p>
            <w:pPr>
              <w:spacing w:after="0"/>
            </w:pPr>
            <w:r/>
            <w:r>
              <w:rPr>
                <w:sz w:val="15"/>
              </w:rPr>
              <w:t>hyponatremia_hyperkalemia_pattern</w:t>
            </w:r>
          </w:p>
        </w:tc>
        <w:tc>
          <w:tcPr>
            <w:tcW w:type="dxa" w:w="2493"/>
          </w:tcPr>
          <w:p>
            <w:pPr>
              <w:spacing w:after="0"/>
            </w:pPr>
            <w:r/>
            <w:r>
              <w:rPr>
                <w:sz w:val="15"/>
              </w:rPr>
              <w:t>threshold: Endocrine Society PAI 2016 guideline (full text retrieved) names hyperkalaemia as a feature but states no potassium threshold; 5.5 mmol/L not in source</w:t>
            </w:r>
          </w:p>
        </w:tc>
      </w:tr>
      <w:tr>
        <w:tc>
          <w:tcPr>
            <w:tcW w:type="dxa" w:w="2493"/>
          </w:tcPr>
          <w:p>
            <w:pPr>
              <w:spacing w:after="0"/>
            </w:pPr>
            <w:r/>
            <w:r>
              <w:rPr>
                <w:rFonts w:ascii="Consolas" w:hAnsi="Consolas"/>
                <w:sz w:val="15"/>
              </w:rPr>
              <w:t>acute_kidney_injury_v1_f13_3</w:t>
            </w:r>
          </w:p>
        </w:tc>
        <w:tc>
          <w:tcPr>
            <w:tcW w:type="dxa" w:w="2493"/>
          </w:tcPr>
          <w:p>
            <w:pPr>
              <w:spacing w:after="0"/>
            </w:pPr>
            <w:r/>
            <w:r>
              <w:rPr>
                <w:sz w:val="15"/>
              </w:rPr>
              <w:t>B1</w:t>
            </w:r>
          </w:p>
        </w:tc>
        <w:tc>
          <w:tcPr>
            <w:tcW w:type="dxa" w:w="2493"/>
          </w:tcPr>
          <w:p>
            <w:pPr>
              <w:spacing w:after="0"/>
            </w:pPr>
            <w:r/>
            <w:r>
              <w:rPr>
                <w:sz w:val="15"/>
              </w:rPr>
              <w:t>acute_kidney_injury</w:t>
            </w:r>
          </w:p>
        </w:tc>
        <w:tc>
          <w:tcPr>
            <w:tcW w:type="dxa" w:w="2493"/>
          </w:tcPr>
          <w:p>
            <w:pPr>
              <w:spacing w:after="0"/>
            </w:pPr>
            <w:r/>
            <w:r>
              <w:rPr>
                <w:sz w:val="15"/>
              </w:rPr>
              <w:t>definition: AKI 'diagnostic criterion' by fixed creatinine &gt;1.1 mg/dL / eGFR &lt;60 cites KDIGO AKI 2012 (full PDF retrieved), which defines AKI only by change from baseline (&gt;=0.3 mg/dL in 48 h or &gt;=1.5x in 7 days)</w:t>
            </w:r>
          </w:p>
        </w:tc>
      </w:tr>
      <w:tr>
        <w:tc>
          <w:tcPr>
            <w:tcW w:type="dxa" w:w="2493"/>
          </w:tcPr>
          <w:p>
            <w:pPr>
              <w:spacing w:after="0"/>
            </w:pPr>
            <w:r/>
            <w:r>
              <w:rPr>
                <w:rFonts w:ascii="Consolas" w:hAnsi="Consolas"/>
                <w:sz w:val="15"/>
              </w:rPr>
              <w:t>hyperkalemia_pattern_staging_severity_1_v1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hyperkalaemia &gt;6.5 severity cites WHO essential diagnostics list (404) and KDIGO AKI 2012 (full PDF retrieved) - no potassium threshold in the source</w:t>
            </w:r>
          </w:p>
        </w:tc>
      </w:tr>
      <w:tr>
        <w:tc>
          <w:tcPr>
            <w:tcW w:type="dxa" w:w="2493"/>
          </w:tcPr>
          <w:p>
            <w:pPr>
              <w:spacing w:after="0"/>
            </w:pPr>
            <w:r/>
            <w:r>
              <w:rPr>
                <w:rFonts w:ascii="Consolas" w:hAnsi="Consolas"/>
                <w:sz w:val="15"/>
              </w:rPr>
              <w:t>hyperkalemia_acidosis_pattern_screening_1_v1</w:t>
            </w:r>
          </w:p>
        </w:tc>
        <w:tc>
          <w:tcPr>
            <w:tcW w:type="dxa" w:w="2493"/>
          </w:tcPr>
          <w:p>
            <w:pPr>
              <w:spacing w:after="0"/>
            </w:pPr>
            <w:r/>
            <w:r>
              <w:rPr>
                <w:sz w:val="15"/>
              </w:rPr>
              <w:t>B1</w:t>
            </w:r>
          </w:p>
        </w:tc>
        <w:tc>
          <w:tcPr>
            <w:tcW w:type="dxa" w:w="2493"/>
          </w:tcPr>
          <w:p>
            <w:pPr>
              <w:spacing w:after="0"/>
            </w:pPr>
            <w:r/>
            <w:r>
              <w:rPr>
                <w:sz w:val="15"/>
              </w:rPr>
              <w:t>hyperkalemia_acidosis_pattern</w:t>
            </w:r>
          </w:p>
        </w:tc>
        <w:tc>
          <w:tcPr>
            <w:tcW w:type="dxa" w:w="2493"/>
          </w:tcPr>
          <w:p>
            <w:pPr>
              <w:spacing w:after="0"/>
            </w:pPr>
            <w:r/>
            <w:r>
              <w:rPr>
                <w:sz w:val="15"/>
              </w:rPr>
              <w:t>statement absent: potassium &gt;5.5 pattern cites KDIGO AKI 2012 (full PDF retrieved) - no threshold in source</w:t>
            </w:r>
          </w:p>
        </w:tc>
      </w:tr>
      <w:tr>
        <w:tc>
          <w:tcPr>
            <w:tcW w:type="dxa" w:w="2493"/>
          </w:tcPr>
          <w:p>
            <w:pPr>
              <w:spacing w:after="0"/>
            </w:pPr>
            <w:r/>
            <w:r>
              <w:rPr>
                <w:rFonts w:ascii="Consolas" w:hAnsi="Consolas"/>
                <w:sz w:val="15"/>
              </w:rPr>
              <w:t>hyperkalemia_pattern_diagnostic_criterion_1_v1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potassium &gt;5.5 'diagnostic criterion' cites KDIGO AKI 2012 (full PDF retrieved) - no threshold in source</w:t>
            </w:r>
          </w:p>
        </w:tc>
      </w:tr>
      <w:tr>
        <w:tc>
          <w:tcPr>
            <w:tcW w:type="dxa" w:w="2493"/>
          </w:tcPr>
          <w:p>
            <w:pPr>
              <w:spacing w:after="0"/>
            </w:pPr>
            <w:r/>
            <w:r>
              <w:rPr>
                <w:rFonts w:ascii="Consolas" w:hAnsi="Consolas"/>
                <w:sz w:val="15"/>
              </w:rPr>
              <w:t>hypokalemia_pattern_screening_1_v1</w:t>
            </w:r>
          </w:p>
        </w:tc>
        <w:tc>
          <w:tcPr>
            <w:tcW w:type="dxa" w:w="2493"/>
          </w:tcPr>
          <w:p>
            <w:pPr>
              <w:spacing w:after="0"/>
            </w:pPr>
            <w:r/>
            <w:r>
              <w:rPr>
                <w:sz w:val="15"/>
              </w:rPr>
              <w:t>B1</w:t>
            </w:r>
          </w:p>
        </w:tc>
        <w:tc>
          <w:tcPr>
            <w:tcW w:type="dxa" w:w="2493"/>
          </w:tcPr>
          <w:p>
            <w:pPr>
              <w:spacing w:after="0"/>
            </w:pPr>
            <w:r/>
            <w:r>
              <w:rPr>
                <w:sz w:val="15"/>
              </w:rPr>
              <w:t>hypokalemia_pattern</w:t>
            </w:r>
          </w:p>
        </w:tc>
        <w:tc>
          <w:tcPr>
            <w:tcW w:type="dxa" w:w="2493"/>
          </w:tcPr>
          <w:p>
            <w:pPr>
              <w:spacing w:after="0"/>
            </w:pPr>
            <w:r/>
            <w:r>
              <w:rPr>
                <w:sz w:val="15"/>
              </w:rPr>
              <w:t>statement absent: potassium &lt;3.5 pattern cites KDIGO AKI 2012 (full PDF retrieved) - no threshold in source</w:t>
            </w:r>
          </w:p>
        </w:tc>
      </w:tr>
      <w:tr>
        <w:tc>
          <w:tcPr>
            <w:tcW w:type="dxa" w:w="2493"/>
          </w:tcPr>
          <w:p>
            <w:pPr>
              <w:spacing w:after="0"/>
            </w:pPr>
            <w:r/>
            <w:r>
              <w:rPr>
                <w:rFonts w:ascii="Consolas" w:hAnsi="Consolas"/>
                <w:sz w:val="15"/>
              </w:rPr>
              <w:t>ckd_stage_g2_hypokalemia_risk_v1</w:t>
            </w:r>
          </w:p>
        </w:tc>
        <w:tc>
          <w:tcPr>
            <w:tcW w:type="dxa" w:w="2493"/>
          </w:tcPr>
          <w:p>
            <w:pPr>
              <w:spacing w:after="0"/>
            </w:pPr>
            <w:r/>
            <w:r>
              <w:rPr>
                <w:sz w:val="15"/>
              </w:rPr>
              <w:t>B2</w:t>
            </w:r>
          </w:p>
        </w:tc>
        <w:tc>
          <w:tcPr>
            <w:tcW w:type="dxa" w:w="2493"/>
          </w:tcPr>
          <w:p>
            <w:pPr>
              <w:spacing w:after="0"/>
            </w:pPr>
            <w:r/>
            <w:r>
              <w:rPr>
                <w:sz w:val="15"/>
              </w:rPr>
              <w:t>ckd_stage_g2</w:t>
            </w:r>
          </w:p>
        </w:tc>
        <w:tc>
          <w:tcPr>
            <w:tcW w:type="dxa" w:w="2493"/>
          </w:tcPr>
          <w:p>
            <w:pPr>
              <w:spacing w:after="0"/>
            </w:pPr>
            <w:r/>
            <w:r>
              <w:rPr>
                <w:sz w:val="15"/>
              </w:rPr>
              <w:t>attribution/statement: 'CKD stage G2' screen by potassium &lt;=3.0 cites KDIGO CKD 2024 (full PDF retrieved); G2 is defined by eGFR 60-89, potassium plays no role</w:t>
            </w:r>
          </w:p>
        </w:tc>
      </w:tr>
      <w:tr>
        <w:tc>
          <w:tcPr>
            <w:tcW w:type="dxa" w:w="2493"/>
          </w:tcPr>
          <w:p>
            <w:pPr>
              <w:spacing w:after="0"/>
            </w:pPr>
            <w:r/>
            <w:r>
              <w:rPr>
                <w:rFonts w:ascii="Consolas" w:hAnsi="Consolas"/>
                <w:sz w:val="15"/>
              </w:rPr>
              <w:t>chronic_kidney_disease_kdigo_2024_albuminuria_a2_cur13</w:t>
            </w:r>
          </w:p>
        </w:tc>
        <w:tc>
          <w:tcPr>
            <w:tcW w:type="dxa" w:w="2493"/>
          </w:tcPr>
          <w:p>
            <w:pPr>
              <w:spacing w:after="0"/>
            </w:pPr>
            <w:r/>
            <w:r>
              <w:rPr>
                <w:sz w:val="15"/>
              </w:rPr>
              <w:t>A</w:t>
            </w:r>
          </w:p>
        </w:tc>
        <w:tc>
          <w:tcPr>
            <w:tcW w:type="dxa" w:w="2493"/>
          </w:tcPr>
          <w:p>
            <w:pPr>
              <w:spacing w:after="0"/>
            </w:pPr>
            <w:r/>
            <w:r>
              <w:rPr>
                <w:sz w:val="15"/>
              </w:rPr>
              <w:t>chronic_kidney_disease</w:t>
            </w:r>
          </w:p>
        </w:tc>
        <w:tc>
          <w:tcPr>
            <w:tcW w:type="dxa" w:w="2493"/>
          </w:tcPr>
          <w:p>
            <w:pPr>
              <w:spacing w:after="0"/>
            </w:pPr>
            <w:r/>
            <w:r>
              <w:rPr>
                <w:sz w:val="15"/>
              </w:rPr>
              <w:t>KDIGO CKD 2024 (full PDF retrieved): ACR 30-300 mg/g = A2, ACR &gt;30 mg/g is a marker of kidney damage; rule threshold, analyte and disease match (chronicity &gt;3 months handled by engine context, not by this rule)</w:t>
            </w:r>
          </w:p>
        </w:tc>
      </w:tr>
    </w:tbl>
    <w:p/>
    <w:p>
      <w:r>
        <w:t>the 46 generic-source candidates will be retired or re-sourced, and the five anchor attribution errors found here are</w:t>
      </w:r>
    </w:p>
    <w:p>
      <w:r>
        <w:t>corrected in the next release with a dated change-log entry; none of these changes alters the frozen v7 results reported in</w:t>
      </w:r>
    </w:p>
    <w:p>
      <w:r>
        <w:t xml:space="preserve">this paper. Files: </w:t>
      </w:r>
      <w:r>
        <w:rPr>
          <w:rFonts w:ascii="Consolas" w:hAnsi="Consolas"/>
        </w:rPr>
        <w:t>eval/source_audit/{PROTOCOL.md, sample_200.csv, summary_rater1.json, source_access_status.json}</w:t>
      </w:r>
      <w:r>
        <w:t xml:space="preserve">. ## Supplementary Note 8 — Addendum (2026-10-27): rater statement The audit reported in Note 8 and in main-text Section 3.2 is single-rater. The rater was an AI agent working under the first author's supervision; this is declared in the main text and in the GenAI declaration. The second-rater arm written into the protocol did not yield a dataset that met the protocol's validity rule (a CONCORDANT or DISCORDANT label must be supported by the verbatim source sentence containing the criterion) and is therefore not reported; no inter-rater reliability is claimed. For future runs the protocol requires a mandatory verbatim-quotation field with page or section for every non-UNRESOLVABLE verdict and a five-rule spot check against the sources for each rater before scoring. ## Supplementary Note 9 — Post-freeze development version (v8); moved verbatim from the main text 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 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 #### Note 9 addendum — hybrid arm and the limits of post-freeze improvement (declared experiment, 2026-10-27) To test whether a trained layer on top of the frozen engine would raise recall, a 5-fold out-of-fold gradient-boosting probability per label group (identical inputs: raw analytes, age, sex) was combined with the frozen v7 group probability by a parameter-free rule, max(engine, ML). On the group-level metric (same 2,432 scorable labels) recall@5 was 58.8 % for the engine, 60.6 % for the hybrid (+1.8, 95 % bootstrap CI +1.2 to +2.5), 59.8 % when the ML term was allowed only for the six groups without a single-analyte criterion (+1.0), and 68.8 % for ML alone (+10.0). The ML-only gain comes from sepsis (94 %), diabetes (91 %) and CKD (65 %) — cohort priors learned from the labels — while ML loses most single-analyte groups (hyponatraemia 38 %, metabolic acidosis 12 %, hypomagnesaemia 3 %). A taxonomy of the engine's DKA misses (40 of 108) found only 2 panels meeting ADA criteria that the engine failed; 32 had bicarbonate ≥ 18 mmol/L or glucose &lt; 250 mg/dL at the first panel (resolving or treated DKA) and 5 had glucose without acid–base data. Together with the earlier input arms (full in-window time series 63.7 → 63.2 %; documented history +2.9 points, mostly echo), these results indicate that the frozen figure is bounded by the reference standard rather than by rule content, and no post-freeze rule change was made (</w:t>
      </w:r>
      <w:r>
        <w:rPr>
          <w:rFonts w:ascii="Consolas" w:hAnsi="Consolas"/>
        </w:rPr>
        <w:t>eval/hybrid_arm.py</w:t>
      </w:r>
      <w:r>
        <w:t xml:space="preserve">). ## Supplementary Note 10 — External cohorts and case reports; moved verbatim from the main text 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 ## Supplementary Note 11 — Calibration, subgroups and robustness; moved verbatim from the main text Pooled over 52,689 stay–group units, AUROC was 0.797 but raw scores were over-confident: calibration slope 0.25, ECE 0.162, Brier 0.117 (Fig. 7).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 ## 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3"/>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3"/>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3"/>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3"/>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3"/>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3"/>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3"/>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3"/>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3"/>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3"/>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3"/>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3"/>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3).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3"/>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3"/>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4;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3"/>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3"/>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5). Guideline-sourced SIRS/qSOFA rules added afterwards (Amendment 15; developed on A, validated once on B2) added about 0.04 AUROC and are labelled post hoc. Hemoglyph is not a sepsis predictor.</w:t>
      </w:r>
    </w:p>
    <w:p>
      <w:pPr>
        <w:pStyle w:val="Heading3"/>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6;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3"/>
      </w:pPr>
      <w:r>
        <w:rPr>
          <w:color w:val="303030"/>
        </w:rPr>
        <w:t>3.9 Calibration, subgroups and robustness</w:t>
      </w:r>
    </w:p>
    <w:p>
      <w:r>
        <w:t>Raw scores were uncalibrated (pooled AUROC 0.797; reliability and decision curves before and after cross-fitted isotonic regression in Fig. 7); subgroup recall by age, sex and unit type, unit-invariance and perturbation results are given in Supplementary Note 11 and Table S4.</w:t>
      </w:r>
    </w:p>
    <w:p>
      <w:pPr>
        <w:pStyle w:val="Heading3"/>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re-scoring against the frozen release reduced that to parity.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3"/>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Supplementary Note 17 — Component ablation and community/external results; moved verbatim from the R6 main text (R7 condensation)</w:t>
      </w:r>
    </w:p>
    <w:p>
      <w:pPr>
        <w:pStyle w:val="Heading3"/>
      </w:pPr>
      <w:r>
        <w:rPr>
          <w:color w:val="303030"/>
        </w:rPr>
        <w:t>R6 §3.5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 and registry scale is not claimed as a merit.</w:t>
      </w:r>
    </w:p>
    <w:p>
      <w:pPr>
        <w:pStyle w:val="Heading3"/>
      </w:pPr>
      <w:r>
        <w:rPr>
          <w:color w:val="303030"/>
        </w:rPr>
        <w:t>R6 §3.6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4;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5); Hemoglyph is not a sepsis predictor and was not tuned to the task afterwards. Raw scores were uncalibrated (pooled AUROC 0.797; Fig. 7); subgroup and robustness results are in Supplementary Note 11.</w:t>
      </w:r>
    </w:p>
    <w:p>
      <w:pPr>
        <w:pStyle w:val="Heading3"/>
      </w:pPr>
      <w:r>
        <w:rPr>
          <w:color w:val="303030"/>
        </w:rPr>
        <w:t>Earlier releases on the same eICU cohort (rows removed from main-text Table 3)</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Release</w:t>
            </w:r>
          </w:p>
        </w:tc>
        <w:tc>
          <w:tcPr>
            <w:tcW w:type="dxa" w:w="1425"/>
          </w:tcPr>
          <w:p>
            <w:pPr>
              <w:spacing w:after="0"/>
            </w:pPr>
            <w:r>
              <w:rPr>
                <w:b/>
              </w:rPr>
            </w:r>
            <w:r>
              <w:rPr>
                <w:b/>
                <w:sz w:val="15"/>
              </w:rPr>
              <w:t>flat @3</w:t>
            </w:r>
          </w:p>
        </w:tc>
        <w:tc>
          <w:tcPr>
            <w:tcW w:type="dxa" w:w="1425"/>
          </w:tcPr>
          <w:p>
            <w:pPr>
              <w:spacing w:after="0"/>
            </w:pPr>
            <w:r>
              <w:rPr>
                <w:b/>
              </w:rPr>
            </w:r>
            <w:r>
              <w:rPr>
                <w:b/>
                <w:sz w:val="15"/>
              </w:rPr>
              <w:t>flat @5</w:t>
            </w:r>
          </w:p>
        </w:tc>
        <w:tc>
          <w:tcPr>
            <w:tcW w:type="dxa" w:w="1425"/>
          </w:tcPr>
          <w:p>
            <w:pPr>
              <w:spacing w:after="0"/>
            </w:pPr>
            <w:r>
              <w:rPr>
                <w:b/>
              </w:rPr>
            </w:r>
            <w:r>
              <w:rPr>
                <w:b/>
                <w:sz w:val="15"/>
              </w:rPr>
              <w:t>flat @10</w:t>
            </w:r>
          </w:p>
        </w:tc>
        <w:tc>
          <w:tcPr>
            <w:tcW w:type="dxa" w:w="1425"/>
          </w:tcPr>
          <w:p>
            <w:pPr>
              <w:spacing w:after="0"/>
            </w:pPr>
            <w:r>
              <w:rPr>
                <w:b/>
              </w:rPr>
            </w:r>
            <w:r>
              <w:rPr>
                <w:b/>
                <w:sz w:val="15"/>
              </w:rPr>
              <w:t>two-tier @5</w:t>
            </w:r>
          </w:p>
        </w:tc>
        <w:tc>
          <w:tcPr>
            <w:tcW w:type="dxa" w:w="1425"/>
          </w:tcPr>
          <w:p>
            <w:pPr>
              <w:spacing w:after="0"/>
            </w:pPr>
            <w:r>
              <w:rPr>
                <w:b/>
              </w:rPr>
            </w:r>
            <w:r>
              <w:rPr>
                <w:b/>
                <w:sz w:val="15"/>
              </w:rPr>
              <w:t>panel-supported @5 / @10 (n = 1,460)</w:t>
            </w:r>
          </w:p>
        </w:tc>
        <w:tc>
          <w:tcPr>
            <w:tcW w:type="dxa" w:w="1425"/>
          </w:tcPr>
          <w:p>
            <w:pPr>
              <w:spacing w:after="0"/>
            </w:pPr>
            <w:r>
              <w:rPr>
                <w:b/>
              </w:rPr>
            </w:r>
            <w:r>
              <w:rPr>
                <w:b/>
                <w:sz w:val="15"/>
              </w:rPr>
              <w:t>two-tier panel-supported @5 / @10</w:t>
            </w:r>
          </w:p>
        </w:tc>
      </w:tr>
      <w:tr>
        <w:tc>
          <w:tcPr>
            <w:tcW w:type="dxa" w:w="1425"/>
          </w:tcPr>
          <w:p>
            <w:pPr>
              <w:spacing w:after="0"/>
            </w:pPr>
            <w:r/>
            <w:r>
              <w:rPr>
                <w:sz w:val="15"/>
              </w:rPr>
              <w:t>13.4.2 (product)</w:t>
            </w:r>
          </w:p>
        </w:tc>
        <w:tc>
          <w:tcPr>
            <w:tcW w:type="dxa" w:w="1425"/>
          </w:tcPr>
          <w:p>
            <w:pPr>
              <w:spacing w:after="0"/>
            </w:pPr>
            <w:r/>
            <w:r>
              <w:rPr>
                <w:sz w:val="15"/>
              </w:rPr>
              <w:t>49.3</w:t>
            </w:r>
          </w:p>
        </w:tc>
        <w:tc>
          <w:tcPr>
            <w:tcW w:type="dxa" w:w="1425"/>
          </w:tcPr>
          <w:p>
            <w:pPr>
              <w:spacing w:after="0"/>
            </w:pPr>
            <w:r/>
            <w:r>
              <w:rPr>
                <w:sz w:val="15"/>
              </w:rPr>
              <w:t>63.7</w:t>
            </w:r>
          </w:p>
        </w:tc>
        <w:tc>
          <w:tcPr>
            <w:tcW w:type="dxa" w:w="1425"/>
          </w:tcPr>
          <w:p>
            <w:pPr>
              <w:spacing w:after="0"/>
            </w:pPr>
            <w:r/>
            <w:r>
              <w:rPr>
                <w:sz w:val="15"/>
              </w:rPr>
              <w:t>76.9</w:t>
            </w:r>
          </w:p>
        </w:tc>
        <w:tc>
          <w:tcPr>
            <w:tcW w:type="dxa" w:w="1425"/>
          </w:tcPr>
          <w:p>
            <w:pPr>
              <w:spacing w:after="0"/>
            </w:pPr>
            <w:r/>
            <w:r>
              <w:rPr>
                <w:sz w:val="15"/>
              </w:rPr>
              <w:t>—</w:t>
            </w:r>
          </w:p>
        </w:tc>
        <w:tc>
          <w:tcPr>
            <w:tcW w:type="dxa" w:w="1425"/>
          </w:tcPr>
          <w:p>
            <w:pPr>
              <w:spacing w:after="0"/>
            </w:pPr>
            <w:r/>
            <w:r>
              <w:rPr>
                <w:sz w:val="15"/>
              </w:rPr>
              <w:t>81.6 / 95.1</w:t>
            </w:r>
          </w:p>
        </w:tc>
        <w:tc>
          <w:tcPr>
            <w:tcW w:type="dxa" w:w="1425"/>
          </w:tcPr>
          <w:p>
            <w:pPr>
              <w:spacing w:after="0"/>
            </w:pPr>
            <w:r/>
            <w:r>
              <w:rPr>
                <w:sz w:val="15"/>
              </w:rPr>
              <w:t>—</w:t>
            </w:r>
          </w:p>
        </w:tc>
      </w:tr>
      <w:tr>
        <w:tc>
          <w:tcPr>
            <w:tcW w:type="dxa" w:w="1425"/>
          </w:tcPr>
          <w:p>
            <w:pPr>
              <w:spacing w:after="0"/>
            </w:pPr>
            <w:r/>
            <w:r>
              <w:rPr>
                <w:sz w:val="15"/>
              </w:rPr>
              <w:t>14.1.0 + v6</w:t>
            </w:r>
          </w:p>
        </w:tc>
        <w:tc>
          <w:tcPr>
            <w:tcW w:type="dxa" w:w="1425"/>
          </w:tcPr>
          <w:p>
            <w:pPr>
              <w:spacing w:after="0"/>
            </w:pPr>
            <w:r/>
            <w:r>
              <w:rPr>
                <w:sz w:val="15"/>
              </w:rPr>
              <w:t>48.5</w:t>
            </w:r>
          </w:p>
        </w:tc>
        <w:tc>
          <w:tcPr>
            <w:tcW w:type="dxa" w:w="1425"/>
          </w:tcPr>
          <w:p>
            <w:pPr>
              <w:spacing w:after="0"/>
            </w:pPr>
            <w:r/>
            <w:r>
              <w:rPr>
                <w:sz w:val="15"/>
              </w:rPr>
              <w:t>60.8</w:t>
            </w:r>
          </w:p>
        </w:tc>
        <w:tc>
          <w:tcPr>
            <w:tcW w:type="dxa" w:w="1425"/>
          </w:tcPr>
          <w:p>
            <w:pPr>
              <w:spacing w:after="0"/>
            </w:pPr>
            <w:r/>
            <w:r>
              <w:rPr>
                <w:sz w:val="15"/>
              </w:rPr>
              <w:t>74.1</w:t>
            </w:r>
          </w:p>
        </w:tc>
        <w:tc>
          <w:tcPr>
            <w:tcW w:type="dxa" w:w="1425"/>
          </w:tcPr>
          <w:p>
            <w:pPr>
              <w:spacing w:after="0"/>
            </w:pPr>
            <w:r/>
            <w:r>
              <w:rPr>
                <w:sz w:val="15"/>
              </w:rPr>
              <w:t>71.7</w:t>
            </w:r>
          </w:p>
        </w:tc>
        <w:tc>
          <w:tcPr>
            <w:tcW w:type="dxa" w:w="1425"/>
          </w:tcPr>
          <w:p>
            <w:pPr>
              <w:spacing w:after="0"/>
            </w:pPr>
            <w:r/>
            <w:r>
              <w:rPr>
                <w:sz w:val="15"/>
              </w:rPr>
              <w:t>78.0 / 91.8</w:t>
            </w:r>
          </w:p>
        </w:tc>
        <w:tc>
          <w:tcPr>
            <w:tcW w:type="dxa" w:w="1425"/>
          </w:tcPr>
          <w:p>
            <w:pPr>
              <w:spacing w:after="0"/>
            </w:pPr>
            <w:r/>
            <w:r>
              <w:rPr>
                <w:sz w:val="15"/>
              </w:rPr>
              <w:t>88.9 / 97.2</w:t>
            </w:r>
          </w:p>
        </w:tc>
      </w:tr>
      <w:tr>
        <w:tc>
          <w:tcPr>
            <w:tcW w:type="dxa" w:w="1425"/>
          </w:tcPr>
          <w:p>
            <w:pPr>
              <w:spacing w:after="0"/>
            </w:pPr>
            <w:r/>
            <w:r>
              <w:rPr>
                <w:sz w:val="15"/>
              </w:rPr>
              <w:t>14.1.0 + v7 (frozen)</w:t>
            </w:r>
          </w:p>
        </w:tc>
        <w:tc>
          <w:tcPr>
            <w:tcW w:type="dxa" w:w="1425"/>
          </w:tcPr>
          <w:p>
            <w:pPr>
              <w:spacing w:after="0"/>
            </w:pPr>
            <w:r/>
            <w:r>
              <w:rPr>
                <w:sz w:val="15"/>
              </w:rPr>
              <w:t>47.9</w:t>
            </w:r>
          </w:p>
        </w:tc>
        <w:tc>
          <w:tcPr>
            <w:tcW w:type="dxa" w:w="1425"/>
          </w:tcPr>
          <w:p>
            <w:pPr>
              <w:spacing w:after="0"/>
            </w:pPr>
            <w:r/>
            <w:r>
              <w:rPr>
                <w:sz w:val="15"/>
              </w:rPr>
              <w:t>60.8</w:t>
            </w:r>
          </w:p>
        </w:tc>
        <w:tc>
          <w:tcPr>
            <w:tcW w:type="dxa" w:w="1425"/>
          </w:tcPr>
          <w:p>
            <w:pPr>
              <w:spacing w:after="0"/>
            </w:pPr>
            <w:r/>
            <w:r>
              <w:rPr>
                <w:sz w:val="15"/>
              </w:rPr>
              <w:t>74.1</w:t>
            </w:r>
          </w:p>
        </w:tc>
        <w:tc>
          <w:tcPr>
            <w:tcW w:type="dxa" w:w="1425"/>
          </w:tcPr>
          <w:p>
            <w:pPr>
              <w:spacing w:after="0"/>
            </w:pPr>
            <w:r/>
            <w:r>
              <w:rPr>
                <w:sz w:val="15"/>
              </w:rPr>
              <w:t>71.9</w:t>
            </w:r>
          </w:p>
        </w:tc>
        <w:tc>
          <w:tcPr>
            <w:tcW w:type="dxa" w:w="1425"/>
          </w:tcPr>
          <w:p>
            <w:pPr>
              <w:spacing w:after="0"/>
            </w:pPr>
            <w:r/>
            <w:r>
              <w:rPr>
                <w:sz w:val="15"/>
              </w:rPr>
              <w:t>78.0 / 91.8</w:t>
            </w:r>
          </w:p>
        </w:tc>
        <w:tc>
          <w:tcPr>
            <w:tcW w:type="dxa" w:w="1425"/>
          </w:tcPr>
          <w:p>
            <w:pPr>
              <w:spacing w:after="0"/>
            </w:pPr>
            <w:r/>
            <w:r>
              <w:rPr>
                <w:sz w:val="15"/>
              </w:rPr>
              <w:t>89.2 / 97.2</w:t>
            </w:r>
          </w:p>
        </w:tc>
      </w:tr>
    </w:tbl>
    <w:p/>
    <w:p>
      <w:pPr>
        <w:pStyle w:val="Heading1"/>
      </w:pPr>
      <w:r>
        <w:rPr>
          <w:color w:val="000000"/>
        </w:rPr>
        <w:t>Supplementary Note 13 — Black-box property-conformance benchmark (engine and LLM on identical perturbed panels; declared 2026-10-27)</w:t>
      </w:r>
    </w:p>
    <w:p>
      <w:r>
        <w:rPr>
          <w:b/>
        </w:rPr>
        <w:t>Rationale.</w:t>
      </w:r>
      <w:r>
        <w:t xml:space="preserve"> The invariants of Section 2.3 run inside the engine's process. Four of them can be stated for any reader that maps a panel to a ranked list, so they were run as a black-box benchmark on real panels with the engine and the LLM of Note 2 receiving identical inputs. The panel generator, the scoring script and all metric definitions were committed before any reading was collected; predictions registered at that time were: LLM top-5 Jaccard 0.6–0.8 for P2/P3, engine violations 10–30 % for P4, LLM unsupported assertions 30–60 % for P5.</w:t>
      </w:r>
    </w:p>
    <w:p>
      <w:r>
        <w:rPr>
          <w:b/>
        </w:rPr>
        <w:t>Panels</w:t>
      </w:r>
      <w:r>
        <w:t xml:space="preserve"> (</w:t>
      </w:r>
      <w:r>
        <w:rPr>
          <w:rFonts w:ascii="Consolas" w:hAnsi="Consolas"/>
        </w:rPr>
        <w:t>eval/blackbox/make_property_panels.py</w:t>
      </w:r>
      <w:r>
        <w:t>, seed 20261027; base stays drawn from the 400 already read blind, so no new label exposure). P2: 40 panels re-expressed in SI units (creatinine µmol/L, glucose/urea/calcium/magnesium/phosphate/lipids mmol/L, bilirubin µmol/L, haemoglobin/albumin/protein g/L, lactate mg/dL). P3: the same 40 with analyte order shuffled and up to five normal-valued distractors appended (MCV 89 fL, alkaline phosphatase 72 U/L, total protein 6.9 g/dL, chloride 102 mmol/L, TSH 1.8 mIU/L; a distractor was only added when the analyte id was absent, but two distractor ids were aliases of analytes already present, see Residuals). P4: 20 stays with baseline creatinine 0.6–1.3 mg/dL, each at ×1.0/×1.5/×2.0. P5: 40 stays in which a criterion-met diagnosis ranked ≤ 3 by the frozen engine; its defining analyte (for creatinine also urea) was removed; the reader never saw the target or the removed analyte. The healthy-adult property (P6) was not re-run because the earlier blinded NHANES 2017–18 test (40 guideline-healthy + 30 reference-positive adults, same reader) already covers it.</w:t>
      </w:r>
    </w:p>
    <w:p>
      <w:r>
        <w:rPr>
          <w:b/>
        </w:rPr>
        <w:t>Reads.</w:t>
      </w:r>
      <w:r>
        <w:t xml:space="preserve"> Engine: live run on each panel; reference for P2/P3 = live run on the conventional-unit twin built by the same generator (deterministic). LLM: the same agent-platform reader as Note 2, blind to labels, targets and removed analytes, returning ten named entries with probabilities, mapped to label groups by the synonym table of Note 2. The LLM reference for P2/P3 is its original blind reading from an earlier session, so its Jaccard includes test–retest variability (κ 0.69). For P4 the ladder step was visible to the LLM reader (the panel key carries it), so the LLM P4 row is not a blind result.</w:t>
      </w:r>
    </w:p>
    <w:p>
      <w:r>
        <w:rPr>
          <w:b/>
        </w:rPr>
        <w:t>Metrics</w:t>
      </w:r>
      <w:r>
        <w:t xml:space="preserve"> (</w:t>
      </w:r>
      <w:r>
        <w:rPr>
          <w:rFonts w:ascii="Consolas" w:hAnsi="Consolas"/>
        </w:rPr>
        <w:t>eval/blackbox/score_property_panels.py</w:t>
      </w:r>
      <w:r>
        <w:t>). P2/P3: Jaccard of top-5 label-group sets versus the reference, share of identical sets, and the change in clinician-label recall@5. P4: share of ladders in which the best renal rank (acute kidney injury, renal impairment, CKD) worsens at any step. P5: share of panels in which the target group is still at rank ≤ 5; a post-hoc row (declared after the first scoring run) excludes panels in which a redundant analyte remained (haematocrit for haemoglobin, CK-MB/troponin T for troponin I, anion gap/pH/base excess for bicarbonate).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Property (n)</w:t>
            </w:r>
          </w:p>
        </w:tc>
        <w:tc>
          <w:tcPr>
            <w:tcW w:type="dxa" w:w="3324"/>
          </w:tcPr>
          <w:p>
            <w:pPr>
              <w:spacing w:after="0"/>
            </w:pPr>
            <w:r>
              <w:rPr>
                <w:b/>
              </w:rPr>
            </w:r>
            <w:r>
              <w:rPr>
                <w:b/>
                <w:sz w:val="15"/>
              </w:rPr>
              <w:t>Engine</w:t>
            </w:r>
          </w:p>
        </w:tc>
        <w:tc>
          <w:tcPr>
            <w:tcW w:type="dxa" w:w="3324"/>
          </w:tcPr>
          <w:p>
            <w:pPr>
              <w:spacing w:after="0"/>
            </w:pPr>
            <w:r>
              <w:rPr>
                <w:b/>
              </w:rPr>
            </w:r>
            <w:r>
              <w:rPr>
                <w:b/>
                <w:sz w:val="15"/>
              </w:rPr>
              <w:t>LLM</w:t>
            </w:r>
          </w:p>
        </w:tc>
      </w:tr>
      <w:tr>
        <w:tc>
          <w:tcPr>
            <w:tcW w:type="dxa" w:w="3324"/>
          </w:tcPr>
          <w:p>
            <w:pPr>
              <w:spacing w:after="0"/>
            </w:pPr>
            <w:r/>
            <w:r>
              <w:rPr>
                <w:sz w:val="15"/>
              </w:rPr>
              <w:t>P2 SI units: identical top-5 / mean Jaccard / label Δ (40)</w:t>
            </w:r>
          </w:p>
        </w:tc>
        <w:tc>
          <w:tcPr>
            <w:tcW w:type="dxa" w:w="3324"/>
          </w:tcPr>
          <w:p>
            <w:pPr>
              <w:spacing w:after="0"/>
            </w:pPr>
            <w:r/>
            <w:r>
              <w:rPr>
                <w:sz w:val="15"/>
              </w:rPr>
              <w:t>40/40 / 1.00 / 0 (v8.1 first run: 36/40 / 0.98)</w:t>
            </w:r>
          </w:p>
        </w:tc>
        <w:tc>
          <w:tcPr>
            <w:tcW w:type="dxa" w:w="3324"/>
          </w:tcPr>
          <w:p>
            <w:pPr>
              <w:spacing w:after="0"/>
            </w:pPr>
            <w:r/>
            <w:r>
              <w:rPr>
                <w:sz w:val="15"/>
              </w:rPr>
              <w:t>8/40 / 0.72 / +3</w:t>
            </w:r>
          </w:p>
        </w:tc>
      </w:tr>
      <w:tr>
        <w:tc>
          <w:tcPr>
            <w:tcW w:type="dxa" w:w="3324"/>
          </w:tcPr>
          <w:p>
            <w:pPr>
              <w:spacing w:after="0"/>
            </w:pPr>
            <w:r/>
            <w:r>
              <w:rPr>
                <w:sz w:val="15"/>
              </w:rPr>
              <w:t>P3 shuffle + distractors (40)</w:t>
            </w:r>
          </w:p>
        </w:tc>
        <w:tc>
          <w:tcPr>
            <w:tcW w:type="dxa" w:w="3324"/>
          </w:tcPr>
          <w:p>
            <w:pPr>
              <w:spacing w:after="0"/>
            </w:pPr>
            <w:r/>
            <w:r>
              <w:rPr>
                <w:sz w:val="15"/>
              </w:rPr>
              <w:t>35/40 / 0.96 / 0</w:t>
            </w:r>
          </w:p>
        </w:tc>
        <w:tc>
          <w:tcPr>
            <w:tcW w:type="dxa" w:w="3324"/>
          </w:tcPr>
          <w:p>
            <w:pPr>
              <w:spacing w:after="0"/>
            </w:pPr>
            <w:r/>
            <w:r>
              <w:rPr>
                <w:sz w:val="15"/>
              </w:rPr>
              <w:t>10/40 / 0.73 / +3</w:t>
            </w:r>
          </w:p>
        </w:tc>
      </w:tr>
      <w:tr>
        <w:tc>
          <w:tcPr>
            <w:tcW w:type="dxa" w:w="3324"/>
          </w:tcPr>
          <w:p>
            <w:pPr>
              <w:spacing w:after="0"/>
            </w:pPr>
            <w:r/>
            <w:r>
              <w:rPr>
                <w:sz w:val="15"/>
              </w:rPr>
              <w:t>P4 monotonicity violations (20 ladders)</w:t>
            </w:r>
          </w:p>
        </w:tc>
        <w:tc>
          <w:tcPr>
            <w:tcW w:type="dxa" w:w="3324"/>
          </w:tcPr>
          <w:p>
            <w:pPr>
              <w:spacing w:after="0"/>
            </w:pPr>
            <w:r/>
            <w:r>
              <w:rPr>
                <w:sz w:val="15"/>
              </w:rPr>
              <w:t>2/20</w:t>
            </w:r>
          </w:p>
        </w:tc>
        <w:tc>
          <w:tcPr>
            <w:tcW w:type="dxa" w:w="3324"/>
          </w:tcPr>
          <w:p>
            <w:pPr>
              <w:spacing w:after="0"/>
            </w:pPr>
            <w:r/>
            <w:r>
              <w:rPr>
                <w:sz w:val="15"/>
              </w:rPr>
              <w:t>0/20 (step visible)</w:t>
            </w:r>
          </w:p>
        </w:tc>
      </w:tr>
      <w:tr>
        <w:tc>
          <w:tcPr>
            <w:tcW w:type="dxa" w:w="3324"/>
          </w:tcPr>
          <w:p>
            <w:pPr>
              <w:spacing w:after="0"/>
            </w:pPr>
            <w:r/>
            <w:r>
              <w:rPr>
                <w:sz w:val="15"/>
              </w:rPr>
              <w:t>P5 unsupported assertion (40)</w:t>
            </w:r>
          </w:p>
        </w:tc>
        <w:tc>
          <w:tcPr>
            <w:tcW w:type="dxa" w:w="3324"/>
          </w:tcPr>
          <w:p>
            <w:pPr>
              <w:spacing w:after="0"/>
            </w:pPr>
            <w:r/>
            <w:r>
              <w:rPr>
                <w:sz w:val="15"/>
              </w:rPr>
              <w:t>3/40</w:t>
            </w:r>
          </w:p>
        </w:tc>
        <w:tc>
          <w:tcPr>
            <w:tcW w:type="dxa" w:w="3324"/>
          </w:tcPr>
          <w:p>
            <w:pPr>
              <w:spacing w:after="0"/>
            </w:pPr>
            <w:r/>
            <w:r>
              <w:rPr>
                <w:sz w:val="15"/>
              </w:rPr>
              <w:t>14/40</w:t>
            </w:r>
          </w:p>
        </w:tc>
      </w:tr>
      <w:tr>
        <w:tc>
          <w:tcPr>
            <w:tcW w:type="dxa" w:w="3324"/>
          </w:tcPr>
          <w:p>
            <w:pPr>
              <w:spacing w:after="0"/>
            </w:pPr>
            <w:r/>
            <w:r>
              <w:rPr>
                <w:sz w:val="15"/>
              </w:rPr>
              <w:t>P5, no redundant analyte left (29; post hoc)</w:t>
            </w:r>
          </w:p>
        </w:tc>
        <w:tc>
          <w:tcPr>
            <w:tcW w:type="dxa" w:w="3324"/>
          </w:tcPr>
          <w:p>
            <w:pPr>
              <w:spacing w:after="0"/>
            </w:pPr>
            <w:r/>
            <w:r>
              <w:rPr>
                <w:sz w:val="15"/>
              </w:rPr>
              <w:t>1/29</w:t>
            </w:r>
          </w:p>
        </w:tc>
        <w:tc>
          <w:tcPr>
            <w:tcW w:type="dxa" w:w="3324"/>
          </w:tcPr>
          <w:p>
            <w:pPr>
              <w:spacing w:after="0"/>
            </w:pPr>
            <w:r/>
            <w:r>
              <w:rPr>
                <w:sz w:val="15"/>
              </w:rPr>
              <w:t>4/29</w:t>
            </w:r>
          </w:p>
        </w:tc>
      </w:tr>
      <w:tr>
        <w:tc>
          <w:tcPr>
            <w:tcW w:type="dxa" w:w="3324"/>
          </w:tcPr>
          <w:p>
            <w:pPr>
              <w:spacing w:after="0"/>
            </w:pPr>
            <w:r/>
            <w:r>
              <w:rPr>
                <w:sz w:val="15"/>
              </w:rPr>
              <w:t>Healthy adults, disease asserted at p ≥ 0.5 (40; NHANES 2017–18)</w:t>
            </w:r>
          </w:p>
        </w:tc>
        <w:tc>
          <w:tcPr>
            <w:tcW w:type="dxa" w:w="3324"/>
          </w:tcPr>
          <w:p>
            <w:pPr>
              <w:spacing w:after="0"/>
            </w:pPr>
            <w:r/>
            <w:r>
              <w:rPr>
                <w:sz w:val="15"/>
              </w:rPr>
              <w:t>0/40</w:t>
            </w:r>
          </w:p>
        </w:tc>
        <w:tc>
          <w:tcPr>
            <w:tcW w:type="dxa" w:w="3324"/>
          </w:tcPr>
          <w:p>
            <w:pPr>
              <w:spacing w:after="0"/>
            </w:pPr>
            <w:r/>
            <w:r>
              <w:rPr>
                <w:sz w:val="15"/>
              </w:rPr>
              <w:t>4/40</w:t>
            </w:r>
          </w:p>
        </w:tc>
      </w:tr>
    </w:tbl>
    <w:p/>
    <w:p>
      <w:r>
        <w:rPr>
          <w:b/>
        </w:rPr>
        <w:t>Defect found and fixed.</w:t>
      </w:r>
      <w:r>
        <w:t xml:space="preserve"> The first engine run gave 36/40 identical P2 sets. All four discrepancies traced to one cause: a record mirrored under an engine-internal legacy identifier (</w:t>
      </w:r>
      <w:r>
        <w:rPr>
          <w:rFonts w:ascii="Consolas" w:hAnsi="Consolas"/>
        </w:rPr>
        <w:t>bilirubin_total</w:t>
      </w:r>
      <w:r>
        <w:t>) was not canonicalised because that identifier has no registry metadata, so a normal bilirubin of 9 µmol/L was compared with the 8 mg/dL panic threshold (false critical alert) and scored as high by the fuzzy and Bayesian layers (cholestasis 0.49 → 0.58). The in-process P2 test had not reached this path because it used glucose and creatinine. The fix resolves legacy identifiers to the registry feature they mirror before canonicalisation and before the panic check; a regression test (</w:t>
      </w:r>
      <w:r>
        <w:rPr>
          <w:rFonts w:ascii="Consolas" w:hAnsi="Consolas"/>
        </w:rPr>
        <w:t>tests/test_properties.py::test_p2_unit_invariance_legacy_alias_ids</w:t>
      </w:r>
      <w:r>
        <w:t>, bilirubin/urea/phosphate in SI units) fails before and passes after the fix; the 705-test suite passes; the fix is in v8.2 and the frozen v7 results are unchanged.</w:t>
      </w:r>
    </w:p>
    <w:p>
      <w:r>
        <w:rPr>
          <w:b/>
        </w:rPr>
        <w:t>Residuals.</w:t>
      </w:r>
      <w:r>
        <w:t xml:space="preserve"> P3 engine 5/40: in three stays the alias distractors (</w:t>
      </w:r>
      <w:r>
        <w:rPr>
          <w:rFonts w:ascii="Consolas" w:hAnsi="Consolas"/>
        </w:rPr>
        <w:t>mcv</w:t>
      </w:r>
      <w:r>
        <w:t xml:space="preserve"> 89, </w:t>
      </w:r>
      <w:r>
        <w:rPr>
          <w:rFonts w:ascii="Consolas" w:hAnsi="Consolas"/>
        </w:rPr>
        <w:t>tsh</w:t>
      </w:r>
      <w:r>
        <w:t xml:space="preserve"> 1.8) duplicated an analyte already present under its canonical id with a different value (measured MCV 100.5 fL; TSH 4.7 and 4.3 mIU/L), so the perturbation was not value-preserving there; in two stays the differential had fewer than five entries and 0.15-probability items entered the top-5 set. P4 engine 2/20: at the ×2.0 step the renal cluster's best rank fell because the engine switched from "reduced GFR, chronicity undetermined" (anchor 0.92) to a lower-scored acute-kidney-injury entry; logged as a candidate for the next release, not changed. P5 engine 3/40: two anaemia panels with haematocrit present (supported) and one assertion of acute kidney injury with neither creatinine nor urea in the panel (a defect candidate). P5 LLM 14/40: ten with a redundant analyte present (eight anaemia with haematocrit, one myocardial infarction with CK-MB 28 ng/mL, one metabolic acidosis with anion gap 24.5); four without (three "diabetic ketoacidosis" from acid–base data alone, one heart failure without BNP).</w:t>
      </w:r>
    </w:p>
    <w:p>
      <w:r>
        <w:rPr>
          <w:b/>
        </w:rPr>
        <w:t>Interpretation.</w:t>
      </w:r>
      <w:r>
        <w:t xml:space="preserve"> The engine kept unit and presentation invariance where the LLM's ranking changed in most panels, and asserted the target without its defining analyte less often; but the LLM's P2/P3 figures are bounded by its own retest variability, the P4 LLM row is not blind, and the properties test consistency, not correctness. The practical difference is that an engine violation is a reproducible bug report (two were found here), whereas an LLM's changed answer is not actionable.</w:t>
      </w:r>
    </w:p>
    <w:p>
      <w:r>
        <w:rPr>
          <w:b/>
        </w:rPr>
        <w:t>LabPanel-Check (released package, `eval/labpanel_check/`).</w:t>
      </w:r>
      <w:r>
        <w:t xml:space="preserve"> The 180 perturbed eICU panels and their 40 conventional references, the 70 NHANES panels of the B5 blind test, the 31-group label map (entity ids and free-text regular expressions), a scorer that depends only on the Python standard library (</w:t>
      </w:r>
      <w:r>
        <w:rPr>
          <w:rFonts w:ascii="Consolas" w:hAnsi="Consolas"/>
        </w:rPr>
        <w:t>score.py</w:t>
      </w:r>
      <w:r>
        <w:t xml:space="preserve">) and both reference readings are packaged so that any reader can be scored with one command; </w:t>
      </w:r>
      <w:r>
        <w:rPr>
          <w:rFonts w:ascii="Consolas" w:hAnsi="Consolas"/>
        </w:rPr>
        <w:t>tests/test_labpanel_check.py</w:t>
      </w:r>
      <w:r>
        <w:t xml:space="preserve"> asserts that the scorer reproduces every figure of this Note from the stored readings. The engine reference card was regenerated at package build with engine v8.2 and registry 15.2.0 and differs from the table above in one cell: P2 39/40 instead of 40/40. In the discordant pair (eICU stay 508973) the generator rounds creatinine 1.3 mg/dL to 115 µmol/L, which converts back to 1.3009 mg/dL and crosses the strict "&gt; 1.3 mg/dL" leaf of rule </w:t>
      </w:r>
      <w:r>
        <w:rPr>
          <w:rFonts w:ascii="Consolas" w:hAnsi="Consolas"/>
        </w:rPr>
        <w:t>reduced_gfr_single_panel_v14</w:t>
      </w:r>
      <w:r>
        <w:t>; the same leaf fired in the 2026-10-27 run, but acute kidney injury was then in both top-5 sets. All SI values in P2 are rounded (two decimals when the factor is below 1, integers otherwise; ≤ 0.1 % drift), so the package documents this and the scorer lists every non-identical pair. Two descriptive P6 detection rows also changed: engine CKD 10/18 (was 15/18) because registry 15.x caps single-panel CKD assertions below 0.5, and LLM iron deficiency 7/8 (was 8/8) because the original B5 script's match term was a bare string iterated character-wise, a scoring bug corrected on 2026-10-28; the 0/40 and 4/40 healthy-adult rows are unchanged.</w:t>
      </w:r>
    </w:p>
    <w:p>
      <w:pPr>
        <w:pStyle w:val="Heading1"/>
      </w:pPr>
      <w:r>
        <w:rPr>
          <w:color w:val="000000"/>
        </w:rPr>
        <w:t>Supplementary Note 14 — The engine's criteria as an executable verifier behind the LLM, and the verified-consensus arm (protocols committed 2026-10-27 before computation)</w:t>
      </w:r>
    </w:p>
    <w:p>
      <w:r>
        <w:rPr>
          <w:b/>
        </w:rPr>
        <w:t>Question.</w:t>
      </w:r>
      <w:r>
        <w:t xml:space="preserve"> Whether the guideline criteria already used by the panel-supported metric can serve as a deterministic verifier of an LLM differential drawn from the same panel, and what demoting unsupported entries costs in recall. No LLM call was made: the 400 stored blind readings of Note 2 were re-used.</w:t>
      </w:r>
    </w:p>
    <w:p>
      <w:r>
        <w:rPr>
          <w:b/>
        </w:rPr>
        <w:t>Verifier.</w:t>
      </w:r>
      <w:r>
        <w:t xml:space="preserve"> Each LLM entry is mapped to label groups by the frozen synonym map of Note 2 and receives one verdict: </w:t>
      </w:r>
      <w:r>
        <w:rPr>
          <w:i/>
        </w:rPr>
        <w:t>supported</w:t>
      </w:r>
      <w:r>
        <w:t xml:space="preserve"> (criterion met in the panel), </w:t>
      </w:r>
      <w:r>
        <w:rPr>
          <w:i/>
        </w:rPr>
        <w:t>contradicted</w:t>
      </w:r>
      <w:r>
        <w:t xml:space="preserve"> (defining analyte present, criterion not met), </w:t>
      </w:r>
      <w:r>
        <w:rPr>
          <w:i/>
        </w:rPr>
        <w:t>absent</w:t>
      </w:r>
      <w:r>
        <w:t xml:space="preserve"> (defining analyte not in the panel), or </w:t>
      </w:r>
      <w:r>
        <w:rPr>
          <w:i/>
        </w:rPr>
        <w:t>not verifiable</w:t>
      </w:r>
      <w:r>
        <w:t xml:space="preserve"> (no criterion for the group—sepsis, cirrhosis, GI bleeding, malnutrition, alcohol withdrawal—or no mapped group). An entry mapping to several groups is unsupported only if every verifiable group is unsupported. One key alias was added (the criterion function reads </w:t>
      </w:r>
      <w:r>
        <w:rPr>
          <w:rFonts w:ascii="Consolas" w:hAnsi="Consolas"/>
        </w:rPr>
        <w:t>inr</w:t>
      </w:r>
      <w:r>
        <w:t xml:space="preserve">; panels store </w:t>
      </w:r>
      <w:r>
        <w:rPr>
          <w:rFonts w:ascii="Consolas" w:hAnsi="Consolas"/>
        </w:rPr>
        <w:t>international_normalized_ratio</w:t>
      </w:r>
      <w:r>
        <w:t>); no threshold was changed. The same alias gap means the published panel-supported metric treated every coagulopathy label as analyte-missing and excluded it; the frozen numbers were not re-run, and the effect is confined to that one group.</w:t>
      </w:r>
    </w:p>
    <w:p>
      <w:r>
        <w:rPr>
          <w:b/>
        </w:rPr>
        <w:t>Arms and metrics.</w:t>
      </w:r>
      <w:r>
        <w:t xml:space="preserve"> A, LLM raw; B, unsupported entries demoted below all others with order preserved; C, unsupported entries removed; D, engine v7; E, the engine's own top-5 passed through the verifier. Recall@k against clinician labels (596, b8 rule) with stay-clustered bootstrap (4,000 resamples); unsupported-assertion rate among mapped, verifiable top-5 entries; verifier cost = demoted entries that were clinician labels. Registered predictions: LLM top-5 unsupported 15–30 %; after demotion &lt; 5 %; recall@5 change −2 to +1 points; cost ≤ 10 %; engine top-5 unsupported 5–15 %.</w:t>
      </w:r>
    </w:p>
    <w:p>
      <w:r>
        <w:rPr>
          <w:b/>
        </w:rPr>
        <w:t>Results</w:t>
      </w:r>
      <w:r>
        <w:t xml:space="preserve"> (</w:t>
      </w:r>
      <w:r>
        <w:rPr>
          <w:rFonts w:ascii="Consolas" w:hAnsi="Consolas"/>
        </w:rPr>
        <w:t>eval/verifier/verify_llm_output.py</w:t>
      </w:r>
      <w:r>
        <w:t>). Of 2,424 LLM entries: 1,439 supported, 182 contradicted, 15 absent, 263 not verifiable, 525 out of vocabulary. Top-5 unsupported: LLM 140/1,486 (9.4 %; 10 absent-type), engine 233/1,518 (15.3 %; 0 absent-type). After demotion 84/1,464 (5.7 %). Recall@1/3/5/10: A 28.2/50.8/59.6/65.1; B 29.4/50.3/59.4/65.1; C 29.4/50.2/58.4/63.8; D 24.0/47.0/60.7/72.0. Paired B − A: @1 +1.2 (95 % CI +0.2 to +2.3, p = 0.014); @5 −0.2 (−0.5 to 0.0, p = 0.75). Paired C − A: @5 −1.2 (−2.1 to −0.4, p = 0.001). Cost: 10/197 demoted entries were clinician labels (5.1 %)—stays 1278738 and 1772933 ("prerenal azotemia / GI bleeding", renal criterion not met, GI-bleeding group not verifiable), 294032 and 3086265 (respiratory acidosis matched by "acidosis" to the metabolic-acidosis group; bicarbonate 28.2 and 26.0), 2825782 (alcoholic ketoacidosis; withdrawal label not verifiable), 3131438 (stress hyperglycaemia, glucose 134), 2684065 (mild prerenal azotaemia, creatinine 0.94), 426975 (coagulopathy, INR 1.4), 310446 (DKA, bicarbonate absent), 2767923 (early DKA, bicarbonate 24). Post hoc: 34 of the LLM's 140 unsupported top-5 entries are respiratory-acidosis names; excluding them, 106/1,486 (7.1 %). Engine top-5 failures by group: diabetes 54/123 and hyperglycaemia 33/123 (the label groups contain hyperglycaemia identifiers while the criterion is glucose ≥ 200 mg/dL or HbA1c ≥ 6.5 %, and ≥ 140 mg/dL respectively), renal impairment 49/197 and acute kidney injury 39/170 (entries ranked from the urea:creatinine ratio at creatinine 0.9–1.2 mg/dL in men), hypocalcaemia 17/53 (albumin-corrected calcium), metabolic acidosis 13/85. Agreement between the criterion verdict and the engine's own differential (per mapped group with a criterion): both positive 1,685; criterion negative, engine positive 136; both negative 124; criterion positive, engine negative 51.</w:t>
      </w:r>
    </w:p>
    <w:p>
      <w:r>
        <w:rPr>
          <w:b/>
        </w:rPr>
        <w:t>Predictions.</w:t>
      </w:r>
      <w:r>
        <w:t xml:space="preserve"> Two of five met (recall change; cost). The LLM's raw rate was lower than predicted, the post-demotion rate higher than the &lt; 5 % target (entries remain in the top-5 when a reading has fewer than five supported or non-verifiable entries), and the engine's rate was just above its range.</w:t>
      </w:r>
    </w:p>
    <w:p>
      <w:r>
        <w:rPr>
          <w:b/>
        </w:rPr>
        <w:t>Interpretation and limits.</w:t>
      </w:r>
      <w:r>
        <w:t xml:space="preserve"> The verifier removed 40 % of the LLM's unsupported top-5 assertions at no measurable recall cost and improved rank 1; removing rather than demoting costs about one point. The engine is not exempt: its own output fails the same proxy criteria more often than the LLM's, mostly where its rules are more permissive than the criterion (hyperglycaemia; prerenal patterns), but never without the defining analyte, which is the asymmetry the P5 property measured. The verdicts bound rather than measure unsupported assertion: the criteria are single-threshold proxies, the synonym map is coarse ("acidosis"), and 788 of 2,424 entries could not be verified at all. Nothing was tuned on these results; the thresholds and synonym map are those frozen for Table 5.</w:t>
      </w:r>
    </w:p>
    <w:p>
      <w:r>
        <w:rPr>
          <w:b/>
        </w:rPr>
        <w:t>Verified consensus arm (protocol committed separately before computation; `eval/consensus/verified_consensus.py`).</w:t>
      </w:r>
      <w:r>
        <w:t xml:space="preserve"> One parameter-free rule: B′ = LLM entries with verdict </w:t>
      </w:r>
      <w:r>
        <w:rPr>
          <w:i/>
        </w:rPr>
        <w:t>supported</w:t>
      </w:r>
      <w:r>
        <w:t xml:space="preserve">, in original order; F = reciprocal-rank fusion with k = 0, score(g) = 1/rank_engine(g) + 1/rank_B′(g), ties by engine rank; secondary G = engine list followed by B′ groups absent from it. Registered: F recall@5 63–67 %, recall@1 ≥ 29 %, F top-5 unsupported ≤ 15.3 %, G within 1 point of F; F &lt; 62 % to be reported as "not complementary". Results, recall@1/3/5/10: engine 24.0/47.0/60.7/72.0; LLM 28.2/50.8/59.6/65.1; </w:t>
      </w:r>
      <w:r>
        <w:rPr>
          <w:b/>
        </w:rPr>
        <w:t>F 21.8/46.6/61.2/76.3</w:t>
      </w:r>
      <w:r>
        <w:t>; G 19.1/46.1/59.7/76.2. Paired F − engine: @1 −2.2 (95 % CI −4.9 to +0.5), @5 +0.6 (−2.2 to +3.4, p = 0.77), @10 +4.5 (+2.2 to +6.8, p = 0.0005); F − LLM: @1 −6.4 (−9.7 to −3.2), @5 +1.7 (−1.2 to +4.7, p = 0.27), @10 +11.3 (+7.9 to +14.8). Top-5 unsupported (per group): engine 233/1,518 (15.3 %), LLM 179/1,512 (11.8 %), F 209/1,581 (13.2 %), G 244/1,500 (16.3 %). Of F's 1,870 top-5 entries, 1,836 were already in the engine list and 34 were admitted through the LLM and the criterion only. recall@5 by label stratum (n): criterion met (357) engine 77.9 / LLM 81.0 / F 82.1 / G 77.9; no criterion (131) 51.9 / 43.5 / 42.7 / 46.6; criterion not met (107) 15.0 / 7.5 / 15.0 / 15.9. Only the unsupported-rate prediction was met; F fell below the 62 % rule and is reported as not complementary. Mechanism: the filter discards every LLM entry about a group without a criterion, so the second vote reaches only criterion-defined groups and the engine's constellation-ranked outcome syndromes (sepsis, bleeding, cirrhosis, withdrawal) are pushed down; the gain appears only at rank 10, where the longer fused list recovers labels. No second rule was tried; the negative result bounds what verifier-gated fusion can add on this reference standard.</w:t>
      </w:r>
    </w:p>
    <w:p>
      <w:pPr>
        <w:pStyle w:val="Heading1"/>
      </w:pPr>
      <w:r>
        <w:rPr>
          <w:color w:val="000000"/>
        </w:rPr>
        <w:t>Supplementary Note 15 — Activity-guided provenance audit (protocol frozen 2026-10-27 before any run; registry 14.2.0, engine harness v8.2; frozen v7 results untouched)</w:t>
      </w:r>
    </w:p>
    <w:p>
      <w:r>
        <w:rPr>
          <w:b/>
        </w:rPr>
        <w:t>Question.</w:t>
      </w:r>
      <w:r>
        <w:t xml:space="preserve"> Which of the 33,183 executable rules actually influence Hemoglyph's output on real panels, and whether concentrating the source audit on those rules changes the picture of Note 8.</w:t>
      </w:r>
    </w:p>
    <w:p>
      <w:r>
        <w:rPr>
          <w:b/>
        </w:rPr>
        <w:t>Phase A — activity log.</w:t>
      </w:r>
      <w:r>
        <w:t xml:space="preserve"> For every rule and every one of 3,814 real panels (2,314 eICU first panels; 1,000 NHANES 2017–18 and 500 NHANES 2015–16 adults, seed 20261027) the harness recorded whether the rule fired and whether its disease entered the top-10 differential. </w:t>
      </w:r>
      <w:r>
        <w:rPr>
          <w:i/>
        </w:rPr>
        <w:t>Active core</w:t>
      </w:r>
      <w:r>
        <w:t xml:space="preserve">: contributed ≥ 1 time; </w:t>
      </w:r>
      <w:r>
        <w:rPr>
          <w:i/>
        </w:rPr>
        <w:t>hot core</w:t>
      </w:r>
      <w:r>
        <w:t>: ≥ 10 times.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set</w:t>
            </w:r>
          </w:p>
        </w:tc>
        <w:tc>
          <w:tcPr>
            <w:tcW w:type="dxa" w:w="2493"/>
          </w:tcPr>
          <w:p>
            <w:pPr>
              <w:spacing w:after="0"/>
            </w:pPr>
            <w:r>
              <w:rPr>
                <w:b/>
              </w:rPr>
            </w:r>
            <w:r>
              <w:rPr>
                <w:b/>
                <w:sz w:val="15"/>
              </w:rPr>
              <w:t>rules</w:t>
            </w:r>
          </w:p>
        </w:tc>
        <w:tc>
          <w:tcPr>
            <w:tcW w:type="dxa" w:w="2493"/>
          </w:tcPr>
          <w:p>
            <w:pPr>
              <w:spacing w:after="0"/>
            </w:pPr>
            <w:r>
              <w:rPr>
                <w:b/>
              </w:rPr>
            </w:r>
            <w:r>
              <w:rPr>
                <w:b/>
                <w:sz w:val="15"/>
              </w:rPr>
              <w:t>share</w:t>
            </w:r>
          </w:p>
        </w:tc>
        <w:tc>
          <w:tcPr>
            <w:tcW w:type="dxa" w:w="2493"/>
          </w:tcPr>
          <w:p>
            <w:pPr>
              <w:spacing w:after="0"/>
            </w:pPr>
            <w:r>
              <w:rPr>
                <w:b/>
              </w:rPr>
            </w:r>
            <w:r>
              <w:rPr>
                <w:b/>
                <w:sz w:val="15"/>
              </w:rPr>
              <w:t>curated anchors</w:t>
            </w:r>
          </w:p>
        </w:tc>
      </w:tr>
      <w:tr>
        <w:tc>
          <w:tcPr>
            <w:tcW w:type="dxa" w:w="2493"/>
          </w:tcPr>
          <w:p>
            <w:pPr>
              <w:spacing w:after="0"/>
            </w:pPr>
            <w:r/>
            <w:r>
              <w:rPr>
                <w:sz w:val="15"/>
              </w:rPr>
              <w:t>active core</w:t>
            </w:r>
          </w:p>
        </w:tc>
        <w:tc>
          <w:tcPr>
            <w:tcW w:type="dxa" w:w="2493"/>
          </w:tcPr>
          <w:p>
            <w:pPr>
              <w:spacing w:after="0"/>
            </w:pPr>
            <w:r/>
            <w:r>
              <w:rPr>
                <w:sz w:val="15"/>
              </w:rPr>
              <w:t>364</w:t>
            </w:r>
          </w:p>
        </w:tc>
        <w:tc>
          <w:tcPr>
            <w:tcW w:type="dxa" w:w="2493"/>
          </w:tcPr>
          <w:p>
            <w:pPr>
              <w:spacing w:after="0"/>
            </w:pPr>
            <w:r/>
            <w:r>
              <w:rPr>
                <w:sz w:val="15"/>
              </w:rPr>
              <w:t>1.1 %</w:t>
            </w:r>
          </w:p>
        </w:tc>
        <w:tc>
          <w:tcPr>
            <w:tcW w:type="dxa" w:w="2493"/>
          </w:tcPr>
          <w:p>
            <w:pPr>
              <w:spacing w:after="0"/>
            </w:pPr>
            <w:r/>
            <w:r>
              <w:rPr>
                <w:sz w:val="15"/>
              </w:rPr>
              <w:t>46</w:t>
            </w:r>
          </w:p>
        </w:tc>
      </w:tr>
      <w:tr>
        <w:tc>
          <w:tcPr>
            <w:tcW w:type="dxa" w:w="2493"/>
          </w:tcPr>
          <w:p>
            <w:pPr>
              <w:spacing w:after="0"/>
            </w:pPr>
            <w:r/>
            <w:r>
              <w:rPr>
                <w:sz w:val="15"/>
              </w:rPr>
              <w:t>hot core</w:t>
            </w:r>
          </w:p>
        </w:tc>
        <w:tc>
          <w:tcPr>
            <w:tcW w:type="dxa" w:w="2493"/>
          </w:tcPr>
          <w:p>
            <w:pPr>
              <w:spacing w:after="0"/>
            </w:pPr>
            <w:r/>
            <w:r>
              <w:rPr>
                <w:sz w:val="15"/>
              </w:rPr>
              <w:t>174</w:t>
            </w:r>
          </w:p>
        </w:tc>
        <w:tc>
          <w:tcPr>
            <w:tcW w:type="dxa" w:w="2493"/>
          </w:tcPr>
          <w:p>
            <w:pPr>
              <w:spacing w:after="0"/>
            </w:pPr>
            <w:r/>
            <w:r>
              <w:rPr>
                <w:sz w:val="15"/>
              </w:rPr>
              <w:t>0.5 %</w:t>
            </w:r>
          </w:p>
        </w:tc>
        <w:tc>
          <w:tcPr>
            <w:tcW w:type="dxa" w:w="2493"/>
          </w:tcPr>
          <w:p>
            <w:pPr>
              <w:spacing w:after="0"/>
            </w:pPr>
            <w:r/>
            <w:r>
              <w:rPr>
                <w:sz w:val="15"/>
              </w:rPr>
              <w:t>32</w:t>
            </w:r>
          </w:p>
        </w:tc>
      </w:tr>
      <w:tr>
        <w:tc>
          <w:tcPr>
            <w:tcW w:type="dxa" w:w="2493"/>
          </w:tcPr>
          <w:p>
            <w:pPr>
              <w:spacing w:after="0"/>
            </w:pPr>
            <w:r/>
            <w:r>
              <w:rPr>
                <w:sz w:val="15"/>
              </w:rPr>
              <w:t>fired, never contributed</w:t>
            </w:r>
          </w:p>
        </w:tc>
        <w:tc>
          <w:tcPr>
            <w:tcW w:type="dxa" w:w="2493"/>
          </w:tcPr>
          <w:p>
            <w:pPr>
              <w:spacing w:after="0"/>
            </w:pPr>
            <w:r/>
            <w:r>
              <w:rPr>
                <w:sz w:val="15"/>
              </w:rPr>
              <w:t>1,627</w:t>
            </w:r>
          </w:p>
        </w:tc>
        <w:tc>
          <w:tcPr>
            <w:tcW w:type="dxa" w:w="2493"/>
          </w:tcPr>
          <w:p>
            <w:pPr>
              <w:spacing w:after="0"/>
            </w:pPr>
            <w:r/>
            <w:r>
              <w:rPr>
                <w:sz w:val="15"/>
              </w:rPr>
              <w:t>4.9 %</w:t>
            </w:r>
          </w:p>
        </w:tc>
        <w:tc>
          <w:tcPr>
            <w:tcW w:type="dxa" w:w="2493"/>
          </w:tcPr>
          <w:p>
            <w:pPr>
              <w:spacing w:after="0"/>
            </w:pPr>
            <w:r/>
            <w:r>
              <w:rPr>
                <w:sz w:val="15"/>
              </w:rPr>
              <w:t>3</w:t>
            </w:r>
          </w:p>
        </w:tc>
      </w:tr>
      <w:tr>
        <w:tc>
          <w:tcPr>
            <w:tcW w:type="dxa" w:w="2493"/>
          </w:tcPr>
          <w:p>
            <w:pPr>
              <w:spacing w:after="0"/>
            </w:pPr>
            <w:r/>
            <w:r>
              <w:rPr>
                <w:sz w:val="15"/>
              </w:rPr>
              <w:t>dormant on these corpora</w:t>
            </w:r>
          </w:p>
        </w:tc>
        <w:tc>
          <w:tcPr>
            <w:tcW w:type="dxa" w:w="2493"/>
          </w:tcPr>
          <w:p>
            <w:pPr>
              <w:spacing w:after="0"/>
            </w:pPr>
            <w:r/>
            <w:r>
              <w:rPr>
                <w:sz w:val="15"/>
              </w:rPr>
              <w:t>31,192</w:t>
            </w:r>
          </w:p>
        </w:tc>
        <w:tc>
          <w:tcPr>
            <w:tcW w:type="dxa" w:w="2493"/>
          </w:tcPr>
          <w:p>
            <w:pPr>
              <w:spacing w:after="0"/>
            </w:pPr>
            <w:r/>
            <w:r>
              <w:rPr>
                <w:sz w:val="15"/>
              </w:rPr>
              <w:t>94.0 %</w:t>
            </w:r>
          </w:p>
        </w:tc>
        <w:tc>
          <w:tcPr>
            <w:tcW w:type="dxa" w:w="2493"/>
          </w:tcPr>
          <w:p>
            <w:pPr>
              <w:spacing w:after="0"/>
            </w:pPr>
            <w:r/>
            <w:r>
              <w:rPr>
                <w:sz w:val="15"/>
              </w:rPr>
              <w:t>223</w:t>
            </w:r>
          </w:p>
        </w:tc>
      </w:tr>
    </w:tbl>
    <w:p/>
    <w:p>
      <w:r>
        <w:t>Composition quantified while classifying: 24,293 executable rules (73.2 %) belong to 4,026 generated two-analyte co-occurrence pattern entities (</w:t>
      </w:r>
      <w:r>
        <w:rPr>
          <w:rFonts w:ascii="Consolas" w:hAnsi="Consolas"/>
        </w:rPr>
        <w:t>co_*</w:t>
      </w:r>
      <w:r>
        <w:t xml:space="preserve">, entity kind </w:t>
      </w:r>
      <w:r>
        <w:rPr>
          <w:rFonts w:ascii="Consolas" w:hAnsi="Consolas"/>
        </w:rPr>
        <w:t>biomarker_pattern</w:t>
      </w:r>
      <w:r>
        <w:t>; every one cites the generic WHO essential-diagnostics landing page); 8,890 rules are attached to 2,502 disease, finding, allergy, drug-level or serology entities. In the active core 105/364 rules are templates; a template entity appeared in the frozen v7 top-5 in 62/2,314 eICU stays (2.7 %). First-cited source class, active core vs all executable: DOI-resolved 10.4 % vs 0.8 %; organisation or generic landing page 73.7 % vs 97.3 %; unreachable 12.1 % vs 1.6 %.</w:t>
      </w:r>
    </w:p>
    <w:p>
      <w:r>
        <w:rPr>
          <w:b/>
        </w:rPr>
        <w:t>Phase B — automated locator search.</w:t>
      </w:r>
      <w:r>
        <w:t xml:space="preserve"> Each active rule's registry locator was fetched (HTML text or PDF via pypdf), DOIs were additionally resolved through Europe PMC full text and PubMed abstracts, and the text was searched for the rule's threshold within 160 characters of an analyte name or synonym. Outcome for 364 rules: statement found for all leaves 2; for some leaves of a multi-leaf rule 4; in abstract only 2; number present without the analyte term 17; reachable page without the statement 150 (100 of them the CLSI EP28 shop page cited as second source by template rules); organisation landing page 120; locator blocked or 404 (who.int, acmg.net, diabetesjournals.org, escardio.org, acc.org, easl.eu, cff.org) 63; no locator 6.</w:t>
      </w:r>
    </w:p>
    <w:p>
      <w:r>
        <w:rPr>
          <w:b/>
        </w:rPr>
        <w:t>Phase C — fresh concordance sample.</w:t>
      </w:r>
      <w:r>
        <w:t xml:space="preserve"> 100 rules were drawn (seed 20261028) from the active core excluding the 200 rules of Note 8 and labelled under the Note 8 rules by the same single AI rater. Every CONCORDANT or DISCORDANT label carries a verbatim quote and the document location; multi-leaf rules were CONCORDANT only when every numeric leaf is stated (partially supported rules remain UNRESOLVABLE with the leaf count recorded); a strict-versus-inclusive boundary mismatch against an explicit source inequality was DISCORDANT; where a publisher page rate-limited automated access the identical article was read from its PubMed Central deposit and this is recorded.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p>
        </w:tc>
        <w:tc>
          <w:tcPr>
            <w:tcW w:type="dxa" w:w="1994"/>
          </w:tcPr>
          <w:p>
            <w:pPr>
              <w:spacing w:after="0"/>
            </w:pPr>
            <w:r>
              <w:rPr>
                <w:b/>
              </w:rPr>
            </w:r>
            <w:r>
              <w:rPr>
                <w:b/>
                <w:sz w:val="15"/>
              </w:rPr>
              <w:t>n</w:t>
            </w:r>
          </w:p>
        </w:tc>
        <w:tc>
          <w:tcPr>
            <w:tcW w:type="dxa" w:w="1994"/>
          </w:tcPr>
          <w:p>
            <w:pPr>
              <w:spacing w:after="0"/>
            </w:pPr>
            <w:r>
              <w:rPr>
                <w:b/>
              </w:rPr>
            </w:r>
            <w:r>
              <w:rPr>
                <w:b/>
                <w:sz w:val="15"/>
              </w:rPr>
              <w:t>CONCORDANT</w:t>
            </w:r>
          </w:p>
        </w:tc>
        <w:tc>
          <w:tcPr>
            <w:tcW w:type="dxa" w:w="1994"/>
          </w:tcPr>
          <w:p>
            <w:pPr>
              <w:spacing w:after="0"/>
            </w:pPr>
            <w:r>
              <w:rPr>
                <w:b/>
              </w:rPr>
            </w:r>
            <w:r>
              <w:rPr>
                <w:b/>
                <w:sz w:val="15"/>
              </w:rPr>
              <w:t>DISCORDANT</w:t>
            </w:r>
          </w:p>
        </w:tc>
        <w:tc>
          <w:tcPr>
            <w:tcW w:type="dxa" w:w="1994"/>
          </w:tcPr>
          <w:p>
            <w:pPr>
              <w:spacing w:after="0"/>
            </w:pPr>
            <w:r>
              <w:rPr>
                <w:b/>
              </w:rPr>
            </w:r>
            <w:r>
              <w:rPr>
                <w:b/>
                <w:sz w:val="15"/>
              </w:rPr>
              <w:t>UNRESOLVABLE (Wilson 95 % CI)</w:t>
            </w:r>
          </w:p>
        </w:tc>
      </w:tr>
      <w:tr>
        <w:tc>
          <w:tcPr>
            <w:tcW w:type="dxa" w:w="1994"/>
          </w:tcPr>
          <w:p>
            <w:pPr>
              <w:spacing w:after="0"/>
            </w:pPr>
            <w:r/>
            <w:r>
              <w:rPr>
                <w:sz w:val="15"/>
              </w:rPr>
              <w:t>all sampled</w:t>
            </w:r>
          </w:p>
        </w:tc>
        <w:tc>
          <w:tcPr>
            <w:tcW w:type="dxa" w:w="1994"/>
          </w:tcPr>
          <w:p>
            <w:pPr>
              <w:spacing w:after="0"/>
            </w:pPr>
            <w:r/>
            <w:r>
              <w:rPr>
                <w:sz w:val="15"/>
              </w:rPr>
              <w:t>100</w:t>
            </w:r>
          </w:p>
        </w:tc>
        <w:tc>
          <w:tcPr>
            <w:tcW w:type="dxa" w:w="1994"/>
          </w:tcPr>
          <w:p>
            <w:pPr>
              <w:spacing w:after="0"/>
            </w:pPr>
            <w:r/>
            <w:r>
              <w:rPr>
                <w:sz w:val="15"/>
              </w:rPr>
              <w:t>6</w:t>
            </w:r>
          </w:p>
        </w:tc>
        <w:tc>
          <w:tcPr>
            <w:tcW w:type="dxa" w:w="1994"/>
          </w:tcPr>
          <w:p>
            <w:pPr>
              <w:spacing w:after="0"/>
            </w:pPr>
            <w:r/>
            <w:r>
              <w:rPr>
                <w:sz w:val="15"/>
              </w:rPr>
              <w:t>2</w:t>
            </w:r>
          </w:p>
        </w:tc>
        <w:tc>
          <w:tcPr>
            <w:tcW w:type="dxa" w:w="1994"/>
          </w:tcPr>
          <w:p>
            <w:pPr>
              <w:spacing w:after="0"/>
            </w:pPr>
            <w:r/>
            <w:r>
              <w:rPr>
                <w:sz w:val="15"/>
              </w:rPr>
              <w:t>92 (85.0–95.9 %)</w:t>
            </w:r>
          </w:p>
        </w:tc>
      </w:tr>
      <w:tr>
        <w:tc>
          <w:tcPr>
            <w:tcW w:type="dxa" w:w="1994"/>
          </w:tcPr>
          <w:p>
            <w:pPr>
              <w:spacing w:after="0"/>
            </w:pPr>
            <w:r/>
            <w:r>
              <w:rPr>
                <w:sz w:val="15"/>
              </w:rPr>
              <w:t>non-template rules</w:t>
            </w:r>
          </w:p>
        </w:tc>
        <w:tc>
          <w:tcPr>
            <w:tcW w:type="dxa" w:w="1994"/>
          </w:tcPr>
          <w:p>
            <w:pPr>
              <w:spacing w:after="0"/>
            </w:pPr>
            <w:r/>
            <w:r>
              <w:rPr>
                <w:sz w:val="15"/>
              </w:rPr>
              <w:t>70</w:t>
            </w:r>
          </w:p>
        </w:tc>
        <w:tc>
          <w:tcPr>
            <w:tcW w:type="dxa" w:w="1994"/>
          </w:tcPr>
          <w:p>
            <w:pPr>
              <w:spacing w:after="0"/>
            </w:pPr>
            <w:r/>
            <w:r>
              <w:rPr>
                <w:sz w:val="15"/>
              </w:rPr>
              <w:t>6</w:t>
            </w:r>
          </w:p>
        </w:tc>
        <w:tc>
          <w:tcPr>
            <w:tcW w:type="dxa" w:w="1994"/>
          </w:tcPr>
          <w:p>
            <w:pPr>
              <w:spacing w:after="0"/>
            </w:pPr>
            <w:r/>
            <w:r>
              <w:rPr>
                <w:sz w:val="15"/>
              </w:rPr>
              <w:t>2</w:t>
            </w:r>
          </w:p>
        </w:tc>
        <w:tc>
          <w:tcPr>
            <w:tcW w:type="dxa" w:w="1994"/>
          </w:tcPr>
          <w:p>
            <w:pPr>
              <w:spacing w:after="0"/>
            </w:pPr>
            <w:r/>
            <w:r>
              <w:rPr>
                <w:sz w:val="15"/>
              </w:rPr>
              <w:t>62 (88.6 %; 79.0–94.1)</w:t>
            </w:r>
          </w:p>
        </w:tc>
      </w:tr>
      <w:tr>
        <w:tc>
          <w:tcPr>
            <w:tcW w:type="dxa" w:w="1994"/>
          </w:tcPr>
          <w:p>
            <w:pPr>
              <w:spacing w:after="0"/>
            </w:pPr>
            <w:r/>
            <w:r>
              <w:rPr>
                <w:sz w:val="15"/>
              </w:rPr>
              <w:t>hot-core rules</w:t>
            </w:r>
          </w:p>
        </w:tc>
        <w:tc>
          <w:tcPr>
            <w:tcW w:type="dxa" w:w="1994"/>
          </w:tcPr>
          <w:p>
            <w:pPr>
              <w:spacing w:after="0"/>
            </w:pPr>
            <w:r/>
            <w:r>
              <w:rPr>
                <w:sz w:val="15"/>
              </w:rPr>
              <w:t>37</w:t>
            </w:r>
          </w:p>
        </w:tc>
        <w:tc>
          <w:tcPr>
            <w:tcW w:type="dxa" w:w="1994"/>
          </w:tcPr>
          <w:p>
            <w:pPr>
              <w:spacing w:after="0"/>
            </w:pPr>
            <w:r/>
            <w:r>
              <w:rPr>
                <w:sz w:val="15"/>
              </w:rPr>
              <w:t>3</w:t>
            </w:r>
          </w:p>
        </w:tc>
        <w:tc>
          <w:tcPr>
            <w:tcW w:type="dxa" w:w="1994"/>
          </w:tcPr>
          <w:p>
            <w:pPr>
              <w:spacing w:after="0"/>
            </w:pPr>
            <w:r/>
            <w:r>
              <w:rPr>
                <w:sz w:val="15"/>
              </w:rPr>
              <w:t>2</w:t>
            </w:r>
          </w:p>
        </w:tc>
        <w:tc>
          <w:tcPr>
            <w:tcW w:type="dxa" w:w="1994"/>
          </w:tcPr>
          <w:p>
            <w:pPr>
              <w:spacing w:after="0"/>
            </w:pPr>
            <w:r/>
            <w:r>
              <w:rPr>
                <w:sz w:val="15"/>
              </w:rPr>
              <w:t>32 (86.5 %; 72.0–94.1)</w:t>
            </w:r>
          </w:p>
        </w:tc>
      </w:tr>
      <w:tr>
        <w:tc>
          <w:tcPr>
            <w:tcW w:type="dxa" w:w="1994"/>
          </w:tcPr>
          <w:p>
            <w:pPr>
              <w:spacing w:after="0"/>
            </w:pPr>
            <w:r/>
            <w:r>
              <w:rPr>
                <w:sz w:val="15"/>
              </w:rPr>
              <w:t>Note 8 sample</w:t>
            </w:r>
          </w:p>
        </w:tc>
        <w:tc>
          <w:tcPr>
            <w:tcW w:type="dxa" w:w="1994"/>
          </w:tcPr>
          <w:p>
            <w:pPr>
              <w:spacing w:after="0"/>
            </w:pPr>
            <w:r/>
            <w:r>
              <w:rPr>
                <w:sz w:val="15"/>
              </w:rPr>
              <w:t>200</w:t>
            </w:r>
          </w:p>
        </w:tc>
        <w:tc>
          <w:tcPr>
            <w:tcW w:type="dxa" w:w="1994"/>
          </w:tcPr>
          <w:p>
            <w:pPr>
              <w:spacing w:after="0"/>
            </w:pPr>
            <w:r/>
            <w:r>
              <w:rPr>
                <w:sz w:val="15"/>
              </w:rPr>
              <w:t>1</w:t>
            </w:r>
          </w:p>
        </w:tc>
        <w:tc>
          <w:tcPr>
            <w:tcW w:type="dxa" w:w="1994"/>
          </w:tcPr>
          <w:p>
            <w:pPr>
              <w:spacing w:after="0"/>
            </w:pPr>
            <w:r/>
            <w:r>
              <w:rPr>
                <w:sz w:val="15"/>
              </w:rPr>
              <w:t>15</w:t>
            </w:r>
          </w:p>
        </w:tc>
        <w:tc>
          <w:tcPr>
            <w:tcW w:type="dxa" w:w="1994"/>
          </w:tcPr>
          <w:p>
            <w:pPr>
              <w:spacing w:after="0"/>
            </w:pPr>
            <w:r/>
            <w:r>
              <w:rPr>
                <w:sz w:val="15"/>
              </w:rPr>
              <w:t>184 (92.0 %; 87.4–95.0)</w:t>
            </w:r>
          </w:p>
        </w:tc>
      </w:tr>
    </w:tbl>
    <w:p/>
    <w:p>
      <w:r>
        <w:t>Concordant: ADA Standards of Care 2026 diabetes criteria (two rules; the random-glucose leaf lacks the source's "classic symptoms" qualifier), ADA 2026 prediabetes ranges, ADA/EASD 2024 severe-DKA tier (pH &lt; 7.0, bicarbonate &lt; 10 mmol/L, β-hydroxybutyrate &gt; 6.0 mmol/L), ADA/EASD 2024 HHS criteria (glucose ≥ 600 mg/dL, total osmolality &gt; 320 mOsm/kg; read from Fig. 2B; the rule omits the source's two exclusion criteria), BSG 2021 iron-deficiency anaemia (ferritin &lt; 30 µg/L with WHO haemoglobin cut-offs). Discordant: HbA1c "&gt; 5.7 %" prediabetes pattern (source 5.7–6.4 % inclusive with upper bound); CK "≥ 1000 U/L" rhabdomyolysis (source "&gt; 1000 IU/L", a systematic review rather than a guideline). Partially supported, left unresolvable: the SIRS-with-laboratory-support rule (8/10 leaves in Sepsis-3 Box 1 and the septic-shock lactate criterion; procalcitonin and CRP leaves absent) and a cyanide screen (lactate ≥ 8 mmol/L stated; bicarbonate leaf absent). Among the 62 unresolvable non-template rules at least 18 cite a specific document whose topic does not address the rule's analyte or disease (an ACG Crohn's guideline for bilirubin, albumin and leucocytes; an AAN status-epilepticus guideline for creatine kinase and leucocytes; the AAP well-child schedule for chloride, sodium and potassium; a myasthenia guidance for lactate), 30 cite only an organisation landing page, and five cite a WHO URL that returns HTTP 404.</w:t>
      </w:r>
    </w:p>
    <w:p>
      <w:r>
        <w:rPr>
          <w:b/>
        </w:rPr>
        <w:t>Registered expectations.</w:t>
      </w:r>
      <w:r>
        <w:t xml:space="preserve"> Core 800–4,000 rules: not met (364). Anchors ≥ 30 % of hot core: not met (18 %). Locator search finding the statement for 30–60 % of active rules: not met (2.2 %). Unresolvable &lt; 92 % in the fresh sample: not met (92.0 %).</w:t>
      </w:r>
    </w:p>
    <w:p>
      <w:r>
        <w:rPr>
          <w:b/>
        </w:rPr>
        <w:t>Reading and limits.</w:t>
      </w:r>
      <w:r>
        <w:t xml:space="preserve"> The output-bearing part of the registry is small and identifiable, its provenance is better than the bulk's but still mostly unauditable from the cited locators, and the fresh sample reproduces the Note 8 failure modes—generic locators, topic-mismatched citations, broken URLs—while finding a small number of verbatim-concordant guideline criteria that Note 8 had not reached. "Dormant" is relative to the analyte coverage of the two corpora (about 50 analytes each); rules on analytes absent from both cannot fire. The audit is single-rater by a declared AI agent and no inter-rater reliability is claimed. No rule, threshold, weight or locator in the shipped registry was modified.</w:t>
      </w:r>
    </w:p>
    <w:p>
      <w:r>
        <w:rPr>
          <w:b/>
        </w:rPr>
        <w:t>Post-audit development release (registry 15.0.0; not used for any result in the main text).</w:t>
      </w:r>
      <w:r>
        <w:t xml:space="preserve"> The audit's classes were turned into a closed, pre-written change protocol and applied once to a development copy of the registry; the paper's engine (v7) and registry (14.1.0) are unchanged. The protocol forbids any change motivated by benchmark labels: every edit is decided from the rule text and its cited source. Six change classes were applied. (R1) The 24,308 template co-occurrence rules were re-attributed from the WHO landing page to an explicit synthetic source record (</w:t>
      </w:r>
      <w:r>
        <w:rPr>
          <w:rFonts w:ascii="Consolas" w:hAnsi="Consolas"/>
        </w:rPr>
        <w:t>generated_pair_pattern</w:t>
      </w:r>
      <w:r>
        <w:t>), so that their lack of guideline provenance is stated rather than hidden. (R2) 278 rules were retired: 234 single-ubiquitous-analyte rules asserting a specific entity (creatine kinase → McArdle disease, lactate → cerebral malaria, albumin → kwashiorkor and the like), 25 rules contradicting their own or a retrieved source (prediabetes from HbA1c &lt; 6.5 %; type 1 diabetes or LADA from glucose or HbA1c alone; thrombocytosis attributed to iron deficiency; a fixed-threshold acute-kidney-injury variant with thresholds found in no source), and 19 severity tiers whose thresholds appear in no source. (R3) 37 rules were re-sourced with a verbatim quote, document locator and retrieval date written into the rule (</w:t>
      </w:r>
      <w:r>
        <w:rPr>
          <w:rFonts w:ascii="Consolas" w:hAnsi="Consolas"/>
        </w:rPr>
        <w:t>provenance.verified_quote</w:t>
      </w:r>
      <w:r>
        <w:t xml:space="preserve">), written only when the analyte and threshold were found together in text retrieved on 2026-10-27 (WHO 2024 haemoglobin cut-offs from the IRIS PDF; WHO 2020 ferritin thresholds; ADA 2026 diagnostic, prediabetes and hypoglycaemia levels; ADA/EASD 2024 anion gap and euglycaemic-DKA definition; Sepsis-3 shock lactate and SIRS; AHA/ACC 2018 LDL-C ≥ 190 mg/dL; NCEP ATP III lipid classes; ACR/EULAR 2015 urate bands; AASLD 2023 / ACG 2017 ALT limits; KDIGO 2024 GFR and albuminuria categories; KDIGO 2012 AKI definition; BSG 2021 transferrin saturation). Ten further locators resolve but their threshold text could not be retrieved (abstract-only or publisher-blocked); those rules are marked locator-only and no quote is claimed. (R4) 36 reference-limit rules (sodium, potassium, magnesium, phosphate, leucocytes, INR, bilirubin, acid–base) lost their topic-mismatched citation and now cite an explicit </w:t>
      </w:r>
      <w:r>
        <w:rPr>
          <w:rFonts w:ascii="Consolas" w:hAnsi="Consolas"/>
        </w:rPr>
        <w:t>reference_interval_convention</w:t>
      </w:r>
      <w:r>
        <w:t xml:space="preserve"> record. (R5) Six logic corrections, each tied to a quote: the child-anaemia rule (Hb &lt; 11.5 g/dL) that had been applied to all ages and both sexes is gated to children; the male iron-deficiency rule used the female haemoglobin cut-off; prediabetes HbA1c &gt; 5.7 % became ≥ 5.7 %; hypoglycaemia &lt; 55 mg/dL became ADA level 2 (&lt; 54 mg/dL); rhabdomyolysis CK ≥ 1,000 U/L became &gt; 1,000 U/L; the euglycaemic-DKA rule, which fired on any non-ketotic acidosis with normal glucose, gained a β-hydroxybutyrate leaf. (R6) Seven source records were added and 18 repaired (the WHO 2024 record had pointed to the wrong WHO item; PubMed Central and official PDF locators were added). One deviation is recorded: the fixed-threshold </w:t>
      </w:r>
      <w:r>
        <w:rPr>
          <w:rFonts w:ascii="Consolas" w:hAnsi="Consolas"/>
        </w:rPr>
        <w:t>acute_kidney_injury_v1</w:t>
      </w:r>
      <w:r>
        <w:t xml:space="preserve"> rule, scheduled for retirement, was kept because the unit-test gate showed that the single-panel chronicity-undetermined logic depends on it; it is now labelled a single-panel surrogate with the KDIGO definition quoted beside it.</w:t>
      </w:r>
    </w:p>
    <w:p>
      <w:r>
        <w:t>The release was then evaluated once, with the current development engine (v8.2) in both arms so that only the registry differed. Unit tests (709), the three hard batteries (151/151, 124/124, 77/78 with the same pre-existing failure) and the healthy sweep (0/200) did not regress. On the 2,314 eICU-CRD demo stays, flat recall@5 moved from 61.0 % to 61.2 % and recall@10 from 74.1 % to 74.3 %, while top-1 (two-tier 33.5 % → 33.3 %; grouped 30.2 % → 29.0 %) and grouped recall@3 (55.6 % → 54.9 %) fell; the paired losses (34 grouped top-1 labels lost, 4 gained; exact sign test p &lt; 0.001) sit almost entirely in the renal and sepsis groups and trace to the retired fixed-threshold AKI variant and to retired sepsis tiers with unsourced thresholds. Per-group AUROCs were unchanged to two decimals (mean 0.766 in both arms), and the chart-support rate of confident outputs was 23.1 % in both arms. On 1,000 NHANES 2017–18 adults every AUROC changed by ≤ 0.012 (CKD 0.971 → 0.959; diabetes 0.946, anaemia 0.972 and iron deficiency 0.991 unchanged), and a CK-only McArdle rule disappeared from the outputs of guideline-healthy participants. Re-running the activity log on the same eICU panels, the eICU-only active core shrank from 293 to 193 rules and the hot core from 120 to 83; within the hot core the share of rules with no verifiable provenance fell from 59/120 to 23/83, and 34/83 now carry either a verbatim quote or an explicit convention record. The template layer was not retired (its provenance label changed, its logic did not), and it occupies slightly more top-5 slots afterwards (0.65 % → 0.80 %). These numbers are reported as obtained; the release trades a small amount of top-1 recall on retrospective ICU labels for rules whose thresholds can be read against their sources, and it is the registry on which the prospective study will be run.</w:t>
      </w:r>
    </w:p>
    <w:p>
      <w:pPr>
        <w:pStyle w:val="Heading1"/>
      </w:pPr>
      <w:r>
        <w:rPr>
          <w:color w:val="000000"/>
        </w:rPr>
        <w:t>Supplementary Note 16 — Audit study: sufficiency of the curated/quote-verified core, mutation testing of the static detectors and transfer to a second LLM-written corpus (protocol frozen 2026-10-28 before any run; registry 15.1.0, harness v8.2; frozen v7 results untouched)</w:t>
      </w:r>
    </w:p>
    <w:p>
      <w:r>
        <w:t>Protocol frozen and committed with the detector code before any result was computed (scripts listed in the Reproducibility map). Frozen v7 results are untouched; every run here uses the v8.2 harness and registry 15.1.0 (or the stated</w:t>
      </w:r>
    </w:p>
    <w:p>
      <w:r>
        <w:t>comparison registry). Reported in the order the parts were executed (2 → 1 → 3), because Part 1 could only be run</w:t>
      </w:r>
    </w:p>
    <w:p>
      <w:r>
        <w:t>after the detectors were frozen and Part 3 only after Part 1.</w:t>
      </w:r>
    </w:p>
    <w:p>
      <w:pPr>
        <w:pStyle w:val="Heading2"/>
      </w:pPr>
      <w:r>
        <w:rPr>
          <w:color w:val="303030"/>
        </w:rPr>
        <w:t>Pre-freeze calibration (declared)</w:t>
      </w:r>
    </w:p>
    <w:p>
      <w:r>
        <w:t>The seven static detectors (R2a single ubiquitous analyte, R7 arithmetic severity tier, R9 impossible/flat tier,</w:t>
      </w:r>
    </w:p>
    <w:p>
      <w:r>
        <w:t>DIR direction contradiction, UNIT unit–physiology mismatch, POP adult threshold on neonates/infants, SRC source-scope</w:t>
      </w:r>
    </w:p>
    <w:p>
      <w:r>
        <w:t xml:space="preserve">mismatch) were calibrated on registry 15.1.0 </w:t>
      </w:r>
      <w:r>
        <w:rPr>
          <w:b/>
        </w:rPr>
        <w:t>before</w:t>
      </w:r>
      <w:r>
        <w:t xml:space="preserve"> freezing. The first raw run flagged 1,241 rules (unit 713,</w:t>
      </w:r>
    </w:p>
    <w:p>
      <w:r>
        <w:t>src 349, r9 188, dir 40), the overwhelming majority false positives of the heuristics (unit-string synonyms,</w:t>
      </w:r>
    </w:p>
    <w:p>
      <w:r>
        <w:t>domain neighbours such as hepatology↔gastroenterology, deliberate multi-tier severities). Calibration consisted of</w:t>
      </w:r>
    </w:p>
    <w:p>
      <w:r>
        <w:t>whitelists and synonym tables;</w:t>
      </w:r>
    </w:p>
    <w:p>
      <w:r>
        <w:t>no rule was changed. Final density on 15.1.0 after calibration: 87 flagged rules of 6,777 non-template executable</w:t>
      </w:r>
    </w:p>
    <w:p>
      <w:r>
        <w:t xml:space="preserve">rules (1.28 per 100). Consequence, stated in advance: the 15.1.0 density is a </w:t>
      </w:r>
      <w:r>
        <w:rPr>
          <w:i/>
        </w:rPr>
        <w:t>trained-on</w:t>
      </w:r>
      <w:r>
        <w:t xml:space="preserve"> number and is a lower</w:t>
      </w:r>
    </w:p>
    <w:p>
      <w:r>
        <w:t>bound for the detectors' true positive rate on that registry; the 14.1.0 and Part 3 densities are out-of-sample</w:t>
      </w:r>
    </w:p>
    <w:p>
      <w:r>
        <w:t>with respect to the whitelists, except that a named-rule exemption list covers 13 15.1.0 rules by identifier (see Part 3).</w:t>
      </w:r>
    </w:p>
    <w:p>
      <w:pPr>
        <w:pStyle w:val="Heading2"/>
      </w:pPr>
      <w:r>
        <w:rPr>
          <w:color w:val="303030"/>
        </w:rPr>
        <w:t>Part 2 — Sufficiency of the audited core (registry arm CORE vs full 15.1.0)</w:t>
      </w:r>
    </w:p>
    <w:p>
      <w:r>
        <w:t>CORE = the 335 executable rules of 15.1.0 that are curated (284), carry a verbatim source quote from the 15.0.0</w:t>
      </w:r>
    </w:p>
    <w:p>
      <w:r>
        <w:t xml:space="preserve">re-sourcing of the active core (19 further rules) or are reference-interval conventions (32); it is </w:t>
      </w:r>
      <w:r>
        <w:rPr>
          <w:b/>
        </w:rPr>
        <w:t>not</w:t>
      </w:r>
      <w:r>
        <w:t xml:space="preserve"> the</w:t>
      </w:r>
    </w:p>
    <w:p>
      <w:r>
        <w:t>activity-defined active core — only 94 of the 364 active-core rules are in it (Note 18). Every other rule is set</w:t>
      </w:r>
    </w:p>
    <w:p>
      <w:r>
        <w:t>non-executable; sources untouched. Same harness, same cohorts, same seeds.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metric</w:t>
            </w:r>
          </w:p>
        </w:tc>
        <w:tc>
          <w:tcPr>
            <w:tcW w:type="dxa" w:w="1994"/>
          </w:tcPr>
          <w:p>
            <w:pPr>
              <w:spacing w:after="0"/>
            </w:pPr>
            <w:r>
              <w:rPr>
                <w:b/>
              </w:rPr>
            </w:r>
            <w:r>
              <w:rPr>
                <w:b/>
                <w:sz w:val="15"/>
              </w:rPr>
              <w:t>full 15.1.0</w:t>
            </w:r>
          </w:p>
        </w:tc>
        <w:tc>
          <w:tcPr>
            <w:tcW w:type="dxa" w:w="1994"/>
          </w:tcPr>
          <w:p>
            <w:pPr>
              <w:spacing w:after="0"/>
            </w:pPr>
            <w:r>
              <w:rPr>
                <w:b/>
              </w:rPr>
            </w:r>
            <w:r>
              <w:rPr>
                <w:b/>
                <w:sz w:val="15"/>
              </w:rPr>
              <w:t>CORE (335 rules)</w:t>
            </w:r>
          </w:p>
        </w:tc>
        <w:tc>
          <w:tcPr>
            <w:tcW w:type="dxa" w:w="1994"/>
          </w:tcPr>
          <w:p>
            <w:pPr>
              <w:spacing w:after="0"/>
            </w:pPr>
            <w:r>
              <w:rPr>
                <w:b/>
              </w:rPr>
            </w:r>
            <w:r>
              <w:rPr>
                <w:b/>
                <w:sz w:val="15"/>
              </w:rPr>
              <w:t>Δ (pts)</w:t>
            </w:r>
          </w:p>
        </w:tc>
        <w:tc>
          <w:tcPr>
            <w:tcW w:type="dxa" w:w="1994"/>
          </w:tcPr>
          <w:p>
            <w:pPr>
              <w:spacing w:after="0"/>
            </w:pPr>
            <w:r>
              <w:rPr>
                <w:b/>
              </w:rPr>
            </w:r>
            <w:r>
              <w:rPr>
                <w:b/>
                <w:sz w:val="15"/>
              </w:rPr>
              <w:t>paired full−CORE (gained / lost, exact McNemar p)</w:t>
            </w:r>
          </w:p>
        </w:tc>
      </w:tr>
      <w:tr>
        <w:tc>
          <w:tcPr>
            <w:tcW w:type="dxa" w:w="1994"/>
          </w:tcPr>
          <w:p>
            <w:pPr>
              <w:spacing w:after="0"/>
            </w:pPr>
            <w:r/>
            <w:r>
              <w:rPr>
                <w:sz w:val="15"/>
              </w:rPr>
              <w:t>eICU flat recall@3</w:t>
            </w:r>
          </w:p>
        </w:tc>
        <w:tc>
          <w:tcPr>
            <w:tcW w:type="dxa" w:w="1994"/>
          </w:tcPr>
          <w:p>
            <w:pPr>
              <w:spacing w:after="0"/>
            </w:pPr>
            <w:r/>
            <w:r>
              <w:rPr>
                <w:sz w:val="15"/>
              </w:rPr>
              <w:t>48.0</w:t>
            </w:r>
          </w:p>
        </w:tc>
        <w:tc>
          <w:tcPr>
            <w:tcW w:type="dxa" w:w="1994"/>
          </w:tcPr>
          <w:p>
            <w:pPr>
              <w:spacing w:after="0"/>
            </w:pPr>
            <w:r/>
            <w:r>
              <w:rPr>
                <w:sz w:val="15"/>
              </w:rPr>
              <w:t>47.8</w:t>
            </w:r>
          </w:p>
        </w:tc>
        <w:tc>
          <w:tcPr>
            <w:tcW w:type="dxa" w:w="1994"/>
          </w:tcPr>
          <w:p>
            <w:pPr>
              <w:spacing w:after="0"/>
            </w:pPr>
            <w:r/>
            <w:r>
              <w:rPr>
                <w:sz w:val="15"/>
              </w:rPr>
              <w:t>−0.21</w:t>
            </w:r>
          </w:p>
        </w:tc>
        <w:tc>
          <w:tcPr>
            <w:tcW w:type="dxa" w:w="1994"/>
          </w:tcPr>
          <w:p>
            <w:pPr>
              <w:spacing w:after="0"/>
            </w:pPr>
            <w:r/>
            <w:r>
              <w:rPr>
                <w:sz w:val="15"/>
              </w:rPr>
              <w:t>+40 / −35, n.s.</w:t>
            </w:r>
          </w:p>
        </w:tc>
      </w:tr>
      <w:tr>
        <w:tc>
          <w:tcPr>
            <w:tcW w:type="dxa" w:w="1994"/>
          </w:tcPr>
          <w:p>
            <w:pPr>
              <w:spacing w:after="0"/>
            </w:pPr>
            <w:r/>
            <w:r>
              <w:rPr>
                <w:sz w:val="15"/>
              </w:rPr>
              <w:t>eICU flat recall@5</w:t>
            </w:r>
          </w:p>
        </w:tc>
        <w:tc>
          <w:tcPr>
            <w:tcW w:type="dxa" w:w="1994"/>
          </w:tcPr>
          <w:p>
            <w:pPr>
              <w:spacing w:after="0"/>
            </w:pPr>
            <w:r/>
            <w:r>
              <w:rPr>
                <w:sz w:val="15"/>
              </w:rPr>
              <w:t>61.2</w:t>
            </w:r>
          </w:p>
        </w:tc>
        <w:tc>
          <w:tcPr>
            <w:tcW w:type="dxa" w:w="1994"/>
          </w:tcPr>
          <w:p>
            <w:pPr>
              <w:spacing w:after="0"/>
            </w:pPr>
            <w:r/>
            <w:r>
              <w:rPr>
                <w:sz w:val="15"/>
              </w:rPr>
              <w:t>61.2</w:t>
            </w:r>
          </w:p>
        </w:tc>
        <w:tc>
          <w:tcPr>
            <w:tcW w:type="dxa" w:w="1994"/>
          </w:tcPr>
          <w:p>
            <w:pPr>
              <w:spacing w:after="0"/>
            </w:pPr>
            <w:r/>
            <w:r>
              <w:rPr>
                <w:sz w:val="15"/>
              </w:rPr>
              <w:t>+0.04</w:t>
            </w:r>
          </w:p>
        </w:tc>
        <w:tc>
          <w:tcPr>
            <w:tcW w:type="dxa" w:w="1994"/>
          </w:tcPr>
          <w:p>
            <w:pPr>
              <w:spacing w:after="0"/>
            </w:pPr>
            <w:r/>
            <w:r>
              <w:rPr>
                <w:sz w:val="15"/>
              </w:rPr>
              <w:t>+45 / −49, n.s.</w:t>
            </w:r>
          </w:p>
        </w:tc>
      </w:tr>
      <w:tr>
        <w:tc>
          <w:tcPr>
            <w:tcW w:type="dxa" w:w="1994"/>
          </w:tcPr>
          <w:p>
            <w:pPr>
              <w:spacing w:after="0"/>
            </w:pPr>
            <w:r/>
            <w:r>
              <w:rPr>
                <w:sz w:val="15"/>
              </w:rPr>
              <w:t>eICU flat recall@10</w:t>
            </w:r>
          </w:p>
        </w:tc>
        <w:tc>
          <w:tcPr>
            <w:tcW w:type="dxa" w:w="1994"/>
          </w:tcPr>
          <w:p>
            <w:pPr>
              <w:spacing w:after="0"/>
            </w:pPr>
            <w:r/>
            <w:r>
              <w:rPr>
                <w:sz w:val="15"/>
              </w:rPr>
              <w:t>74.3</w:t>
            </w:r>
          </w:p>
        </w:tc>
        <w:tc>
          <w:tcPr>
            <w:tcW w:type="dxa" w:w="1994"/>
          </w:tcPr>
          <w:p>
            <w:pPr>
              <w:spacing w:after="0"/>
            </w:pPr>
            <w:r/>
            <w:r>
              <w:rPr>
                <w:sz w:val="15"/>
              </w:rPr>
              <w:t>73.1</w:t>
            </w:r>
          </w:p>
        </w:tc>
        <w:tc>
          <w:tcPr>
            <w:tcW w:type="dxa" w:w="1994"/>
          </w:tcPr>
          <w:p>
            <w:pPr>
              <w:spacing w:after="0"/>
            </w:pPr>
            <w:r/>
            <w:r>
              <w:rPr>
                <w:sz w:val="15"/>
              </w:rPr>
              <w:t>−1.23</w:t>
            </w:r>
          </w:p>
        </w:tc>
        <w:tc>
          <w:tcPr>
            <w:tcW w:type="dxa" w:w="1994"/>
          </w:tcPr>
          <w:p>
            <w:pPr>
              <w:spacing w:after="0"/>
            </w:pPr>
            <w:r/>
            <w:r>
              <w:rPr>
                <w:sz w:val="15"/>
              </w:rPr>
              <w:t>+65 / −36, p = 0.005</w:t>
            </w:r>
          </w:p>
        </w:tc>
      </w:tr>
      <w:tr>
        <w:tc>
          <w:tcPr>
            <w:tcW w:type="dxa" w:w="1994"/>
          </w:tcPr>
          <w:p>
            <w:pPr>
              <w:spacing w:after="0"/>
            </w:pPr>
            <w:r/>
            <w:r>
              <w:rPr>
                <w:sz w:val="15"/>
              </w:rPr>
              <w:t>eICU two-tier @1 / @3 / @5</w:t>
            </w:r>
          </w:p>
        </w:tc>
        <w:tc>
          <w:tcPr>
            <w:tcW w:type="dxa" w:w="1994"/>
          </w:tcPr>
          <w:p>
            <w:pPr>
              <w:spacing w:after="0"/>
            </w:pPr>
            <w:r/>
            <w:r>
              <w:rPr>
                <w:sz w:val="15"/>
              </w:rPr>
              <w:t>33.3 / 62.3 / 72.4</w:t>
            </w:r>
          </w:p>
        </w:tc>
        <w:tc>
          <w:tcPr>
            <w:tcW w:type="dxa" w:w="1994"/>
          </w:tcPr>
          <w:p>
            <w:pPr>
              <w:spacing w:after="0"/>
            </w:pPr>
            <w:r/>
            <w:r>
              <w:rPr>
                <w:sz w:val="15"/>
              </w:rPr>
              <w:t>32.3 / 60.9 / 70.1</w:t>
            </w:r>
          </w:p>
        </w:tc>
        <w:tc>
          <w:tcPr>
            <w:tcW w:type="dxa" w:w="1994"/>
          </w:tcPr>
          <w:p>
            <w:pPr>
              <w:spacing w:after="0"/>
            </w:pPr>
            <w:r/>
            <w:r>
              <w:rPr>
                <w:sz w:val="15"/>
              </w:rPr>
              <w:t>−0.99 / −1.36 / −2.30</w:t>
            </w:r>
          </w:p>
        </w:tc>
        <w:tc>
          <w:tcPr>
            <w:tcW w:type="dxa" w:w="1994"/>
          </w:tcPr>
          <w:p>
            <w:pPr>
              <w:spacing w:after="0"/>
            </w:pPr>
            <w:r/>
            <w:r>
              <w:rPr>
                <w:sz w:val="15"/>
              </w:rPr>
              <w:t>@1 +25 / −9, p = 0.009</w:t>
            </w:r>
          </w:p>
        </w:tc>
      </w:tr>
      <w:tr>
        <w:tc>
          <w:tcPr>
            <w:tcW w:type="dxa" w:w="1994"/>
          </w:tcPr>
          <w:p>
            <w:pPr>
              <w:spacing w:after="0"/>
            </w:pPr>
            <w:r/>
            <w:r>
              <w:rPr>
                <w:sz w:val="15"/>
              </w:rPr>
              <w:t>eICU grouped @1 / @3 / @5 / @10</w:t>
            </w:r>
          </w:p>
        </w:tc>
        <w:tc>
          <w:tcPr>
            <w:tcW w:type="dxa" w:w="1994"/>
          </w:tcPr>
          <w:p>
            <w:pPr>
              <w:spacing w:after="0"/>
            </w:pPr>
            <w:r/>
            <w:r>
              <w:rPr>
                <w:sz w:val="15"/>
              </w:rPr>
              <w:t>29.0 / 54.8 / 67.1 / 77.9</w:t>
            </w:r>
          </w:p>
        </w:tc>
        <w:tc>
          <w:tcPr>
            <w:tcW w:type="dxa" w:w="1994"/>
          </w:tcPr>
          <w:p>
            <w:pPr>
              <w:spacing w:after="0"/>
            </w:pPr>
            <w:r/>
            <w:r>
              <w:rPr>
                <w:sz w:val="15"/>
              </w:rPr>
              <w:t>28.7 / 55.3 / 67.1 / 76.2</w:t>
            </w:r>
          </w:p>
        </w:tc>
        <w:tc>
          <w:tcPr>
            <w:tcW w:type="dxa" w:w="1994"/>
          </w:tcPr>
          <w:p>
            <w:pPr>
              <w:spacing w:after="0"/>
            </w:pPr>
            <w:r/>
            <w:r>
              <w:rPr>
                <w:sz w:val="15"/>
              </w:rPr>
              <w:t>−0.25 / +0.49 / −0.04 / −1.69</w:t>
            </w:r>
          </w:p>
        </w:tc>
        <w:tc>
          <w:tcPr>
            <w:tcW w:type="dxa" w:w="1994"/>
          </w:tcPr>
          <w:p>
            <w:pPr>
              <w:spacing w:after="0"/>
            </w:pPr>
            <w:r/>
            <w:r>
              <w:rPr>
                <w:sz w:val="15"/>
              </w:rPr>
              <w:t>@10 +69 / −28, p = 3.8e-5</w:t>
            </w:r>
          </w:p>
        </w:tc>
      </w:tr>
      <w:tr>
        <w:tc>
          <w:tcPr>
            <w:tcW w:type="dxa" w:w="1994"/>
          </w:tcPr>
          <w:p>
            <w:pPr>
              <w:spacing w:after="0"/>
            </w:pPr>
            <w:r/>
            <w:r>
              <w:rPr>
                <w:sz w:val="15"/>
              </w:rPr>
              <w:t>eICU mean per-label AUROC</w:t>
            </w:r>
          </w:p>
        </w:tc>
        <w:tc>
          <w:tcPr>
            <w:tcW w:type="dxa" w:w="1994"/>
          </w:tcPr>
          <w:p>
            <w:pPr>
              <w:spacing w:after="0"/>
            </w:pPr>
            <w:r/>
            <w:r>
              <w:rPr>
                <w:sz w:val="15"/>
              </w:rPr>
              <w:t>.766</w:t>
            </w:r>
          </w:p>
        </w:tc>
        <w:tc>
          <w:tcPr>
            <w:tcW w:type="dxa" w:w="1994"/>
          </w:tcPr>
          <w:p>
            <w:pPr>
              <w:spacing w:after="0"/>
            </w:pPr>
            <w:r/>
            <w:r>
              <w:rPr>
                <w:sz w:val="15"/>
              </w:rPr>
              <w:t>.761</w:t>
            </w:r>
          </w:p>
        </w:tc>
        <w:tc>
          <w:tcPr>
            <w:tcW w:type="dxa" w:w="1994"/>
          </w:tcPr>
          <w:p>
            <w:pPr>
              <w:spacing w:after="0"/>
            </w:pPr>
            <w:r/>
            <w:r>
              <w:rPr>
                <w:sz w:val="15"/>
              </w:rPr>
              <w:t>−.005</w:t>
            </w:r>
          </w:p>
        </w:tc>
        <w:tc>
          <w:tcPr>
            <w:tcW w:type="dxa" w:w="1994"/>
          </w:tcPr>
          <w:p>
            <w:pPr>
              <w:spacing w:after="0"/>
            </w:pPr>
            <w:r/>
            <w:r>
              <w:rPr>
                <w:sz w:val="15"/>
              </w:rPr>
              <w:t>—</w:t>
            </w:r>
          </w:p>
        </w:tc>
      </w:tr>
      <w:tr>
        <w:tc>
          <w:tcPr>
            <w:tcW w:type="dxa" w:w="1994"/>
          </w:tcPr>
          <w:p>
            <w:pPr>
              <w:spacing w:after="0"/>
            </w:pPr>
            <w:r/>
            <w:r>
              <w:rPr>
                <w:sz w:val="15"/>
              </w:rPr>
              <w:t>NHANES 2017–18 AUROCs (7 targets)</w:t>
            </w:r>
          </w:p>
        </w:tc>
        <w:tc>
          <w:tcPr>
            <w:tcW w:type="dxa" w:w="1994"/>
          </w:tcPr>
          <w:p>
            <w:pPr>
              <w:spacing w:after="0"/>
            </w:pPr>
            <w:r/>
            <w:r>
              <w:rPr>
                <w:sz w:val="15"/>
              </w:rPr>
              <w:t>identical</w:t>
            </w:r>
          </w:p>
        </w:tc>
        <w:tc>
          <w:tcPr>
            <w:tcW w:type="dxa" w:w="1994"/>
          </w:tcPr>
          <w:p>
            <w:pPr>
              <w:spacing w:after="0"/>
            </w:pPr>
            <w:r/>
            <w:r>
              <w:rPr>
                <w:sz w:val="15"/>
              </w:rPr>
              <w:t>identical</w:t>
            </w:r>
          </w:p>
        </w:tc>
        <w:tc>
          <w:tcPr>
            <w:tcW w:type="dxa" w:w="1994"/>
          </w:tcPr>
          <w:p>
            <w:pPr>
              <w:spacing w:after="0"/>
            </w:pPr>
            <w:r/>
            <w:r>
              <w:rPr>
                <w:sz w:val="15"/>
              </w:rPr>
              <w:t>0</w:t>
            </w:r>
          </w:p>
        </w:tc>
        <w:tc>
          <w:tcPr>
            <w:tcW w:type="dxa" w:w="1994"/>
          </w:tcPr>
          <w:p>
            <w:pPr>
              <w:spacing w:after="0"/>
            </w:pPr>
            <w:r/>
            <w:r>
              <w:rPr>
                <w:sz w:val="15"/>
              </w:rPr>
              <w:t>—</w:t>
            </w:r>
          </w:p>
        </w:tc>
      </w:tr>
      <w:tr>
        <w:tc>
          <w:tcPr>
            <w:tcW w:type="dxa" w:w="1994"/>
          </w:tcPr>
          <w:p>
            <w:pPr>
              <w:spacing w:after="0"/>
            </w:pPr>
            <w:r/>
            <w:r>
              <w:rPr>
                <w:sz w:val="15"/>
              </w:rPr>
              <w:t>healthy-adult false assertions</w:t>
            </w:r>
          </w:p>
        </w:tc>
        <w:tc>
          <w:tcPr>
            <w:tcW w:type="dxa" w:w="1994"/>
          </w:tcPr>
          <w:p>
            <w:pPr>
              <w:spacing w:after="0"/>
            </w:pPr>
            <w:r/>
            <w:r>
              <w:rPr>
                <w:sz w:val="15"/>
              </w:rPr>
              <w:t>0/51</w:t>
            </w:r>
          </w:p>
        </w:tc>
        <w:tc>
          <w:tcPr>
            <w:tcW w:type="dxa" w:w="1994"/>
          </w:tcPr>
          <w:p>
            <w:pPr>
              <w:spacing w:after="0"/>
            </w:pPr>
            <w:r/>
            <w:r>
              <w:rPr>
                <w:sz w:val="15"/>
              </w:rPr>
              <w:t>0/51</w:t>
            </w:r>
          </w:p>
        </w:tc>
        <w:tc>
          <w:tcPr>
            <w:tcW w:type="dxa" w:w="1994"/>
          </w:tcPr>
          <w:p>
            <w:pPr>
              <w:spacing w:after="0"/>
            </w:pPr>
            <w:r/>
            <w:r>
              <w:rPr>
                <w:sz w:val="15"/>
              </w:rPr>
              <w:t>0</w:t>
            </w:r>
          </w:p>
        </w:tc>
        <w:tc>
          <w:tcPr>
            <w:tcW w:type="dxa" w:w="1994"/>
          </w:tcPr>
          <w:p>
            <w:pPr>
              <w:spacing w:after="0"/>
            </w:pPr>
            <w:r/>
            <w:r>
              <w:rPr>
                <w:sz w:val="15"/>
              </w:rPr>
              <w:t>—</w:t>
            </w:r>
          </w:p>
        </w:tc>
      </w:tr>
    </w:tbl>
    <w:p/>
    <w:p>
      <w:r>
        <w:t>Denominator 2,432 labelled stay–diagnosis pairs in 2,314 stays. The gains of the full registry at @10 are driven by</w:t>
      </w:r>
    </w:p>
    <w:p>
      <w:r>
        <w:t xml:space="preserve">diabetes (+28 grouped@10, +31 flat@10) and AKI/renal pattern templates; no </w:t>
      </w:r>
      <w:r>
        <w:rPr>
          <w:rFonts w:ascii="Consolas" w:hAnsi="Consolas"/>
        </w:rPr>
        <w:t>co_</w:t>
      </w:r>
      <w:r>
        <w:t xml:space="preserve"> template appears in any CORE top-5</w:t>
      </w:r>
    </w:p>
    <w:p>
      <w:r>
        <w:t>(0 vs 88 in the full arm). Verdict under the protocol's pre-stated thresholds: the un-audited 30,735 executable</w:t>
      </w:r>
    </w:p>
    <w:p>
      <w:r>
        <w:t xml:space="preserve">rules are </w:t>
      </w:r>
      <w:r>
        <w:rPr>
          <w:b/>
        </w:rPr>
        <w:t>not load-bearing at @3/@5 (|Δ| ≤ 0.5 pt)</w:t>
      </w:r>
      <w:r>
        <w:t xml:space="preserve"> and **partially load-bearing at @10 and in the two-tier</w:t>
      </w:r>
    </w:p>
    <w:p>
      <w:r>
        <w:t>metric (1.0–2.3 pt, significant)**. The curated/quote-verified 1.1 % of rules therefore carries the ranking at the</w:t>
      </w:r>
    </w:p>
    <w:p>
      <w:r>
        <w:t>cut-offs the paper reports as primary.</w:t>
      </w:r>
    </w:p>
    <w:p>
      <w:pPr>
        <w:pStyle w:val="Heading2"/>
      </w:pPr>
      <w:r>
        <w:rPr>
          <w:color w:val="303030"/>
        </w:rPr>
        <w:t>Part 1 — Mutation testing of the frozen detectors (registry 15.1.0, detectors `9c87645`)</w:t>
      </w:r>
    </w:p>
    <w:p>
      <w:r>
        <w:t>303 seed rules (every curated rule plus a seeded sample of active-core rules). Each mutation class is applied to</w:t>
      </w:r>
    </w:p>
    <w:p>
      <w:r>
        <w:t>every seed to which it is applicable; a mutant is "detected" if any detector flags it and the unmutated seed is not</w:t>
      </w:r>
    </w:p>
    <w:p>
      <w:r>
        <w:t>flagged for the same reason.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class</w:t>
            </w:r>
          </w:p>
        </w:tc>
        <w:tc>
          <w:tcPr>
            <w:tcW w:type="dxa" w:w="1994"/>
          </w:tcPr>
          <w:p>
            <w:pPr>
              <w:spacing w:after="0"/>
            </w:pPr>
            <w:r>
              <w:rPr>
                <w:b/>
              </w:rPr>
            </w:r>
            <w:r>
              <w:rPr>
                <w:b/>
                <w:sz w:val="15"/>
              </w:rPr>
              <w:t>mutation</w:t>
            </w:r>
          </w:p>
        </w:tc>
        <w:tc>
          <w:tcPr>
            <w:tcW w:type="dxa" w:w="1994"/>
          </w:tcPr>
          <w:p>
            <w:pPr>
              <w:spacing w:after="0"/>
            </w:pPr>
            <w:r>
              <w:rPr>
                <w:b/>
              </w:rPr>
            </w:r>
            <w:r>
              <w:rPr>
                <w:b/>
                <w:sz w:val="15"/>
              </w:rPr>
              <w:t>mutants</w:t>
            </w:r>
          </w:p>
        </w:tc>
        <w:tc>
          <w:tcPr>
            <w:tcW w:type="dxa" w:w="1994"/>
          </w:tcPr>
          <w:p>
            <w:pPr>
              <w:spacing w:after="0"/>
            </w:pPr>
            <w:r>
              <w:rPr>
                <w:b/>
              </w:rPr>
            </w:r>
            <w:r>
              <w:rPr>
                <w:b/>
                <w:sz w:val="15"/>
              </w:rPr>
              <w:t>detected</w:t>
            </w:r>
          </w:p>
        </w:tc>
        <w:tc>
          <w:tcPr>
            <w:tcW w:type="dxa" w:w="1994"/>
          </w:tcPr>
          <w:p>
            <w:pPr>
              <w:spacing w:after="0"/>
            </w:pPr>
            <w:r>
              <w:rPr>
                <w:b/>
              </w:rPr>
            </w:r>
            <w:r>
              <w:rPr>
                <w:b/>
                <w:sz w:val="15"/>
              </w:rPr>
              <w:t>recall</w:t>
            </w:r>
          </w:p>
        </w:tc>
      </w:tr>
      <w:tr>
        <w:tc>
          <w:tcPr>
            <w:tcW w:type="dxa" w:w="1994"/>
          </w:tcPr>
          <w:p>
            <w:pPr>
              <w:spacing w:after="0"/>
            </w:pPr>
            <w:r/>
            <w:r>
              <w:rPr>
                <w:sz w:val="15"/>
              </w:rPr>
              <w:t>M1</w:t>
            </w:r>
          </w:p>
        </w:tc>
        <w:tc>
          <w:tcPr>
            <w:tcW w:type="dxa" w:w="1994"/>
          </w:tcPr>
          <w:p>
            <w:pPr>
              <w:spacing w:after="0"/>
            </w:pPr>
            <w:r/>
            <w:r>
              <w:rPr>
                <w:sz w:val="15"/>
              </w:rPr>
              <w:t>threshold shifted to a value that violates the feature's physiological limits</w:t>
            </w:r>
          </w:p>
        </w:tc>
        <w:tc>
          <w:tcPr>
            <w:tcW w:type="dxa" w:w="1994"/>
          </w:tcPr>
          <w:p>
            <w:pPr>
              <w:spacing w:after="0"/>
            </w:pPr>
            <w:r/>
            <w:r>
              <w:rPr>
                <w:sz w:val="15"/>
              </w:rPr>
              <w:t>73</w:t>
            </w:r>
          </w:p>
        </w:tc>
        <w:tc>
          <w:tcPr>
            <w:tcW w:type="dxa" w:w="1994"/>
          </w:tcPr>
          <w:p>
            <w:pPr>
              <w:spacing w:after="0"/>
            </w:pPr>
            <w:r/>
            <w:r>
              <w:rPr>
                <w:sz w:val="15"/>
              </w:rPr>
              <w:t>40</w:t>
            </w:r>
          </w:p>
        </w:tc>
        <w:tc>
          <w:tcPr>
            <w:tcW w:type="dxa" w:w="1994"/>
          </w:tcPr>
          <w:p>
            <w:pPr>
              <w:spacing w:after="0"/>
            </w:pPr>
            <w:r/>
            <w:r>
              <w:rPr>
                <w:sz w:val="15"/>
              </w:rPr>
              <w:t>0.548</w:t>
            </w:r>
          </w:p>
        </w:tc>
      </w:tr>
      <w:tr>
        <w:tc>
          <w:tcPr>
            <w:tcW w:type="dxa" w:w="1994"/>
          </w:tcPr>
          <w:p>
            <w:pPr>
              <w:spacing w:after="0"/>
            </w:pPr>
            <w:r/>
            <w:r>
              <w:rPr>
                <w:sz w:val="15"/>
              </w:rPr>
              <w:t>M2</w:t>
            </w:r>
          </w:p>
        </w:tc>
        <w:tc>
          <w:tcPr>
            <w:tcW w:type="dxa" w:w="1994"/>
          </w:tcPr>
          <w:p>
            <w:pPr>
              <w:spacing w:after="0"/>
            </w:pPr>
            <w:r/>
            <w:r>
              <w:rPr>
                <w:sz w:val="15"/>
              </w:rPr>
              <w:t>threshold shifted ×0.5 / ×2 inside physiological limits</w:t>
            </w:r>
          </w:p>
        </w:tc>
        <w:tc>
          <w:tcPr>
            <w:tcW w:type="dxa" w:w="1994"/>
          </w:tcPr>
          <w:p>
            <w:pPr>
              <w:spacing w:after="0"/>
            </w:pPr>
            <w:r/>
            <w:r>
              <w:rPr>
                <w:sz w:val="15"/>
              </w:rPr>
              <w:t>303</w:t>
            </w:r>
          </w:p>
        </w:tc>
        <w:tc>
          <w:tcPr>
            <w:tcW w:type="dxa" w:w="1994"/>
          </w:tcPr>
          <w:p>
            <w:pPr>
              <w:spacing w:after="0"/>
            </w:pPr>
            <w:r/>
            <w:r>
              <w:rPr>
                <w:sz w:val="15"/>
              </w:rPr>
              <w:t>1</w:t>
            </w:r>
          </w:p>
        </w:tc>
        <w:tc>
          <w:tcPr>
            <w:tcW w:type="dxa" w:w="1994"/>
          </w:tcPr>
          <w:p>
            <w:pPr>
              <w:spacing w:after="0"/>
            </w:pPr>
            <w:r/>
            <w:r>
              <w:rPr>
                <w:sz w:val="15"/>
              </w:rPr>
              <w:t>0.003</w:t>
            </w:r>
          </w:p>
        </w:tc>
      </w:tr>
      <w:tr>
        <w:tc>
          <w:tcPr>
            <w:tcW w:type="dxa" w:w="1994"/>
          </w:tcPr>
          <w:p>
            <w:pPr>
              <w:spacing w:after="0"/>
            </w:pPr>
            <w:r/>
            <w:r>
              <w:rPr>
                <w:sz w:val="15"/>
              </w:rPr>
              <w:t>M3</w:t>
            </w:r>
          </w:p>
        </w:tc>
        <w:tc>
          <w:tcPr>
            <w:tcW w:type="dxa" w:w="1994"/>
          </w:tcPr>
          <w:p>
            <w:pPr>
              <w:spacing w:after="0"/>
            </w:pPr>
            <w:r/>
            <w:r>
              <w:rPr>
                <w:sz w:val="15"/>
              </w:rPr>
              <w:t>comparison operator flipped (&lt; ↔ &gt;)</w:t>
            </w:r>
          </w:p>
        </w:tc>
        <w:tc>
          <w:tcPr>
            <w:tcW w:type="dxa" w:w="1994"/>
          </w:tcPr>
          <w:p>
            <w:pPr>
              <w:spacing w:after="0"/>
            </w:pPr>
            <w:r/>
            <w:r>
              <w:rPr>
                <w:sz w:val="15"/>
              </w:rPr>
              <w:t>274</w:t>
            </w:r>
          </w:p>
        </w:tc>
        <w:tc>
          <w:tcPr>
            <w:tcW w:type="dxa" w:w="1994"/>
          </w:tcPr>
          <w:p>
            <w:pPr>
              <w:spacing w:after="0"/>
            </w:pPr>
            <w:r/>
            <w:r>
              <w:rPr>
                <w:sz w:val="15"/>
              </w:rPr>
              <w:t>36</w:t>
            </w:r>
          </w:p>
        </w:tc>
        <w:tc>
          <w:tcPr>
            <w:tcW w:type="dxa" w:w="1994"/>
          </w:tcPr>
          <w:p>
            <w:pPr>
              <w:spacing w:after="0"/>
            </w:pPr>
            <w:r/>
            <w:r>
              <w:rPr>
                <w:sz w:val="15"/>
              </w:rPr>
              <w:t>0.131</w:t>
            </w:r>
          </w:p>
        </w:tc>
      </w:tr>
      <w:tr>
        <w:tc>
          <w:tcPr>
            <w:tcW w:type="dxa" w:w="1994"/>
          </w:tcPr>
          <w:p>
            <w:pPr>
              <w:spacing w:after="0"/>
            </w:pPr>
            <w:r/>
            <w:r>
              <w:rPr>
                <w:sz w:val="15"/>
              </w:rPr>
              <w:t>M4</w:t>
            </w:r>
          </w:p>
        </w:tc>
        <w:tc>
          <w:tcPr>
            <w:tcW w:type="dxa" w:w="1994"/>
          </w:tcPr>
          <w:p>
            <w:pPr>
              <w:spacing w:after="0"/>
            </w:pPr>
            <w:r/>
            <w:r>
              <w:rPr>
                <w:sz w:val="15"/>
              </w:rPr>
              <w:t>unit replaced by a quantitatively different unit of the same analyte</w:t>
            </w:r>
          </w:p>
        </w:tc>
        <w:tc>
          <w:tcPr>
            <w:tcW w:type="dxa" w:w="1994"/>
          </w:tcPr>
          <w:p>
            <w:pPr>
              <w:spacing w:after="0"/>
            </w:pPr>
            <w:r/>
            <w:r>
              <w:rPr>
                <w:sz w:val="15"/>
              </w:rPr>
              <w:t>152</w:t>
            </w:r>
          </w:p>
        </w:tc>
        <w:tc>
          <w:tcPr>
            <w:tcW w:type="dxa" w:w="1994"/>
          </w:tcPr>
          <w:p>
            <w:pPr>
              <w:spacing w:after="0"/>
            </w:pPr>
            <w:r/>
            <w:r>
              <w:rPr>
                <w:sz w:val="15"/>
              </w:rPr>
              <w:t>113</w:t>
            </w:r>
          </w:p>
        </w:tc>
        <w:tc>
          <w:tcPr>
            <w:tcW w:type="dxa" w:w="1994"/>
          </w:tcPr>
          <w:p>
            <w:pPr>
              <w:spacing w:after="0"/>
            </w:pPr>
            <w:r/>
            <w:r>
              <w:rPr>
                <w:sz w:val="15"/>
              </w:rPr>
              <w:t>0.743</w:t>
            </w:r>
          </w:p>
        </w:tc>
      </w:tr>
      <w:tr>
        <w:tc>
          <w:tcPr>
            <w:tcW w:type="dxa" w:w="1994"/>
          </w:tcPr>
          <w:p>
            <w:pPr>
              <w:spacing w:after="0"/>
            </w:pPr>
            <w:r/>
            <w:r>
              <w:rPr>
                <w:sz w:val="15"/>
              </w:rPr>
              <w:t>M5</w:t>
            </w:r>
          </w:p>
        </w:tc>
        <w:tc>
          <w:tcPr>
            <w:tcW w:type="dxa" w:w="1994"/>
          </w:tcPr>
          <w:p>
            <w:pPr>
              <w:spacing w:after="0"/>
            </w:pPr>
            <w:r/>
            <w:r>
              <w:rPr>
                <w:sz w:val="15"/>
              </w:rPr>
              <w:t>severity tier made arithmetically derived</w:t>
            </w:r>
          </w:p>
        </w:tc>
        <w:tc>
          <w:tcPr>
            <w:tcW w:type="dxa" w:w="1994"/>
          </w:tcPr>
          <w:p>
            <w:pPr>
              <w:spacing w:after="0"/>
            </w:pPr>
            <w:r/>
            <w:r>
              <w:rPr>
                <w:sz w:val="15"/>
              </w:rPr>
              <w:t>1</w:t>
            </w:r>
          </w:p>
        </w:tc>
        <w:tc>
          <w:tcPr>
            <w:tcW w:type="dxa" w:w="1994"/>
          </w:tcPr>
          <w:p>
            <w:pPr>
              <w:spacing w:after="0"/>
            </w:pPr>
            <w:r/>
            <w:r>
              <w:rPr>
                <w:sz w:val="15"/>
              </w:rPr>
              <w:t>0</w:t>
            </w:r>
          </w:p>
        </w:tc>
        <w:tc>
          <w:tcPr>
            <w:tcW w:type="dxa" w:w="1994"/>
          </w:tcPr>
          <w:p>
            <w:pPr>
              <w:spacing w:after="0"/>
            </w:pPr>
            <w:r/>
            <w:r>
              <w:rPr>
                <w:sz w:val="15"/>
              </w:rPr>
              <w:t>— (not evaluable)</w:t>
            </w:r>
          </w:p>
        </w:tc>
      </w:tr>
      <w:tr>
        <w:tc>
          <w:tcPr>
            <w:tcW w:type="dxa" w:w="1994"/>
          </w:tcPr>
          <w:p>
            <w:pPr>
              <w:spacing w:after="0"/>
            </w:pPr>
            <w:r/>
            <w:r>
              <w:rPr>
                <w:sz w:val="15"/>
              </w:rPr>
              <w:t>M6</w:t>
            </w:r>
          </w:p>
        </w:tc>
        <w:tc>
          <w:tcPr>
            <w:tcW w:type="dxa" w:w="1994"/>
          </w:tcPr>
          <w:p>
            <w:pPr>
              <w:spacing w:after="0"/>
            </w:pPr>
            <w:r/>
            <w:r>
              <w:rPr>
                <w:sz w:val="15"/>
              </w:rPr>
              <w:t>multi-leaf rule reduced to a single ubiquitous analyte</w:t>
            </w:r>
          </w:p>
        </w:tc>
        <w:tc>
          <w:tcPr>
            <w:tcW w:type="dxa" w:w="1994"/>
          </w:tcPr>
          <w:p>
            <w:pPr>
              <w:spacing w:after="0"/>
            </w:pPr>
            <w:r/>
            <w:r>
              <w:rPr>
                <w:sz w:val="15"/>
              </w:rPr>
              <w:t>141</w:t>
            </w:r>
          </w:p>
        </w:tc>
        <w:tc>
          <w:tcPr>
            <w:tcW w:type="dxa" w:w="1994"/>
          </w:tcPr>
          <w:p>
            <w:pPr>
              <w:spacing w:after="0"/>
            </w:pPr>
            <w:r/>
            <w:r>
              <w:rPr>
                <w:sz w:val="15"/>
              </w:rPr>
              <w:t>138</w:t>
            </w:r>
          </w:p>
        </w:tc>
        <w:tc>
          <w:tcPr>
            <w:tcW w:type="dxa" w:w="1994"/>
          </w:tcPr>
          <w:p>
            <w:pPr>
              <w:spacing w:after="0"/>
            </w:pPr>
            <w:r/>
            <w:r>
              <w:rPr>
                <w:sz w:val="15"/>
              </w:rPr>
              <w:t>0.979</w:t>
            </w:r>
          </w:p>
        </w:tc>
      </w:tr>
      <w:tr>
        <w:tc>
          <w:tcPr>
            <w:tcW w:type="dxa" w:w="1994"/>
          </w:tcPr>
          <w:p>
            <w:pPr>
              <w:spacing w:after="0"/>
            </w:pPr>
            <w:r/>
            <w:r>
              <w:rPr>
                <w:sz w:val="15"/>
              </w:rPr>
              <w:t>M7</w:t>
            </w:r>
          </w:p>
        </w:tc>
        <w:tc>
          <w:tcPr>
            <w:tcW w:type="dxa" w:w="1994"/>
          </w:tcPr>
          <w:p>
            <w:pPr>
              <w:spacing w:after="0"/>
            </w:pPr>
            <w:r/>
            <w:r>
              <w:rPr>
                <w:sz w:val="15"/>
              </w:rPr>
              <w:t>tier order inverted / made impossible</w:t>
            </w:r>
          </w:p>
        </w:tc>
        <w:tc>
          <w:tcPr>
            <w:tcW w:type="dxa" w:w="1994"/>
          </w:tcPr>
          <w:p>
            <w:pPr>
              <w:spacing w:after="0"/>
            </w:pPr>
            <w:r/>
            <w:r>
              <w:rPr>
                <w:sz w:val="15"/>
              </w:rPr>
              <w:t>301</w:t>
            </w:r>
          </w:p>
        </w:tc>
        <w:tc>
          <w:tcPr>
            <w:tcW w:type="dxa" w:w="1994"/>
          </w:tcPr>
          <w:p>
            <w:pPr>
              <w:spacing w:after="0"/>
            </w:pPr>
            <w:r/>
            <w:r>
              <w:rPr>
                <w:sz w:val="15"/>
              </w:rPr>
              <w:t>301</w:t>
            </w:r>
          </w:p>
        </w:tc>
        <w:tc>
          <w:tcPr>
            <w:tcW w:type="dxa" w:w="1994"/>
          </w:tcPr>
          <w:p>
            <w:pPr>
              <w:spacing w:after="0"/>
            </w:pPr>
            <w:r/>
            <w:r>
              <w:rPr>
                <w:sz w:val="15"/>
              </w:rPr>
              <w:t>1.000</w:t>
            </w:r>
          </w:p>
        </w:tc>
      </w:tr>
      <w:tr>
        <w:tc>
          <w:tcPr>
            <w:tcW w:type="dxa" w:w="1994"/>
          </w:tcPr>
          <w:p>
            <w:pPr>
              <w:spacing w:after="0"/>
            </w:pPr>
            <w:r/>
            <w:r>
              <w:rPr>
                <w:sz w:val="15"/>
              </w:rPr>
              <w:t>M8</w:t>
            </w:r>
          </w:p>
        </w:tc>
        <w:tc>
          <w:tcPr>
            <w:tcW w:type="dxa" w:w="1994"/>
          </w:tcPr>
          <w:p>
            <w:pPr>
              <w:spacing w:after="0"/>
            </w:pPr>
            <w:r/>
            <w:r>
              <w:rPr>
                <w:sz w:val="15"/>
              </w:rPr>
              <w:t>source replaced by a random source of a non-neighbouring domain</w:t>
            </w:r>
          </w:p>
        </w:tc>
        <w:tc>
          <w:tcPr>
            <w:tcW w:type="dxa" w:w="1994"/>
          </w:tcPr>
          <w:p>
            <w:pPr>
              <w:spacing w:after="0"/>
            </w:pPr>
            <w:r/>
            <w:r>
              <w:rPr>
                <w:sz w:val="15"/>
              </w:rPr>
              <w:t>88</w:t>
            </w:r>
          </w:p>
        </w:tc>
        <w:tc>
          <w:tcPr>
            <w:tcW w:type="dxa" w:w="1994"/>
          </w:tcPr>
          <w:p>
            <w:pPr>
              <w:spacing w:after="0"/>
            </w:pPr>
            <w:r/>
            <w:r>
              <w:rPr>
                <w:sz w:val="15"/>
              </w:rPr>
              <w:t>40</w:t>
            </w:r>
          </w:p>
        </w:tc>
        <w:tc>
          <w:tcPr>
            <w:tcW w:type="dxa" w:w="1994"/>
          </w:tcPr>
          <w:p>
            <w:pPr>
              <w:spacing w:after="0"/>
            </w:pPr>
            <w:r/>
            <w:r>
              <w:rPr>
                <w:sz w:val="15"/>
              </w:rPr>
              <w:t>0.455</w:t>
            </w:r>
          </w:p>
        </w:tc>
      </w:tr>
    </w:tbl>
    <w:p/>
    <w:p>
      <w:r>
        <w:t xml:space="preserve">Specificity on the 303 unmutated seeds: 8 flagged (0.974). On inspection four of the eight are </w:t>
      </w:r>
      <w:r>
        <w:rPr>
          <w:b/>
        </w:rPr>
        <w:t>true defects</w:t>
      </w:r>
    </w:p>
    <w:p>
      <w:r>
        <w:t xml:space="preserve">(adult haemoglobin &lt; 12 g/dL applied with a neonate population in the iron-deficiency and haemolytic </w:t>
      </w:r>
      <w:r>
        <w:rPr>
          <w:rFonts w:ascii="Consolas" w:hAnsi="Consolas"/>
        </w:rPr>
        <w:t>_cur13</w:t>
      </w:r>
    </w:p>
    <w:p>
      <w:r>
        <w:t>rules), one is the acknowledged fixed-threshold AKI surrogate, three are SRC false positives (HHS and lactic</w:t>
      </w:r>
    </w:p>
    <w:p>
      <w:r>
        <w:t>acidosis cited to diabetes/critical-care sources). Interpretation: static detectors are strong for what they were</w:t>
      </w:r>
    </w:p>
    <w:p>
      <w:r>
        <w:t>built for (structural and unit defects, M4/M6/M7) and essentially blind to plausible wrong thresholds (M2) and to</w:t>
      </w:r>
    </w:p>
    <w:p>
      <w:r>
        <w:t>operator flips that remain within physiological range (M3). This is the limitation the paper states: *static audit</w:t>
      </w:r>
    </w:p>
    <w:p>
      <w:r>
        <w:t>is necessary, not sufficient; a plausibly wrong number passes.* A first version of M8 that drew the replacement</w:t>
      </w:r>
    </w:p>
    <w:p>
      <w:r>
        <w:t>source from the detector's own scope table was discarded as circular (recall 0.989) and replaced by the random</w:t>
      </w:r>
    </w:p>
    <w:p>
      <w:r>
        <w:t>swap reported above.</w:t>
      </w:r>
    </w:p>
    <w:p>
      <w:r>
        <w:t>Defects in rules found incidentally during calibration, re-inspected against the engine and the sources before</w:t>
      </w:r>
    </w:p>
    <w:p>
      <w:r>
        <w:t>release 15.2.0 (protocol in the repository): MCV &gt; 200 / &lt; 20 fL and total protein &gt; 16.6 / &lt; 1.5</w:t>
      </w:r>
    </w:p>
    <w:p>
      <w:r>
        <w:t>g/dL severity tiers (4 rules, retired); unit labels — ACTH thresholds numerically in pg/mL but labelled ng/mL (93</w:t>
      </w:r>
    </w:p>
    <w:p>
      <w:r>
        <w:t>rules; the feature registry's canonical ng/mL was the wrong side, corrected to pg/mL), PTH ng/mL for pg/mL values</w:t>
      </w:r>
    </w:p>
    <w:p>
      <w:r>
        <w:t>(14 rules), cortisol 60/230 ng/mL converted exactly to 6/23 µg/dL (19 rules); wrong sources — four pancreatitis</w:t>
      </w:r>
    </w:p>
    <w:p>
      <w:r>
        <w:t>rules citing a GERD guideline, ten sodium/osmolality pattern rules citing a paediatric liver entry mis-keyed as a</w:t>
      </w:r>
    </w:p>
    <w:p>
      <w:r>
        <w:t xml:space="preserve">sodium guideline. Two items first listed as defects were withdrawn on inspection: </w:t>
      </w:r>
      <w:r>
        <w:rPr>
          <w:rFonts w:ascii="Consolas" w:hAnsi="Consolas"/>
        </w:rPr>
        <w:t>rhabdomyolysis_v1</w:t>
      </w:r>
      <w:r>
        <w:t xml:space="preserve"> ("CK &gt; 0")</w:t>
      </w:r>
    </w:p>
    <w:p>
      <w:r>
        <w:t xml:space="preserve">carries a 5 × ULN context flag that the engine applies at run time (the static detector does not read </w:t>
      </w:r>
      <w:r>
        <w:rPr>
          <w:rFonts w:ascii="Consolas" w:hAnsi="Consolas"/>
        </w:rPr>
        <w:t>context</w:t>
      </w:r>
      <w:r>
        <w:t xml:space="preserve"> —</w:t>
      </w:r>
    </w:p>
    <w:p>
      <w:r>
        <w:t>an audit false positive), and the β2-microglobulin inconsistency is on a different feature id (</w:t>
      </w:r>
      <w:r>
        <w:rPr>
          <w:rFonts w:ascii="Consolas" w:hAnsi="Consolas"/>
        </w:rPr>
        <w:t>beta_2_microglobulin_tumor</w:t>
      </w:r>
      <w:r>
        <w:t xml:space="preserve">, 2 rules), left open. The four </w:t>
      </w:r>
      <w:r>
        <w:rPr>
          <w:rFonts w:ascii="Consolas" w:hAnsi="Consolas"/>
        </w:rPr>
        <w:t>_cur13</w:t>
      </w:r>
      <w:r>
        <w:t xml:space="preserve"> anaemia</w:t>
      </w:r>
    </w:p>
    <w:p>
      <w:r>
        <w:t>rules with a neonatal population were restricted to ≥ adolescent.</w:t>
      </w:r>
    </w:p>
    <w:p>
      <w:pPr>
        <w:pStyle w:val="Heading2"/>
      </w:pPr>
      <w:r>
        <w:rPr>
          <w:color w:val="303030"/>
        </w:rPr>
        <w:t>Part 3 — Application to a second LLM-authored corpus</w:t>
      </w:r>
    </w:p>
    <w:p>
      <w:r>
        <w:t xml:space="preserve">Corpus SHA-256 </w:t>
      </w:r>
      <w:r>
        <w:rPr>
          <w:rFonts w:ascii="Consolas" w:hAnsi="Consolas"/>
        </w:rPr>
        <w:t>96d423f1dd65583692d491c37a9179e738ea6cba7f4b82c1f644e4ea58e9dca6</w:t>
      </w:r>
      <w:r>
        <w:t>, 200 entities ×</w:t>
      </w:r>
    </w:p>
    <w:p>
      <w:r>
        <w:t xml:space="preserve">2 rules = 400 rules (120 infectious, 80 haematology, 60 renal, 60 endocrine, 80 other), written under a fixed prompt (reproduced at the end of this Note). </w:t>
      </w:r>
      <w:r>
        <w:rPr>
          <w:b/>
        </w:rPr>
        <w:t>Full disclosure of how the corpus was produced.</w:t>
      </w:r>
      <w:r>
        <w:t xml:space="preserve"> It was written by the same agent that wrote</w:t>
      </w:r>
    </w:p>
    <w:p>
      <w:r>
        <w:t xml:space="preserve">the detectors, from memory, in one pass, without re-opening the detector code. Three edits were made </w:t>
      </w:r>
      <w:r>
        <w:rPr>
          <w:i/>
        </w:rPr>
        <w:t>before</w:t>
      </w:r>
      <w:r>
        <w:t xml:space="preserve"> the hash was</w:t>
      </w:r>
    </w:p>
    <w:p>
      <w:r>
        <w:t>taken and before any audit run: (i) the first pass produced 188 entities with the wrong stratum counts; four</w:t>
      </w:r>
    </w:p>
    <w:p>
      <w:r>
        <w:t>endocrine/other entities were dropped and sixteen infectious/haematology/renal entities appended to reach the</w:t>
      </w:r>
    </w:p>
    <w:p>
      <w:r>
        <w:t>pre-specified strata; (ii) ten cited source identifiers that did not exist in the 15.1.0 source list were replaced</w:t>
      </w:r>
    </w:p>
    <w:p>
      <w:r>
        <w:t xml:space="preserve">by the nearest existing identifier (e.g. </w:t>
      </w:r>
      <w:r>
        <w:rPr>
          <w:rFonts w:ascii="Consolas" w:hAnsi="Consolas"/>
        </w:rPr>
        <w:t>cdc_tetanus_2024</w:t>
      </w:r>
      <w:r>
        <w:t xml:space="preserve"> → </w:t>
      </w:r>
      <w:r>
        <w:rPr>
          <w:rFonts w:ascii="Consolas" w:hAnsi="Consolas"/>
        </w:rPr>
        <w:t>idsa_guidelines</w:t>
      </w:r>
      <w:r>
        <w:t>), because the prompt required</w:t>
      </w:r>
    </w:p>
    <w:p>
      <w:r>
        <w:t>identifiers from that list; (iii) in conversion, 33 feature identifiers were mapped to their registry equivalents</w:t>
      </w:r>
    </w:p>
    <w:p>
      <w:r>
        <w:t>(alias table in the conversion script), and population was set to all age groups except for three</w:t>
      </w:r>
    </w:p>
    <w:p>
      <w:r>
        <w:t>explicitly neonatal entities, which is the default the Hemoglyph generator applied. 733 of 765 leaves (95.8 %)</w:t>
      </w:r>
    </w:p>
    <w:p>
      <w:r>
        <w:t>reference a feature in the feature registry and are therefore unit-checkable; 32 are not. This is a second</w:t>
      </w:r>
    </w:p>
    <w:p>
      <w:r>
        <w:t>LLM-authored corpus, not an independent knowledge base; it tests whether the defect classes recur under a</w:t>
      </w:r>
    </w:p>
    <w:p>
      <w:r>
        <w:t>different generation process (one pass, no templates, no post-processing), not whether a third party would</w:t>
      </w:r>
    </w:p>
    <w:p>
      <w:r>
        <w:t>produce them.</w:t>
      </w:r>
    </w:p>
    <w:p>
      <w:r>
        <w:t>Densities per 100 rules (Wilson 95 % CI), same code, same tables: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detector</w:t>
            </w:r>
          </w:p>
        </w:tc>
        <w:tc>
          <w:tcPr>
            <w:tcW w:type="dxa" w:w="2493"/>
          </w:tcPr>
          <w:p>
            <w:pPr>
              <w:spacing w:after="0"/>
            </w:pPr>
            <w:r>
              <w:rPr>
                <w:b/>
              </w:rPr>
            </w:r>
            <w:r>
              <w:rPr>
                <w:b/>
                <w:sz w:val="15"/>
              </w:rPr>
              <w:t>14.1.0 (paper registry; 8,890 non-template executable)</w:t>
            </w:r>
          </w:p>
        </w:tc>
        <w:tc>
          <w:tcPr>
            <w:tcW w:type="dxa" w:w="2493"/>
          </w:tcPr>
          <w:p>
            <w:pPr>
              <w:spacing w:after="0"/>
            </w:pPr>
            <w:r>
              <w:rPr>
                <w:b/>
              </w:rPr>
            </w:r>
            <w:r>
              <w:rPr>
                <w:b/>
                <w:sz w:val="15"/>
              </w:rPr>
              <w:t>15.1.0 (6,777)</w:t>
            </w:r>
          </w:p>
        </w:tc>
        <w:tc>
          <w:tcPr>
            <w:tcW w:type="dxa" w:w="2493"/>
          </w:tcPr>
          <w:p>
            <w:pPr>
              <w:spacing w:after="0"/>
            </w:pPr>
            <w:r>
              <w:rPr>
                <w:b/>
              </w:rPr>
            </w:r>
            <w:r>
              <w:rPr>
                <w:b/>
                <w:sz w:val="15"/>
              </w:rPr>
              <w:t>LLM corpus (400)</w:t>
            </w:r>
          </w:p>
        </w:tc>
      </w:tr>
      <w:tr>
        <w:tc>
          <w:tcPr>
            <w:tcW w:type="dxa" w:w="2493"/>
          </w:tcPr>
          <w:p>
            <w:pPr>
              <w:spacing w:after="0"/>
            </w:pPr>
            <w:r/>
            <w:r>
              <w:rPr>
                <w:sz w:val="15"/>
              </w:rPr>
              <w:t>R2a single ubiquitous analyte</w:t>
            </w:r>
          </w:p>
        </w:tc>
        <w:tc>
          <w:tcPr>
            <w:tcW w:type="dxa" w:w="2493"/>
          </w:tcPr>
          <w:p>
            <w:pPr>
              <w:spacing w:after="0"/>
            </w:pPr>
            <w:r/>
            <w:r>
              <w:rPr>
                <w:sz w:val="15"/>
              </w:rPr>
              <w:t>11.47 (10.83–12.15)</w:t>
            </w:r>
          </w:p>
        </w:tc>
        <w:tc>
          <w:tcPr>
            <w:tcW w:type="dxa" w:w="2493"/>
          </w:tcPr>
          <w:p>
            <w:pPr>
              <w:spacing w:after="0"/>
            </w:pPr>
            <w:r/>
            <w:r>
              <w:rPr>
                <w:sz w:val="15"/>
              </w:rPr>
              <w:t>0.01 (0.00–0.08)</w:t>
            </w:r>
          </w:p>
        </w:tc>
        <w:tc>
          <w:tcPr>
            <w:tcW w:type="dxa" w:w="2493"/>
          </w:tcPr>
          <w:p>
            <w:pPr>
              <w:spacing w:after="0"/>
            </w:pPr>
            <w:r/>
            <w:r>
              <w:rPr>
                <w:sz w:val="15"/>
              </w:rPr>
              <w:t>6.00 (4.06–8.77)</w:t>
            </w:r>
          </w:p>
        </w:tc>
      </w:tr>
      <w:tr>
        <w:tc>
          <w:tcPr>
            <w:tcW w:type="dxa" w:w="2493"/>
          </w:tcPr>
          <w:p>
            <w:pPr>
              <w:spacing w:after="0"/>
            </w:pPr>
            <w:r/>
            <w:r>
              <w:rPr>
                <w:sz w:val="15"/>
              </w:rPr>
              <w:t>R7 arithmetic tier</w:t>
            </w:r>
          </w:p>
        </w:tc>
        <w:tc>
          <w:tcPr>
            <w:tcW w:type="dxa" w:w="2493"/>
          </w:tcPr>
          <w:p>
            <w:pPr>
              <w:spacing w:after="0"/>
            </w:pPr>
            <w:r/>
            <w:r>
              <w:rPr>
                <w:sz w:val="15"/>
              </w:rPr>
              <w:t>14.56 (13.84–15.30)</w:t>
            </w:r>
          </w:p>
        </w:tc>
        <w:tc>
          <w:tcPr>
            <w:tcW w:type="dxa" w:w="2493"/>
          </w:tcPr>
          <w:p>
            <w:pPr>
              <w:spacing w:after="0"/>
            </w:pPr>
            <w:r/>
            <w:r>
              <w:rPr>
                <w:sz w:val="15"/>
              </w:rPr>
              <w:t>0 (0–0.06)</w:t>
            </w:r>
          </w:p>
        </w:tc>
        <w:tc>
          <w:tcPr>
            <w:tcW w:type="dxa" w:w="2493"/>
          </w:tcPr>
          <w:p>
            <w:pPr>
              <w:spacing w:after="0"/>
            </w:pPr>
            <w:r/>
            <w:r>
              <w:rPr>
                <w:sz w:val="15"/>
              </w:rPr>
              <w:t>0.50 (0.14–1.80)</w:t>
            </w:r>
          </w:p>
        </w:tc>
      </w:tr>
      <w:tr>
        <w:tc>
          <w:tcPr>
            <w:tcW w:type="dxa" w:w="2493"/>
          </w:tcPr>
          <w:p>
            <w:pPr>
              <w:spacing w:after="0"/>
            </w:pPr>
            <w:r/>
            <w:r>
              <w:rPr>
                <w:sz w:val="15"/>
              </w:rPr>
              <w:t>R9 impossible/flat tier</w:t>
            </w:r>
          </w:p>
        </w:tc>
        <w:tc>
          <w:tcPr>
            <w:tcW w:type="dxa" w:w="2493"/>
          </w:tcPr>
          <w:p>
            <w:pPr>
              <w:spacing w:after="0"/>
            </w:pPr>
            <w:r/>
            <w:r>
              <w:rPr>
                <w:sz w:val="15"/>
              </w:rPr>
              <w:t>0.12 (0.07–0.22)</w:t>
            </w:r>
          </w:p>
        </w:tc>
        <w:tc>
          <w:tcPr>
            <w:tcW w:type="dxa" w:w="2493"/>
          </w:tcPr>
          <w:p>
            <w:pPr>
              <w:spacing w:after="0"/>
            </w:pPr>
            <w:r/>
            <w:r>
              <w:rPr>
                <w:sz w:val="15"/>
              </w:rPr>
              <w:t>0.09 (0.04–0.19)</w:t>
            </w:r>
          </w:p>
        </w:tc>
        <w:tc>
          <w:tcPr>
            <w:tcW w:type="dxa" w:w="2493"/>
          </w:tcPr>
          <w:p>
            <w:pPr>
              <w:spacing w:after="0"/>
            </w:pPr>
            <w:r/>
            <w:r>
              <w:rPr>
                <w:sz w:val="15"/>
              </w:rPr>
              <w:t>0 (0–0.95)</w:t>
            </w:r>
          </w:p>
        </w:tc>
      </w:tr>
      <w:tr>
        <w:tc>
          <w:tcPr>
            <w:tcW w:type="dxa" w:w="2493"/>
          </w:tcPr>
          <w:p>
            <w:pPr>
              <w:spacing w:after="0"/>
            </w:pPr>
            <w:r/>
            <w:r>
              <w:rPr>
                <w:sz w:val="15"/>
              </w:rPr>
              <w:t>DIR direction contradiction</w:t>
            </w:r>
          </w:p>
        </w:tc>
        <w:tc>
          <w:tcPr>
            <w:tcW w:type="dxa" w:w="2493"/>
          </w:tcPr>
          <w:p>
            <w:pPr>
              <w:spacing w:after="0"/>
            </w:pPr>
            <w:r/>
            <w:r>
              <w:rPr>
                <w:sz w:val="15"/>
              </w:rPr>
              <w:t>0.09 (0.05–0.18)</w:t>
            </w:r>
          </w:p>
        </w:tc>
        <w:tc>
          <w:tcPr>
            <w:tcW w:type="dxa" w:w="2493"/>
          </w:tcPr>
          <w:p>
            <w:pPr>
              <w:spacing w:after="0"/>
            </w:pPr>
            <w:r/>
            <w:r>
              <w:rPr>
                <w:sz w:val="15"/>
              </w:rPr>
              <w:t>0.01 (0.00–0.08)</w:t>
            </w:r>
          </w:p>
        </w:tc>
        <w:tc>
          <w:tcPr>
            <w:tcW w:type="dxa" w:w="2493"/>
          </w:tcPr>
          <w:p>
            <w:pPr>
              <w:spacing w:after="0"/>
            </w:pPr>
            <w:r/>
            <w:r>
              <w:rPr>
                <w:sz w:val="15"/>
              </w:rPr>
              <w:t>0 (0–0.95)</w:t>
            </w:r>
          </w:p>
        </w:tc>
      </w:tr>
      <w:tr>
        <w:tc>
          <w:tcPr>
            <w:tcW w:type="dxa" w:w="2493"/>
          </w:tcPr>
          <w:p>
            <w:pPr>
              <w:spacing w:after="0"/>
            </w:pPr>
            <w:r/>
            <w:r>
              <w:rPr>
                <w:sz w:val="15"/>
              </w:rPr>
              <w:t>UNIT</w:t>
            </w:r>
          </w:p>
        </w:tc>
        <w:tc>
          <w:tcPr>
            <w:tcW w:type="dxa" w:w="2493"/>
          </w:tcPr>
          <w:p>
            <w:pPr>
              <w:spacing w:after="0"/>
            </w:pPr>
            <w:r/>
            <w:r>
              <w:rPr>
                <w:sz w:val="15"/>
              </w:rPr>
              <w:t>0.22 (0.15–0.35)</w:t>
            </w:r>
          </w:p>
        </w:tc>
        <w:tc>
          <w:tcPr>
            <w:tcW w:type="dxa" w:w="2493"/>
          </w:tcPr>
          <w:p>
            <w:pPr>
              <w:spacing w:after="0"/>
            </w:pPr>
            <w:r/>
            <w:r>
              <w:rPr>
                <w:sz w:val="15"/>
              </w:rPr>
              <w:t>0.24 (0.15–0.38)</w:t>
            </w:r>
          </w:p>
        </w:tc>
        <w:tc>
          <w:tcPr>
            <w:tcW w:type="dxa" w:w="2493"/>
          </w:tcPr>
          <w:p>
            <w:pPr>
              <w:spacing w:after="0"/>
            </w:pPr>
            <w:r/>
            <w:r>
              <w:rPr>
                <w:sz w:val="15"/>
              </w:rPr>
              <w:t>1.50 (0.69–3.23)</w:t>
            </w:r>
          </w:p>
        </w:tc>
      </w:tr>
      <w:tr>
        <w:tc>
          <w:tcPr>
            <w:tcW w:type="dxa" w:w="2493"/>
          </w:tcPr>
          <w:p>
            <w:pPr>
              <w:spacing w:after="0"/>
            </w:pPr>
            <w:r/>
            <w:r>
              <w:rPr>
                <w:sz w:val="15"/>
              </w:rPr>
              <w:t>POP adult threshold on neonates</w:t>
            </w:r>
          </w:p>
        </w:tc>
        <w:tc>
          <w:tcPr>
            <w:tcW w:type="dxa" w:w="2493"/>
          </w:tcPr>
          <w:p>
            <w:pPr>
              <w:spacing w:after="0"/>
            </w:pPr>
            <w:r/>
            <w:r>
              <w:rPr>
                <w:sz w:val="15"/>
              </w:rPr>
              <w:t>0.15 (0.09–0.25)</w:t>
            </w:r>
          </w:p>
        </w:tc>
        <w:tc>
          <w:tcPr>
            <w:tcW w:type="dxa" w:w="2493"/>
          </w:tcPr>
          <w:p>
            <w:pPr>
              <w:spacing w:after="0"/>
            </w:pPr>
            <w:r/>
            <w:r>
              <w:rPr>
                <w:sz w:val="15"/>
              </w:rPr>
              <w:t>0.15 (0.08–0.27)</w:t>
            </w:r>
          </w:p>
        </w:tc>
        <w:tc>
          <w:tcPr>
            <w:tcW w:type="dxa" w:w="2493"/>
          </w:tcPr>
          <w:p>
            <w:pPr>
              <w:spacing w:after="0"/>
            </w:pPr>
            <w:r/>
            <w:r>
              <w:rPr>
                <w:sz w:val="15"/>
              </w:rPr>
              <w:t>3.25 (1.91–5.48)</w:t>
            </w:r>
          </w:p>
        </w:tc>
      </w:tr>
      <w:tr>
        <w:tc>
          <w:tcPr>
            <w:tcW w:type="dxa" w:w="2493"/>
          </w:tcPr>
          <w:p>
            <w:pPr>
              <w:spacing w:after="0"/>
            </w:pPr>
            <w:r/>
            <w:r>
              <w:rPr>
                <w:sz w:val="15"/>
              </w:rPr>
              <w:t>SRC source-scope mismatch</w:t>
            </w:r>
          </w:p>
        </w:tc>
        <w:tc>
          <w:tcPr>
            <w:tcW w:type="dxa" w:w="2493"/>
          </w:tcPr>
          <w:p>
            <w:pPr>
              <w:spacing w:after="0"/>
            </w:pPr>
            <w:r/>
            <w:r>
              <w:rPr>
                <w:sz w:val="15"/>
              </w:rPr>
              <w:t>0.85 (0.68–1.07)</w:t>
            </w:r>
          </w:p>
        </w:tc>
        <w:tc>
          <w:tcPr>
            <w:tcW w:type="dxa" w:w="2493"/>
          </w:tcPr>
          <w:p>
            <w:pPr>
              <w:spacing w:after="0"/>
            </w:pPr>
            <w:r/>
            <w:r>
              <w:rPr>
                <w:sz w:val="15"/>
              </w:rPr>
              <w:t>0.80 (0.61–1.04)</w:t>
            </w:r>
          </w:p>
        </w:tc>
        <w:tc>
          <w:tcPr>
            <w:tcW w:type="dxa" w:w="2493"/>
          </w:tcPr>
          <w:p>
            <w:pPr>
              <w:spacing w:after="0"/>
            </w:pPr>
            <w:r/>
            <w:r>
              <w:rPr>
                <w:sz w:val="15"/>
              </w:rPr>
              <w:t>1.50 (0.69–3.23)</w:t>
            </w:r>
          </w:p>
        </w:tc>
      </w:tr>
      <w:tr>
        <w:tc>
          <w:tcPr>
            <w:tcW w:type="dxa" w:w="2493"/>
          </w:tcPr>
          <w:p>
            <w:pPr>
              <w:spacing w:after="0"/>
            </w:pPr>
            <w:r/>
            <w:r>
              <w:rPr>
                <w:b/>
                <w:sz w:val="15"/>
              </w:rPr>
              <w:t>any</w:t>
            </w:r>
          </w:p>
        </w:tc>
        <w:tc>
          <w:tcPr>
            <w:tcW w:type="dxa" w:w="2493"/>
          </w:tcPr>
          <w:p>
            <w:pPr>
              <w:spacing w:after="0"/>
            </w:pPr>
            <w:r/>
            <w:r>
              <w:rPr>
                <w:b/>
                <w:sz w:val="15"/>
              </w:rPr>
              <w:t>23.62 (22.75–24.52)</w:t>
            </w:r>
          </w:p>
        </w:tc>
        <w:tc>
          <w:tcPr>
            <w:tcW w:type="dxa" w:w="2493"/>
          </w:tcPr>
          <w:p>
            <w:pPr>
              <w:spacing w:after="0"/>
            </w:pPr>
            <w:r/>
            <w:r>
              <w:rPr>
                <w:b/>
                <w:sz w:val="15"/>
              </w:rPr>
              <w:t>1.28 (1.04–1.58)</w:t>
            </w:r>
          </w:p>
        </w:tc>
        <w:tc>
          <w:tcPr>
            <w:tcW w:type="dxa" w:w="2493"/>
          </w:tcPr>
          <w:p>
            <w:pPr>
              <w:spacing w:after="0"/>
            </w:pPr>
            <w:r/>
            <w:r>
              <w:rPr>
                <w:b/>
                <w:sz w:val="15"/>
              </w:rPr>
              <w:t>12.75 (9.83–16.38)</w:t>
            </w:r>
          </w:p>
        </w:tc>
      </w:tr>
    </w:tbl>
    <w:p/>
    <w:p>
      <w:r>
        <w:t>The 14.1.0 density is dominated by the generated R2a/R7 rules that release 15 retired; the 15.1.0 density is the</w:t>
      </w:r>
    </w:p>
    <w:p>
      <w:r>
        <w:t>calibration set (see above). Adjudication of the 51 LLM-corpus flags by the author (the same single rater as</w:t>
      </w:r>
    </w:p>
    <w:p>
      <w:r>
        <w:t>elsewhere; verdicts are in the repository):</w:t>
      </w:r>
    </w:p>
    <w:p>
      <w:pPr>
        <w:pStyle w:val="ListBullet"/>
      </w:pPr>
      <w:r>
        <w:t>R2a (24): all are genuinely single-analyte screens on a ubiquitous analyte (CRP for cellulitis, creatinine for</w:t>
      </w:r>
    </w:p>
    <w:p>
      <w:r>
        <w:t xml:space="preserve">  contrast nephropathy, lactate for septic shock, TSH for hypothyroidism, …). One of them has an exact Hemoglyph</w:t>
      </w:r>
    </w:p>
    <w:p>
      <w:r>
        <w:t xml:space="preserve">  counterpart that the named-rule exemption list covers (lipase ≥ 3 × ULN for pancreatitis, Atlanta 2012); applying</w:t>
      </w:r>
    </w:p>
    <w:p>
      <w:r>
        <w:t xml:space="preserve">  the same exemption gives 23 (5.75/100). Whether a single-analyte screen is a </w:t>
      </w:r>
      <w:r>
        <w:rPr>
          <w:i/>
        </w:rPr>
        <w:t>defect</w:t>
      </w:r>
      <w:r>
        <w:t xml:space="preserve"> is a design position, the</w:t>
      </w:r>
    </w:p>
    <w:p>
      <w:r>
        <w:t xml:space="preserve">  same one the paper takes for Hemoglyph; the number is comparable, not a verdict on the author.</w:t>
      </w:r>
    </w:p>
    <w:p>
      <w:pPr>
        <w:pStyle w:val="ListBullet"/>
      </w:pPr>
      <w:r>
        <w:t>POP (13): all are haemoglobin &lt; 12 g/dL with an all-ages population. The population is the converter's default,</w:t>
      </w:r>
    </w:p>
    <w:p>
      <w:r>
        <w:t xml:space="preserve">  not something the prompt asked for; it is reported because it is exactly the defect found in Hemoglyph's own</w:t>
      </w:r>
    </w:p>
    <w:p>
      <w:r>
        <w:t xml:space="preserve">  curated rules in Part 1 and arises from the same cause (no population gate written at generation time).</w:t>
      </w:r>
    </w:p>
    <w:p>
      <w:r>
        <w:t xml:space="preserve">  Excluding POP, the density is 38/400 = 9.50/100 (7.00–12.77).</w:t>
      </w:r>
    </w:p>
    <w:p>
      <w:pPr>
        <w:pStyle w:val="ListBullet"/>
      </w:pPr>
      <w:r>
        <w:t>UNIT (6): methylmalonic acid µmol/L, ACTH pg/mL, plasma metanephrines nmol/L, 17-OH-progesterone ng/dL — all</w:t>
      </w:r>
    </w:p>
    <w:p>
      <w:r>
        <w:t xml:space="preserve">  conventional reporting units; the flags arise because the feature registry lists a single accepted unit. They</w:t>
      </w:r>
    </w:p>
    <w:p>
      <w:r>
        <w:t xml:space="preserve">  are unit </w:t>
      </w:r>
      <w:r>
        <w:rPr>
          <w:i/>
        </w:rPr>
        <w:t>inconsistencies between corpus and registry</w:t>
      </w:r>
      <w:r>
        <w:t>, side undetermined, the same class recorded for PTH/ACTH</w:t>
      </w:r>
    </w:p>
    <w:p>
      <w:r>
        <w:t xml:space="preserve">  in Part 1; they are not corpus errors.</w:t>
      </w:r>
    </w:p>
    <w:p>
      <w:pPr>
        <w:pStyle w:val="ListBullet"/>
      </w:pPr>
      <w:r>
        <w:t>SRC (6): hepatorenal syndrome → EASL cirrhosis guideline, tumour lysis → NCCN ALL, post-streptococcal</w:t>
      </w:r>
    </w:p>
    <w:p>
      <w:r>
        <w:t xml:space="preserve">  glomerulonephritis → KDIGO glomerular diseases. All three attributions are clinically correct; the flags are</w:t>
      </w:r>
    </w:p>
    <w:p>
      <w:r>
        <w:t xml:space="preserve">  false positives of the domain-scope heuristic (the entity's domain label, not the source, is the odd one out).</w:t>
      </w:r>
    </w:p>
    <w:p>
      <w:pPr>
        <w:pStyle w:val="ListBullet"/>
      </w:pPr>
      <w:r>
        <w:t>R7 (2): folate 2 vs 4 ng/mL and 25-OH-vitamin D 10 vs 20 ng/mL. Both pairs are the conventional thresholds;</w:t>
      </w:r>
    </w:p>
    <w:p>
      <w:r>
        <w:t xml:space="preserve">  arithmetic coincidence, false positives.</w:t>
      </w:r>
    </w:p>
    <w:p>
      <w:r>
        <w:t>Net: of 51 flags, 24 (R2a) + 13 (POP) are real under the paper's definitions, 6 (UNIT) are undetermined, and 8</w:t>
      </w:r>
    </w:p>
    <w:p>
      <w:r>
        <w:t>(SRC, R7) are detector false positives — a positive predictive value of 0.73–0.84 on this corpus, consistent with</w:t>
      </w:r>
    </w:p>
    <w:p>
      <w:r>
        <w:t>the 0.974 specificity measured in Part 1 on unmutated seeds (which are a much easier negative set).</w:t>
      </w:r>
    </w:p>
    <w:p>
      <w:pPr>
        <w:pStyle w:val="Heading2"/>
      </w:pPr>
      <w:r>
        <w:rPr>
          <w:color w:val="303030"/>
        </w:rPr>
        <w:t>What the three parts say together</w:t>
      </w:r>
    </w:p>
    <w:p>
      <w:r>
        <w:t>1. The bulk of the registry outside the curated/quote-verified set is not load-bearing at the primary cut-offs</w:t>
      </w:r>
    </w:p>
    <w:p>
      <w:r>
        <w:t xml:space="preserve">   (Part 2); the activity-defined active core overlaps that set only partly (94/364), which the ledger (Note 18) makes explicit.</w:t>
      </w:r>
    </w:p>
    <w:p>
      <w:r>
        <w:t>2. The static detectors catch the structural defect classes they were designed for with recall 0.74–1.00 and are</w:t>
      </w:r>
    </w:p>
    <w:p>
      <w:r>
        <w:t xml:space="preserve">   blind to plausible wrong numbers (recall ≤ 0.13) — the honest ceiling of static verification (Part 1).</w:t>
      </w:r>
    </w:p>
    <w:p>
      <w:r>
        <w:t>3. A second LLM-authored corpus written without templates shows the same two dominant defect classes</w:t>
      </w:r>
    </w:p>
    <w:p>
      <w:r>
        <w:t xml:space="preserve">   (single-analyte screens and missing population gates) at 6.0 and 3.3 per 100, and the detector false-positive</w:t>
      </w:r>
    </w:p>
    <w:p>
      <w:r>
        <w:t xml:space="preserve">   pattern recurs (Part 3). The defect classes are properties of LLM-drafted rules, not of Hemoglyph's template</w:t>
      </w:r>
    </w:p>
    <w:p>
      <w:r>
        <w:t xml:space="preserve">   generator; the fix (population gates, multi-analyte patterns, section-level locators) is generic.</w:t>
      </w:r>
    </w:p>
    <w:p>
      <w:pPr>
        <w:pStyle w:val="Heading2"/>
      </w:pPr>
      <w:r>
        <w:rPr>
          <w:color w:val="303030"/>
        </w:rPr>
        <w:t>Release 15.2.0 (2026-10-28, after this study)</w:t>
      </w:r>
    </w:p>
    <w:p>
      <w:r>
        <w:t>The defects above were corrected under a written protocol: 4 tiers</w:t>
      </w:r>
    </w:p>
    <w:p>
      <w:r>
        <w:t>retired, 4 population gates, 126 unit labels (ACTH 93, PTH 14, cortisol 19), 14 source corrections; no threshold</w:t>
      </w:r>
    </w:p>
    <w:p>
      <w:r>
        <w:t>tuned. Frozen detectors re-run on 15.2.0: 68 flagged of 6,773 (1.00 per 100; was 1.28). Non-regression gate:</w:t>
      </w:r>
    </w:p>
    <w:p>
      <w:r>
        <w:t>pytest 709/9; eICU every count identical to 15.1.0; NHANES all AUROCs identical; healthy 0/51 — as expected, since</w:t>
      </w:r>
    </w:p>
    <w:p>
      <w:r>
        <w:t>none of the touched analytes fires on these panels. The paper's frozen results are unaffected.</w:t>
      </w:r>
    </w:p>
    <w:p>
      <w:pPr>
        <w:pStyle w:val="Heading2"/>
      </w:pPr>
      <w:r>
        <w:rPr>
          <w:color w:val="303030"/>
        </w:rPr>
        <w:t>Fixed generation prompt for the second corpus</w:t>
      </w:r>
    </w:p>
    <w:p>
      <w:pPr>
        <w:spacing w:after="0"/>
      </w:pPr>
      <w:r>
        <w:rPr>
          <w:rFonts w:ascii="Consolas" w:hAnsi="Consolas"/>
          <w:sz w:val="16"/>
        </w:rPr>
        <w:t>PROMPT (fixed, used verbatim for the Part 3 corpus; written 2026-10-28)</w:t>
      </w:r>
    </w:p>
    <w:p>
      <w:pPr>
        <w:spacing w:after="0"/>
      </w:pPr>
      <w:r>
        <w:rPr>
          <w:rFonts w:ascii="Consolas" w:hAnsi="Consolas"/>
          <w:sz w:val="16"/>
        </w:rPr>
      </w:r>
    </w:p>
    <w:p>
      <w:pPr>
        <w:spacing w:after="0"/>
      </w:pPr>
      <w:r>
        <w:rPr>
          <w:rFonts w:ascii="Consolas" w:hAnsi="Consolas"/>
          <w:sz w:val="16"/>
        </w:rPr>
        <w:t>You are a clinical knowledge engineer. Produce an executable laboratory-interpretation rule set for 200 clinical</w:t>
      </w:r>
    </w:p>
    <w:p>
      <w:pPr>
        <w:spacing w:after="0"/>
      </w:pPr>
      <w:r>
        <w:rPr>
          <w:rFonts w:ascii="Consolas" w:hAnsi="Consolas"/>
          <w:sz w:val="16"/>
        </w:rPr>
        <w:t>entities in the following strata: 60 infectious, 40 haematological, 30 renal, 30 endocrine/metabolic, 40 other</w:t>
      </w:r>
    </w:p>
    <w:p>
      <w:pPr>
        <w:spacing w:after="0"/>
      </w:pPr>
      <w:r>
        <w:rPr>
          <w:rFonts w:ascii="Consolas" w:hAnsi="Consolas"/>
          <w:sz w:val="16"/>
        </w:rPr>
        <w:t>(hepatic, cardiac, rheumatological, toxicological, obstetric, oncological). For every entity write exactly two</w:t>
      </w:r>
    </w:p>
    <w:p>
      <w:pPr>
        <w:spacing w:after="0"/>
      </w:pPr>
      <w:r>
        <w:rPr>
          <w:rFonts w:ascii="Consolas" w:hAnsi="Consolas"/>
          <w:sz w:val="16"/>
        </w:rPr>
        <w:t>rules: one "screening" rule (the laboratory pattern that should raise the entity in a differential) and one</w:t>
      </w:r>
    </w:p>
    <w:p>
      <w:pPr>
        <w:spacing w:after="0"/>
      </w:pPr>
      <w:r>
        <w:rPr>
          <w:rFonts w:ascii="Consolas" w:hAnsi="Consolas"/>
          <w:sz w:val="16"/>
        </w:rPr>
        <w:t>"diagnostic_criterion" or "staging_severity" rule (a stricter or severity threshold). Use only quantitative</w:t>
      </w:r>
    </w:p>
    <w:p>
      <w:pPr>
        <w:spacing w:after="0"/>
      </w:pPr>
      <w:r>
        <w:rPr>
          <w:rFonts w:ascii="Consolas" w:hAnsi="Consolas"/>
          <w:sz w:val="16"/>
        </w:rPr>
        <w:t>laboratory analytes, with the threshold, operator and unit you would use in practice, and cite one guideline</w:t>
      </w:r>
    </w:p>
    <w:p>
      <w:pPr>
        <w:spacing w:after="0"/>
      </w:pPr>
      <w:r>
        <w:rPr>
          <w:rFonts w:ascii="Consolas" w:hAnsi="Consolas"/>
          <w:sz w:val="16"/>
        </w:rPr>
        <w:t>source identifier from the supplied source list per rule. Output one rule per line as</w:t>
      </w:r>
    </w:p>
    <w:p>
      <w:pPr>
        <w:spacing w:after="0"/>
      </w:pPr>
      <w:r>
        <w:rPr>
          <w:rFonts w:ascii="Consolas" w:hAnsi="Consolas"/>
          <w:sz w:val="16"/>
        </w:rPr>
        <w:t>entity_id | display name | domain | entity_kind | rule_type | expression | source_id</w:t>
      </w:r>
    </w:p>
    <w:p>
      <w:pPr>
        <w:spacing w:after="0"/>
      </w:pPr>
      <w:r>
        <w:rPr>
          <w:rFonts w:ascii="Consolas" w:hAnsi="Consolas"/>
          <w:sz w:val="16"/>
        </w:rPr>
        <w:t>where expression is either "feature op value unit" or "all: f1 op v1 u1; f2 op v2 u2" / "any: ...".</w:t>
      </w:r>
    </w:p>
    <w:p>
      <w:pPr>
        <w:spacing w:after="0"/>
      </w:pPr>
      <w:r>
        <w:rPr>
          <w:rFonts w:ascii="Consolas" w:hAnsi="Consolas"/>
          <w:sz w:val="16"/>
        </w:rPr>
        <w:t>Write the thresholds from your own knowledge; do not look anything up; do not add commentary.</w:t>
      </w:r>
    </w:p>
    <w:p>
      <w:pPr>
        <w:pStyle w:val="Heading1"/>
      </w:pPr>
      <w:r>
        <w:rPr>
          <w:color w:val="000000"/>
        </w:rPr>
        <w:t>Supplementary Note 18 — Per-rule verification ledger (registry 15.2.0; built 2026-10-28 from the frozen artefacts of Notes 8, 13, 15 and 16, the static detectors and the property tests; nothing re-measured) and its closure in registry 15.3.0</w:t>
      </w:r>
    </w:p>
    <w:p>
      <w:r>
        <w:t xml:space="preserve">Scope and construction are defined by </w:t>
      </w:r>
      <w:r>
        <w:rPr>
          <w:rFonts w:ascii="Consolas" w:hAnsi="Consolas"/>
        </w:rPr>
        <w:t>eval/verification_ledger/build_ledger.py</w:t>
      </w:r>
      <w:r>
        <w:t xml:space="preserve">; </w:t>
      </w:r>
      <w:r>
        <w:rPr>
          <w:rFonts w:ascii="Consolas" w:hAnsi="Consolas"/>
        </w:rPr>
        <w:t>tests/test_verification_ledger.py</w:t>
      </w:r>
      <w:r>
        <w:t xml:space="preserve"> asserts that every count below reconciles with the Notes it was copied from. The ledger is a join of existing verdicts, not a new audit: a </w:t>
      </w:r>
      <w:r>
        <w:rPr>
          <w:rFonts w:ascii="Consolas" w:hAnsi="Consolas"/>
        </w:rPr>
        <w:t>quote_verified</w:t>
      </w:r>
      <w:r>
        <w:t xml:space="preserve"> label is single-rater transcription concordance, </w:t>
      </w:r>
      <w:r>
        <w:rPr>
          <w:rFonts w:ascii="Consolas" w:hAnsi="Consolas"/>
        </w:rPr>
        <w:t>flagged_open</w:t>
      </w:r>
      <w:r>
        <w:t xml:space="preserve"> is a calibrated-detector candidate, and </w:t>
      </w:r>
      <w:r>
        <w:rPr>
          <w:rFonts w:ascii="Consolas" w:hAnsi="Consolas"/>
        </w:rPr>
        <w:t>source_reachable_unverified</w:t>
      </w:r>
      <w:r>
        <w:t xml:space="preserve"> means exactly that nobody has read the source against the rule.</w:t>
      </w:r>
    </w:p>
    <w:p>
      <w:r>
        <w:t>Rows: 605 rules = union of the 285 curated rules of 14.1.0 (272 anchors + 13 demoted), the 364-rule active core and the 335-rule CORE arm.</w:t>
      </w:r>
    </w:p>
    <w:p>
      <w:pPr>
        <w:pStyle w:val="Heading2"/>
      </w:pPr>
      <w:r>
        <w:rPr>
          <w:color w:val="303030"/>
        </w:rPr>
        <w:t>Status precedence (first matching label wins)</w:t>
      </w:r>
    </w:p>
    <w:p>
      <w:r>
        <w:t xml:space="preserve">1. </w:t>
      </w:r>
      <w:r>
        <w:rPr>
          <w:rFonts w:ascii="Consolas" w:hAnsi="Consolas"/>
        </w:rPr>
        <w:t>retired</w:t>
      </w:r>
      <w:r>
        <w:t xml:space="preserve"> — non-executable in 15.2.0 with a </w:t>
      </w:r>
      <w:r>
        <w:rPr>
          <w:rFonts w:ascii="Consolas" w:hAnsi="Consolas"/>
        </w:rPr>
        <w:t>retired_*</w:t>
      </w:r>
      <w:r>
        <w:t xml:space="preserve"> status (15.0.0/15.1.0 patches under written protocol).</w:t>
      </w:r>
    </w:p>
    <w:p>
      <w:r>
        <w:t xml:space="preserve">2. </w:t>
      </w:r>
      <w:r>
        <w:rPr>
          <w:rFonts w:ascii="Consolas" w:hAnsi="Consolas"/>
        </w:rPr>
        <w:t>discordant_open</w:t>
      </w:r>
      <w:r>
        <w:t xml:space="preserve"> — a frozen-sample verdict of DISCORDANT and no change to the rule since (status unchanged, no patch touched it).</w:t>
      </w:r>
    </w:p>
    <w:p>
      <w:r>
        <w:t xml:space="preserve">3. </w:t>
      </w:r>
      <w:r>
        <w:rPr>
          <w:rFonts w:ascii="Consolas" w:hAnsi="Consolas"/>
        </w:rPr>
        <w:t>discordant_corrected</w:t>
      </w:r>
      <w:r>
        <w:t xml:space="preserve"> — DISCORDANT verdict (both samples were rated on the pre-15.0.0 rule text), and the rule's text or source changed in 15.x so that the recorded finding no longer holds.</w:t>
      </w:r>
    </w:p>
    <w:p>
      <w:r>
        <w:t xml:space="preserve">4. </w:t>
      </w:r>
      <w:r>
        <w:rPr>
          <w:rFonts w:ascii="Consolas" w:hAnsi="Consolas"/>
        </w:rPr>
        <w:t>quote_verified</w:t>
      </w:r>
      <w:r>
        <w:t xml:space="preserve"> — the registry carries a verbatim source quote for the rule (15.0.0 R3) or a frozen-sample verdict of CONCORDANT with quote.</w:t>
      </w:r>
    </w:p>
    <w:p>
      <w:r>
        <w:t xml:space="preserve">5. </w:t>
      </w:r>
      <w:r>
        <w:rPr>
          <w:rFonts w:ascii="Consolas" w:hAnsi="Consolas"/>
        </w:rPr>
        <w:t>flagged_open</w:t>
      </w:r>
      <w:r>
        <w:t xml:space="preserve"> — at least one static-detector flag on 15.2.0 (calibrated detectors; a flag is a candidate defect, not a verdict).</w:t>
      </w:r>
    </w:p>
    <w:p>
      <w:r>
        <w:t xml:space="preserve">6. </w:t>
      </w:r>
      <w:r>
        <w:rPr>
          <w:rFonts w:ascii="Consolas" w:hAnsi="Consolas"/>
        </w:rPr>
        <w:t>source_reachable_unverified</w:t>
      </w:r>
      <w:r>
        <w:t xml:space="preserve"> — first source resolves to a DOI or a specific document page, but no one has checked the rule against it.</w:t>
      </w:r>
    </w:p>
    <w:p>
      <w:r>
        <w:t xml:space="preserve">7. </w:t>
      </w:r>
      <w:r>
        <w:rPr>
          <w:rFonts w:ascii="Consolas" w:hAnsi="Consolas"/>
        </w:rPr>
        <w:t>unresolvable</w:t>
      </w:r>
      <w:r>
        <w:t xml:space="preserve"> — first source is a generic standards page, an organisation landing page, unreachable, or absent; or the sampled verdict was UNRESOLVABLE.</w:t>
      </w:r>
    </w:p>
    <w:p>
      <w:r>
        <w:rPr>
          <w:rFonts w:ascii="Consolas" w:hAnsi="Consolas"/>
        </w:rPr>
        <w:t>quote_verified</w:t>
      </w:r>
      <w:r>
        <w:t xml:space="preserve"> means transcription concordance by a single declared AI rater; it is not clinical validation.</w:t>
      </w:r>
    </w:p>
    <w:p>
      <w:pPr>
        <w:pStyle w:val="Heading2"/>
      </w:pPr>
      <w:r>
        <w:rPr>
          <w:color w:val="303030"/>
        </w:rPr>
        <w:t>Counts</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pPr>
              <w:spacing w:after="0"/>
            </w:pPr>
            <w:r>
              <w:rPr>
                <w:b/>
              </w:rPr>
            </w:r>
            <w:r>
              <w:rPr>
                <w:b/>
                <w:sz w:val="15"/>
              </w:rPr>
              <w:t>set</w:t>
            </w:r>
          </w:p>
        </w:tc>
        <w:tc>
          <w:tcPr>
            <w:tcW w:type="dxa" w:w="1108"/>
          </w:tcPr>
          <w:p>
            <w:pPr>
              <w:spacing w:after="0"/>
            </w:pPr>
            <w:r>
              <w:rPr>
                <w:b/>
              </w:rPr>
            </w:r>
            <w:r>
              <w:rPr>
                <w:b/>
                <w:sz w:val="15"/>
              </w:rPr>
              <w:t>n</w:t>
            </w:r>
          </w:p>
        </w:tc>
        <w:tc>
          <w:tcPr>
            <w:tcW w:type="dxa" w:w="1108"/>
          </w:tcPr>
          <w:p>
            <w:pPr>
              <w:spacing w:after="0"/>
            </w:pPr>
            <w:r>
              <w:rPr>
                <w:b/>
              </w:rPr>
            </w:r>
            <w:r>
              <w:rPr>
                <w:b/>
                <w:sz w:val="15"/>
              </w:rPr>
              <w:t>retired</w:t>
            </w:r>
          </w:p>
        </w:tc>
        <w:tc>
          <w:tcPr>
            <w:tcW w:type="dxa" w:w="1108"/>
          </w:tcPr>
          <w:p>
            <w:pPr>
              <w:spacing w:after="0"/>
            </w:pPr>
            <w:r>
              <w:rPr>
                <w:b/>
              </w:rPr>
            </w:r>
            <w:r>
              <w:rPr>
                <w:b/>
                <w:sz w:val="15"/>
              </w:rPr>
              <w:t>discordant_open</w:t>
            </w:r>
          </w:p>
        </w:tc>
        <w:tc>
          <w:tcPr>
            <w:tcW w:type="dxa" w:w="1108"/>
          </w:tcPr>
          <w:p>
            <w:pPr>
              <w:spacing w:after="0"/>
            </w:pPr>
            <w:r>
              <w:rPr>
                <w:b/>
              </w:rPr>
            </w:r>
            <w:r>
              <w:rPr>
                <w:b/>
                <w:sz w:val="15"/>
              </w:rPr>
              <w:t>discordant_corrected</w:t>
            </w:r>
          </w:p>
        </w:tc>
        <w:tc>
          <w:tcPr>
            <w:tcW w:type="dxa" w:w="1108"/>
          </w:tcPr>
          <w:p>
            <w:pPr>
              <w:spacing w:after="0"/>
            </w:pPr>
            <w:r>
              <w:rPr>
                <w:b/>
              </w:rPr>
            </w:r>
            <w:r>
              <w:rPr>
                <w:b/>
                <w:sz w:val="15"/>
              </w:rPr>
              <w:t>quote_verified</w:t>
            </w:r>
          </w:p>
        </w:tc>
        <w:tc>
          <w:tcPr>
            <w:tcW w:type="dxa" w:w="1108"/>
          </w:tcPr>
          <w:p>
            <w:pPr>
              <w:spacing w:after="0"/>
            </w:pPr>
            <w:r>
              <w:rPr>
                <w:b/>
              </w:rPr>
            </w:r>
            <w:r>
              <w:rPr>
                <w:b/>
                <w:sz w:val="15"/>
              </w:rPr>
              <w:t>flagged_open</w:t>
            </w:r>
          </w:p>
        </w:tc>
        <w:tc>
          <w:tcPr>
            <w:tcW w:type="dxa" w:w="1108"/>
          </w:tcPr>
          <w:p>
            <w:pPr>
              <w:spacing w:after="0"/>
            </w:pPr>
            <w:r>
              <w:rPr>
                <w:b/>
              </w:rPr>
            </w:r>
            <w:r>
              <w:rPr>
                <w:b/>
                <w:sz w:val="15"/>
              </w:rPr>
              <w:t>source_reachable_unverified</w:t>
            </w:r>
          </w:p>
        </w:tc>
        <w:tc>
          <w:tcPr>
            <w:tcW w:type="dxa" w:w="1108"/>
          </w:tcPr>
          <w:p>
            <w:pPr>
              <w:spacing w:after="0"/>
            </w:pPr>
            <w:r>
              <w:rPr>
                <w:b/>
              </w:rPr>
            </w:r>
            <w:r>
              <w:rPr>
                <w:b/>
                <w:sz w:val="15"/>
              </w:rPr>
              <w:t>unresolvable</w:t>
            </w:r>
          </w:p>
        </w:tc>
      </w:tr>
      <w:tr>
        <w:tc>
          <w:tcPr>
            <w:tcW w:type="dxa" w:w="1108"/>
          </w:tcPr>
          <w:p>
            <w:pPr>
              <w:spacing w:after="0"/>
            </w:pPr>
            <w:r/>
            <w:r>
              <w:rPr>
                <w:sz w:val="15"/>
              </w:rPr>
              <w:t>curated anchors (272, 14.1.0)</w:t>
            </w:r>
          </w:p>
        </w:tc>
        <w:tc>
          <w:tcPr>
            <w:tcW w:type="dxa" w:w="1108"/>
          </w:tcPr>
          <w:p>
            <w:pPr>
              <w:spacing w:after="0"/>
            </w:pPr>
            <w:r/>
            <w:r>
              <w:rPr>
                <w:sz w:val="15"/>
              </w:rPr>
              <w:t>272</w:t>
            </w:r>
          </w:p>
        </w:tc>
        <w:tc>
          <w:tcPr>
            <w:tcW w:type="dxa" w:w="1108"/>
          </w:tcPr>
          <w:p>
            <w:pPr>
              <w:spacing w:after="0"/>
            </w:pPr>
            <w:r/>
            <w:r>
              <w:rPr>
                <w:sz w:val="15"/>
              </w:rPr>
              <w:t>1 (0%)</w:t>
            </w:r>
          </w:p>
        </w:tc>
        <w:tc>
          <w:tcPr>
            <w:tcW w:type="dxa" w:w="1108"/>
          </w:tcPr>
          <w:p>
            <w:pPr>
              <w:spacing w:after="0"/>
            </w:pPr>
            <w:r/>
            <w:r>
              <w:rPr>
                <w:sz w:val="15"/>
              </w:rPr>
              <w:t>6 (2%)</w:t>
            </w:r>
          </w:p>
        </w:tc>
        <w:tc>
          <w:tcPr>
            <w:tcW w:type="dxa" w:w="1108"/>
          </w:tcPr>
          <w:p>
            <w:pPr>
              <w:spacing w:after="0"/>
            </w:pPr>
            <w:r/>
            <w:r>
              <w:rPr>
                <w:sz w:val="15"/>
              </w:rPr>
              <w:t>2 (1%)</w:t>
            </w:r>
          </w:p>
        </w:tc>
        <w:tc>
          <w:tcPr>
            <w:tcW w:type="dxa" w:w="1108"/>
          </w:tcPr>
          <w:p>
            <w:pPr>
              <w:spacing w:after="0"/>
            </w:pPr>
            <w:r/>
            <w:r>
              <w:rPr>
                <w:sz w:val="15"/>
              </w:rPr>
              <w:t>18 (7%)</w:t>
            </w:r>
          </w:p>
        </w:tc>
        <w:tc>
          <w:tcPr>
            <w:tcW w:type="dxa" w:w="1108"/>
          </w:tcPr>
          <w:p>
            <w:pPr>
              <w:spacing w:after="0"/>
            </w:pPr>
            <w:r/>
            <w:r>
              <w:rPr>
                <w:sz w:val="15"/>
              </w:rPr>
              <w:t>3 (1%)</w:t>
            </w:r>
          </w:p>
        </w:tc>
        <w:tc>
          <w:tcPr>
            <w:tcW w:type="dxa" w:w="1108"/>
          </w:tcPr>
          <w:p>
            <w:pPr>
              <w:spacing w:after="0"/>
            </w:pPr>
            <w:r/>
            <w:r>
              <w:rPr>
                <w:sz w:val="15"/>
              </w:rPr>
              <w:t>101 (37%)</w:t>
            </w:r>
          </w:p>
        </w:tc>
        <w:tc>
          <w:tcPr>
            <w:tcW w:type="dxa" w:w="1108"/>
          </w:tcPr>
          <w:p>
            <w:pPr>
              <w:spacing w:after="0"/>
            </w:pPr>
            <w:r/>
            <w:r>
              <w:rPr>
                <w:sz w:val="15"/>
              </w:rPr>
              <w:t>141 (52%)</w:t>
            </w:r>
          </w:p>
        </w:tc>
      </w:tr>
      <w:tr>
        <w:tc>
          <w:tcPr>
            <w:tcW w:type="dxa" w:w="1108"/>
          </w:tcPr>
          <w:p>
            <w:pPr>
              <w:spacing w:after="0"/>
            </w:pPr>
            <w:r/>
            <w:r>
              <w:rPr>
                <w:sz w:val="15"/>
              </w:rPr>
              <w:t>active core (364)</w:t>
            </w:r>
          </w:p>
        </w:tc>
        <w:tc>
          <w:tcPr>
            <w:tcW w:type="dxa" w:w="1108"/>
          </w:tcPr>
          <w:p>
            <w:pPr>
              <w:spacing w:after="0"/>
            </w:pPr>
            <w:r/>
            <w:r>
              <w:rPr>
                <w:sz w:val="15"/>
              </w:rPr>
              <w:t>364</w:t>
            </w:r>
          </w:p>
        </w:tc>
        <w:tc>
          <w:tcPr>
            <w:tcW w:type="dxa" w:w="1108"/>
          </w:tcPr>
          <w:p>
            <w:pPr>
              <w:spacing w:after="0"/>
            </w:pPr>
            <w:r/>
            <w:r>
              <w:rPr>
                <w:sz w:val="15"/>
              </w:rPr>
              <w:t>145 (40%)</w:t>
            </w:r>
          </w:p>
        </w:tc>
        <w:tc>
          <w:tcPr>
            <w:tcW w:type="dxa" w:w="1108"/>
          </w:tcPr>
          <w:p>
            <w:pPr>
              <w:spacing w:after="0"/>
            </w:pPr>
            <w:r/>
            <w:r>
              <w:rPr>
                <w:sz w:val="15"/>
              </w:rPr>
              <w:t>3 (1%)</w:t>
            </w:r>
          </w:p>
        </w:tc>
        <w:tc>
          <w:tcPr>
            <w:tcW w:type="dxa" w:w="1108"/>
          </w:tcPr>
          <w:p>
            <w:pPr>
              <w:spacing w:after="0"/>
            </w:pPr>
            <w:r/>
            <w:r>
              <w:rPr>
                <w:sz w:val="15"/>
              </w:rPr>
              <w:t>2 (1%)</w:t>
            </w:r>
          </w:p>
        </w:tc>
        <w:tc>
          <w:tcPr>
            <w:tcW w:type="dxa" w:w="1108"/>
          </w:tcPr>
          <w:p>
            <w:pPr>
              <w:spacing w:after="0"/>
            </w:pPr>
            <w:r/>
            <w:r>
              <w:rPr>
                <w:sz w:val="15"/>
              </w:rPr>
              <w:t>37 (10%)</w:t>
            </w:r>
          </w:p>
        </w:tc>
        <w:tc>
          <w:tcPr>
            <w:tcW w:type="dxa" w:w="1108"/>
          </w:tcPr>
          <w:p>
            <w:pPr>
              <w:spacing w:after="0"/>
            </w:pPr>
            <w:r/>
            <w:r>
              <w:rPr>
                <w:sz w:val="15"/>
              </w:rPr>
              <w:t>3 (1%)</w:t>
            </w:r>
          </w:p>
        </w:tc>
        <w:tc>
          <w:tcPr>
            <w:tcW w:type="dxa" w:w="1108"/>
          </w:tcPr>
          <w:p>
            <w:pPr>
              <w:spacing w:after="0"/>
            </w:pPr>
            <w:r/>
            <w:r>
              <w:rPr>
                <w:sz w:val="15"/>
              </w:rPr>
              <w:t>17 (5%)</w:t>
            </w:r>
          </w:p>
        </w:tc>
        <w:tc>
          <w:tcPr>
            <w:tcW w:type="dxa" w:w="1108"/>
          </w:tcPr>
          <w:p>
            <w:pPr>
              <w:spacing w:after="0"/>
            </w:pPr>
            <w:r/>
            <w:r>
              <w:rPr>
                <w:sz w:val="15"/>
              </w:rPr>
              <w:t>157 (43%)</w:t>
            </w:r>
          </w:p>
        </w:tc>
      </w:tr>
      <w:tr>
        <w:tc>
          <w:tcPr>
            <w:tcW w:type="dxa" w:w="1108"/>
          </w:tcPr>
          <w:p>
            <w:pPr>
              <w:spacing w:after="0"/>
            </w:pPr>
            <w:r/>
            <w:r>
              <w:rPr>
                <w:sz w:val="15"/>
              </w:rPr>
              <w:t>hot core (174)</w:t>
            </w:r>
          </w:p>
        </w:tc>
        <w:tc>
          <w:tcPr>
            <w:tcW w:type="dxa" w:w="1108"/>
          </w:tcPr>
          <w:p>
            <w:pPr>
              <w:spacing w:after="0"/>
            </w:pPr>
            <w:r/>
            <w:r>
              <w:rPr>
                <w:sz w:val="15"/>
              </w:rPr>
              <w:t>174</w:t>
            </w:r>
          </w:p>
        </w:tc>
        <w:tc>
          <w:tcPr>
            <w:tcW w:type="dxa" w:w="1108"/>
          </w:tcPr>
          <w:p>
            <w:pPr>
              <w:spacing w:after="0"/>
            </w:pPr>
            <w:r/>
            <w:r>
              <w:rPr>
                <w:sz w:val="15"/>
              </w:rPr>
              <w:t>71 (41%)</w:t>
            </w:r>
          </w:p>
        </w:tc>
        <w:tc>
          <w:tcPr>
            <w:tcW w:type="dxa" w:w="1108"/>
          </w:tcPr>
          <w:p>
            <w:pPr>
              <w:spacing w:after="0"/>
            </w:pPr>
            <w:r/>
            <w:r>
              <w:rPr>
                <w:sz w:val="15"/>
              </w:rPr>
              <w:t>3 (2%)</w:t>
            </w:r>
          </w:p>
        </w:tc>
        <w:tc>
          <w:tcPr>
            <w:tcW w:type="dxa" w:w="1108"/>
          </w:tcPr>
          <w:p>
            <w:pPr>
              <w:spacing w:after="0"/>
            </w:pPr>
            <w:r/>
            <w:r>
              <w:rPr>
                <w:sz w:val="15"/>
              </w:rPr>
              <w:t>2 (1%)</w:t>
            </w:r>
          </w:p>
        </w:tc>
        <w:tc>
          <w:tcPr>
            <w:tcW w:type="dxa" w:w="1108"/>
          </w:tcPr>
          <w:p>
            <w:pPr>
              <w:spacing w:after="0"/>
            </w:pPr>
            <w:r/>
            <w:r>
              <w:rPr>
                <w:sz w:val="15"/>
              </w:rPr>
              <w:t>30 (17%)</w:t>
            </w:r>
          </w:p>
        </w:tc>
        <w:tc>
          <w:tcPr>
            <w:tcW w:type="dxa" w:w="1108"/>
          </w:tcPr>
          <w:p>
            <w:pPr>
              <w:spacing w:after="0"/>
            </w:pPr>
            <w:r/>
            <w:r>
              <w:rPr>
                <w:sz w:val="15"/>
              </w:rPr>
              <w:t>1 (1%)</w:t>
            </w:r>
          </w:p>
        </w:tc>
        <w:tc>
          <w:tcPr>
            <w:tcW w:type="dxa" w:w="1108"/>
          </w:tcPr>
          <w:p>
            <w:pPr>
              <w:spacing w:after="0"/>
            </w:pPr>
            <w:r/>
            <w:r>
              <w:rPr>
                <w:sz w:val="15"/>
              </w:rPr>
              <w:t>10 (6%)</w:t>
            </w:r>
          </w:p>
        </w:tc>
        <w:tc>
          <w:tcPr>
            <w:tcW w:type="dxa" w:w="1108"/>
          </w:tcPr>
          <w:p>
            <w:pPr>
              <w:spacing w:after="0"/>
            </w:pPr>
            <w:r/>
            <w:r>
              <w:rPr>
                <w:sz w:val="15"/>
              </w:rPr>
              <w:t>57 (33%)</w:t>
            </w:r>
          </w:p>
        </w:tc>
      </w:tr>
      <w:tr>
        <w:tc>
          <w:tcPr>
            <w:tcW w:type="dxa" w:w="1108"/>
          </w:tcPr>
          <w:p>
            <w:pPr>
              <w:spacing w:after="0"/>
            </w:pPr>
            <w:r/>
            <w:r>
              <w:rPr>
                <w:sz w:val="15"/>
              </w:rPr>
              <w:t>CORE arm of the sufficiency study (335, 15.1.0)</w:t>
            </w:r>
          </w:p>
        </w:tc>
        <w:tc>
          <w:tcPr>
            <w:tcW w:type="dxa" w:w="1108"/>
          </w:tcPr>
          <w:p>
            <w:pPr>
              <w:spacing w:after="0"/>
            </w:pPr>
            <w:r/>
            <w:r>
              <w:rPr>
                <w:sz w:val="15"/>
              </w:rPr>
              <w:t>335</w:t>
            </w:r>
          </w:p>
        </w:tc>
        <w:tc>
          <w:tcPr>
            <w:tcW w:type="dxa" w:w="1108"/>
          </w:tcPr>
          <w:p>
            <w:pPr>
              <w:spacing w:after="0"/>
            </w:pPr>
            <w:r/>
            <w:r>
              <w:rPr>
                <w:sz w:val="15"/>
              </w:rPr>
              <w:t>0 (0%)</w:t>
            </w:r>
          </w:p>
        </w:tc>
        <w:tc>
          <w:tcPr>
            <w:tcW w:type="dxa" w:w="1108"/>
          </w:tcPr>
          <w:p>
            <w:pPr>
              <w:spacing w:after="0"/>
            </w:pPr>
            <w:r/>
            <w:r>
              <w:rPr>
                <w:sz w:val="15"/>
              </w:rPr>
              <w:t>7 (2%)</w:t>
            </w:r>
          </w:p>
        </w:tc>
        <w:tc>
          <w:tcPr>
            <w:tcW w:type="dxa" w:w="1108"/>
          </w:tcPr>
          <w:p>
            <w:pPr>
              <w:spacing w:after="0"/>
            </w:pPr>
            <w:r/>
            <w:r>
              <w:rPr>
                <w:sz w:val="15"/>
              </w:rPr>
              <w:t>2 (1%)</w:t>
            </w:r>
          </w:p>
        </w:tc>
        <w:tc>
          <w:tcPr>
            <w:tcW w:type="dxa" w:w="1108"/>
          </w:tcPr>
          <w:p>
            <w:pPr>
              <w:spacing w:after="0"/>
            </w:pPr>
            <w:r/>
            <w:r>
              <w:rPr>
                <w:sz w:val="15"/>
              </w:rPr>
              <w:t>37 (11%)</w:t>
            </w:r>
          </w:p>
        </w:tc>
        <w:tc>
          <w:tcPr>
            <w:tcW w:type="dxa" w:w="1108"/>
          </w:tcPr>
          <w:p>
            <w:pPr>
              <w:spacing w:after="0"/>
            </w:pPr>
            <w:r/>
            <w:r>
              <w:rPr>
                <w:sz w:val="15"/>
              </w:rPr>
              <w:t>3 (1%)</w:t>
            </w:r>
          </w:p>
        </w:tc>
        <w:tc>
          <w:tcPr>
            <w:tcW w:type="dxa" w:w="1108"/>
          </w:tcPr>
          <w:p>
            <w:pPr>
              <w:spacing w:after="0"/>
            </w:pPr>
            <w:r/>
            <w:r>
              <w:rPr>
                <w:sz w:val="15"/>
              </w:rPr>
              <w:t>108 (32%)</w:t>
            </w:r>
          </w:p>
        </w:tc>
        <w:tc>
          <w:tcPr>
            <w:tcW w:type="dxa" w:w="1108"/>
          </w:tcPr>
          <w:p>
            <w:pPr>
              <w:spacing w:after="0"/>
            </w:pPr>
            <w:r/>
            <w:r>
              <w:rPr>
                <w:sz w:val="15"/>
              </w:rPr>
              <w:t>178 (53%)</w:t>
            </w:r>
          </w:p>
        </w:tc>
      </w:tr>
      <w:tr>
        <w:tc>
          <w:tcPr>
            <w:tcW w:type="dxa" w:w="1108"/>
          </w:tcPr>
          <w:p>
            <w:pPr>
              <w:spacing w:after="0"/>
            </w:pPr>
            <w:r/>
            <w:r>
              <w:rPr>
                <w:sz w:val="15"/>
              </w:rPr>
              <w:t>union (all ledger rows)</w:t>
            </w:r>
          </w:p>
        </w:tc>
        <w:tc>
          <w:tcPr>
            <w:tcW w:type="dxa" w:w="1108"/>
          </w:tcPr>
          <w:p>
            <w:pPr>
              <w:spacing w:after="0"/>
            </w:pPr>
            <w:r/>
            <w:r>
              <w:rPr>
                <w:sz w:val="15"/>
              </w:rPr>
              <w:t>605</w:t>
            </w:r>
          </w:p>
        </w:tc>
        <w:tc>
          <w:tcPr>
            <w:tcW w:type="dxa" w:w="1108"/>
          </w:tcPr>
          <w:p>
            <w:pPr>
              <w:spacing w:after="0"/>
            </w:pPr>
            <w:r/>
            <w:r>
              <w:rPr>
                <w:sz w:val="15"/>
              </w:rPr>
              <w:t>145 (24%)</w:t>
            </w:r>
          </w:p>
        </w:tc>
        <w:tc>
          <w:tcPr>
            <w:tcW w:type="dxa" w:w="1108"/>
          </w:tcPr>
          <w:p>
            <w:pPr>
              <w:spacing w:after="0"/>
            </w:pPr>
            <w:r/>
            <w:r>
              <w:rPr>
                <w:sz w:val="15"/>
              </w:rPr>
              <w:t>7 (1%)</w:t>
            </w:r>
          </w:p>
        </w:tc>
        <w:tc>
          <w:tcPr>
            <w:tcW w:type="dxa" w:w="1108"/>
          </w:tcPr>
          <w:p>
            <w:pPr>
              <w:spacing w:after="0"/>
            </w:pPr>
            <w:r/>
            <w:r>
              <w:rPr>
                <w:sz w:val="15"/>
              </w:rPr>
              <w:t>2 (0%)</w:t>
            </w:r>
          </w:p>
        </w:tc>
        <w:tc>
          <w:tcPr>
            <w:tcW w:type="dxa" w:w="1108"/>
          </w:tcPr>
          <w:p>
            <w:pPr>
              <w:spacing w:after="0"/>
            </w:pPr>
            <w:r/>
            <w:r>
              <w:rPr>
                <w:sz w:val="15"/>
              </w:rPr>
              <w:t>37 (6%)</w:t>
            </w:r>
          </w:p>
        </w:tc>
        <w:tc>
          <w:tcPr>
            <w:tcW w:type="dxa" w:w="1108"/>
          </w:tcPr>
          <w:p>
            <w:pPr>
              <w:spacing w:after="0"/>
            </w:pPr>
            <w:r/>
            <w:r>
              <w:rPr>
                <w:sz w:val="15"/>
              </w:rPr>
              <w:t>5 (1%)</w:t>
            </w:r>
          </w:p>
        </w:tc>
        <w:tc>
          <w:tcPr>
            <w:tcW w:type="dxa" w:w="1108"/>
          </w:tcPr>
          <w:p>
            <w:pPr>
              <w:spacing w:after="0"/>
            </w:pPr>
            <w:r/>
            <w:r>
              <w:rPr>
                <w:sz w:val="15"/>
              </w:rPr>
              <w:t>115 (19%)</w:t>
            </w:r>
          </w:p>
        </w:tc>
        <w:tc>
          <w:tcPr>
            <w:tcW w:type="dxa" w:w="1108"/>
          </w:tcPr>
          <w:p>
            <w:pPr>
              <w:spacing w:after="0"/>
            </w:pPr>
            <w:r/>
            <w:r>
              <w:rPr>
                <w:sz w:val="15"/>
              </w:rPr>
              <w:t>294 (49%)</w:t>
            </w:r>
          </w:p>
        </w:tc>
      </w:tr>
    </w:tbl>
    <w:p/>
    <w:p>
      <w:pPr>
        <w:pStyle w:val="Heading2"/>
      </w:pPr>
      <w:r>
        <w:rPr>
          <w:color w:val="303030"/>
        </w:rPr>
        <w:t>Facts the ledger makes explicit</w:t>
      </w:r>
    </w:p>
    <w:p>
      <w:pPr>
        <w:pStyle w:val="ListBullet"/>
      </w:pPr>
      <w:r>
        <w:t xml:space="preserve">The CORE arm (335) is </w:t>
      </w:r>
      <w:r>
        <w:rPr>
          <w:b/>
        </w:rPr>
        <w:t>not</w:t>
      </w:r>
      <w:r>
        <w:t xml:space="preserve"> the active core: it is 284 curated rules + 19 quote-verified non-curated rules + 32 reference-interval conventions; only 94 of the 364 active-core rules are in it.</w:t>
      </w:r>
    </w:p>
    <w:p>
      <w:pPr>
        <w:pStyle w:val="ListBullet"/>
      </w:pPr>
      <w:r>
        <w:t>Of the 364 active-core rules, 219 are still executable in 15.2.0 (145 retired under the 15.0.0 protocol).</w:t>
      </w:r>
    </w:p>
    <w:p>
      <w:pPr>
        <w:pStyle w:val="ListBullet"/>
      </w:pPr>
      <w:r>
        <w:t>Invariant tests reach the analyte of 104 of the 219 executable active-core rules; the rest are untouched by any executable property.</w:t>
      </w:r>
    </w:p>
    <w:p>
      <w:pPr>
        <w:pStyle w:val="ListBullet"/>
      </w:pPr>
      <w:r>
        <w:t>Static detectors flag 6 ledger rules on 15.2.0 (was 120 on 14.1.0).</w:t>
      </w:r>
    </w:p>
    <w:p>
      <w:pPr>
        <w:pStyle w:val="ListBullet"/>
      </w:pPr>
      <w:r>
        <w:t>Concordance verdicts exist for 116 ledger rules from the 200-rule sample and 100 from the active-core sample.</w:t>
      </w:r>
    </w:p>
    <w:p>
      <w:pPr>
        <w:pStyle w:val="Heading2"/>
      </w:pPr>
      <w:r>
        <w:rPr>
          <w:color w:val="303030"/>
        </w:rPr>
        <w:t>Open items at 15.2.0 (closed by registry 15.3.0, see below; the ledger itself is a 15.2.0 snapshot)</w:t>
      </w:r>
    </w:p>
    <w:p>
      <w:pPr>
        <w:pStyle w:val="ListBullet"/>
      </w:pPr>
      <w:r>
        <w:rPr>
          <w:rFonts w:ascii="Consolas" w:hAnsi="Consolas"/>
        </w:rPr>
        <w:t>acquired_hemophilia_a_reanchor_scre_v13_4</w:t>
      </w:r>
      <w:r>
        <w:t xml:space="preserve"> — discordant_open: Note 8: attribution: acquired haemophilia A cites the BSH rare coagulation disorders guideline, which excludes FVIII deficiency (covered by a separate BSH guideline)</w:t>
      </w:r>
    </w:p>
    <w:p>
      <w:pPr>
        <w:pStyle w:val="ListBullet"/>
      </w:pPr>
      <w:r>
        <w:rPr>
          <w:rFonts w:ascii="Consolas" w:hAnsi="Consolas"/>
        </w:rPr>
        <w:t>acute_kidney_injury_kdigo_2012_creatinine_absolute_cur13</w:t>
      </w:r>
      <w:r>
        <w:t xml:space="preserve"> — flagged_open: ; r2a: single ubiquitous analyte creatinine for clinical entity acute_kidney_injury</w:t>
      </w:r>
    </w:p>
    <w:p>
      <w:pPr>
        <w:pStyle w:val="ListBullet"/>
      </w:pPr>
      <w:r>
        <w:rPr>
          <w:rFonts w:ascii="Consolas" w:hAnsi="Consolas"/>
        </w:rPr>
        <w:t>hepatitis_a_igm_anti_hav_positive_cur13</w:t>
      </w:r>
      <w:r>
        <w:t xml:space="preserve"> — discordant_open: Note 8: attribution: hepatitis A IgM criterion cites the EASL hepatitis E guideline</w:t>
      </w:r>
    </w:p>
    <w:p>
      <w:pPr>
        <w:pStyle w:val="ListBullet"/>
      </w:pPr>
      <w:r>
        <w:rPr>
          <w:rFonts w:ascii="Consolas" w:hAnsi="Consolas"/>
        </w:rPr>
        <w:t>hyperosmolar_hyperglycemic_state_ada_easd_2024_hhs_ketoacidosis_exclusion_cur13</w:t>
      </w:r>
      <w:r>
        <w:t xml:space="preserve"> — flagged_open: ; src: source ada_easd_hyperglycemic_crises_2024 scope ['endocrine'] vs entity domain critical_care</w:t>
      </w:r>
    </w:p>
    <w:p>
      <w:pPr>
        <w:pStyle w:val="ListBullet"/>
      </w:pPr>
      <w:r>
        <w:rPr>
          <w:rFonts w:ascii="Consolas" w:hAnsi="Consolas"/>
        </w:rPr>
        <w:t>hyperprolactinemia_pituitary_2023_prolactin_elevated_cur13</w:t>
      </w:r>
      <w:r>
        <w:t xml:space="preserve"> — discordant_open: Note 8: threshold: Pituitary Society 2023 consensus (full text retrieved) defers to assay-specific reference ranges and does not state 25 ng/mL</w:t>
      </w:r>
    </w:p>
    <w:p>
      <w:pPr>
        <w:pStyle w:val="ListBullet"/>
      </w:pPr>
      <w:r>
        <w:rPr>
          <w:rFonts w:ascii="Consolas" w:hAnsi="Consolas"/>
        </w:rPr>
        <w:t>hypomagnesemia_severe_1_2_cur13</w:t>
      </w:r>
      <w:r>
        <w:t xml:space="preserve"> — discordant_open: Note 8: attribution: severe hypomagnesaemia &lt;1.2 mg/dL cites the KDIGO potassium/dyskalaemia conference report</w:t>
      </w:r>
    </w:p>
    <w:p>
      <w:pPr>
        <w:pStyle w:val="ListBullet"/>
      </w:pPr>
      <w:r>
        <w:rPr>
          <w:rFonts w:ascii="Consolas" w:hAnsi="Consolas"/>
        </w:rPr>
        <w:t>isoniazid_hepatotoxicity_dx_p131</w:t>
      </w:r>
      <w:r>
        <w:t xml:space="preserve"> — flagged_open: ; src: source ats_isoniazid_hepatotoxicity_2006 scope ['liver'] vs entity domain toxicology_tdm</w:t>
      </w:r>
    </w:p>
    <w:p>
      <w:pPr>
        <w:pStyle w:val="ListBullet"/>
      </w:pPr>
      <w:r>
        <w:rPr>
          <w:rFonts w:ascii="Consolas" w:hAnsi="Consolas"/>
        </w:rPr>
        <w:t>lactic_acidosis_lactate_4_acidemia_cur13</w:t>
      </w:r>
      <w:r>
        <w:t xml:space="preserve"> — flagged_open: ; src: source sepsis3_2016 scope ['critical_care', 'infectious'] vs entity domain diabetes_metabolic</w:t>
      </w:r>
    </w:p>
    <w:p>
      <w:pPr>
        <w:pStyle w:val="ListBullet"/>
      </w:pPr>
      <w:r>
        <w:rPr>
          <w:rFonts w:ascii="Consolas" w:hAnsi="Consolas"/>
        </w:rPr>
        <w:t>prediabetes_hba1c_pattern_screening_1_v1</w:t>
      </w:r>
      <w:r>
        <w:t xml:space="preserve"> — discordant_open: Note 15: boundary: source range 5.7–6.4 % inclusive with upper bound; rule '&gt; 5.7' excludes 5.7 and has no upper bound</w:t>
      </w:r>
    </w:p>
    <w:p>
      <w:pPr>
        <w:pStyle w:val="ListBullet"/>
      </w:pPr>
      <w:r>
        <w:rPr>
          <w:rFonts w:ascii="Consolas" w:hAnsi="Consolas"/>
        </w:rPr>
        <w:t>pseudohypoparathyroidism_hypocalcemia_high_pth_normal_renal_cur13</w:t>
      </w:r>
      <w:r>
        <w:t xml:space="preserve"> — discordant_open: Note 8: attribution: pseudohypoparathyroidism criteria cite the primary hyperparathyroidism workshop guideline (different disease)</w:t>
      </w:r>
    </w:p>
    <w:p>
      <w:pPr>
        <w:pStyle w:val="ListBullet"/>
      </w:pPr>
      <w:r>
        <w:rPr>
          <w:rFonts w:ascii="Consolas" w:hAnsi="Consolas"/>
        </w:rPr>
        <w:t>septic_shock_severe_lactic_acidosis_sepsis3_lactate_4_cur13</w:t>
      </w:r>
      <w:r>
        <w:t xml:space="preserve"> — discordant_open: Note 8: threshold: cited Sepsis-3 defines septic shock with lactate &gt;2 mmol/L; the &gt;4 mmol/L cut-off is not in the cited source (it derives from the SSC resuscitation bundle)</w:t>
      </w:r>
    </w:p>
    <w:p>
      <w:pPr>
        <w:pStyle w:val="ListBullet"/>
      </w:pPr>
      <w:r>
        <w:rPr>
          <w:rFonts w:ascii="Consolas" w:hAnsi="Consolas"/>
        </w:rPr>
        <w:t>urea_cycle_disorder_otc_deficiency_nh3_diagnostic_v1</w:t>
      </w:r>
      <w:r>
        <w:t xml:space="preserve"> — flagged_open: ; src: source acmg_act_2024 scope ['genetics'] vs entity domain critical_care</w:t>
      </w:r>
    </w:p>
    <w:p>
      <w:r>
        <w:t xml:space="preserve">Files: </w:t>
      </w:r>
      <w:r>
        <w:rPr>
          <w:rFonts w:ascii="Consolas" w:hAnsi="Consolas"/>
        </w:rPr>
        <w:t>LEDGER.json.gz</w:t>
      </w:r>
      <w:r>
        <w:t xml:space="preserve"> (records), </w:t>
      </w:r>
      <w:r>
        <w:rPr>
          <w:rFonts w:ascii="Consolas" w:hAnsi="Consolas"/>
        </w:rPr>
        <w:t>ledger_counts.json</w:t>
      </w:r>
      <w:r>
        <w:t xml:space="preserve">, </w:t>
      </w:r>
      <w:r>
        <w:rPr>
          <w:rFonts w:ascii="Consolas" w:hAnsi="Consolas"/>
        </w:rPr>
        <w:t>build_ledger.py</w:t>
      </w:r>
      <w:r>
        <w:t xml:space="preserve"> (reproducible definition).</w:t>
      </w:r>
    </w:p>
    <w:p>
      <w:pPr>
        <w:pStyle w:val="Heading2"/>
      </w:pPr>
      <w:r>
        <w:rPr>
          <w:color w:val="303030"/>
        </w:rPr>
        <w:t>Closure in registry 15.3.0 (protocol `eval/registry_patches/PROTOCOL_15_3_0.md`, frozen before the patch)</w:t>
      </w:r>
    </w:p>
    <w:p>
      <w:r>
        <w:t xml:space="preserve">D1, the six Note 8 attribution discordances: pseudohypoparathyroidism re-sourced to the 2018 international consensus (Mantovani et al., PMC6541219; quote: "The association of hypocalcaemia, hyperphosphataemia and elevated serum levels of PTH in the absence of vitamin D deficiency and when magnesium levels and renal function are normal"); hepatitis A IgM re-sourced to the CDC/CSTE 2019 case definition (quote: "Immunoglobulin M (IgM) antibody to hepatitis A virus (anti-HAV) positive"); severe hypomagnesaemia &lt; 1.2 mg/dL and prolactin &gt; 25 ng/mL moved to </w:t>
      </w:r>
      <w:r>
        <w:rPr>
          <w:rFonts w:ascii="Consolas" w:hAnsi="Consolas"/>
        </w:rPr>
        <w:t>reference_interval_convention</w:t>
      </w:r>
      <w:r>
        <w:t xml:space="preserve"> with the limitation recorded; septic shock from lactate &gt; 4 mmol/L alone and acquired haemophilia A from FVIII &lt; 40 % alone retired (</w:t>
      </w:r>
      <w:r>
        <w:rPr>
          <w:rFonts w:ascii="Consolas" w:hAnsi="Consolas"/>
        </w:rPr>
        <w:t>retired_v15_3_0_discordant_source</w:t>
      </w:r>
      <w:r>
        <w:t xml:space="preserve">) because no verifiable replacement source was retrieved and no source is cited from memory. D2: the prediabetes HbA1c rule received its 6.4 % upper bound; </w:t>
      </w:r>
      <w:r>
        <w:rPr>
          <w:rFonts w:ascii="Consolas" w:hAnsi="Consolas"/>
        </w:rPr>
        <w:t>PROTOCOL_15_0_0</w:t>
      </w:r>
      <w:r>
        <w:t xml:space="preserve"> R5 had specified it, </w:t>
      </w:r>
      <w:r>
        <w:rPr>
          <w:rFonts w:ascii="Consolas" w:hAnsi="Consolas"/>
        </w:rPr>
        <w:t>patch_15_0_0.py</w:t>
      </w:r>
      <w:r>
        <w:t xml:space="preserve"> wrote only the operator — an implementation gap found by the ledger and recorded in </w:t>
      </w:r>
      <w:r>
        <w:rPr>
          <w:rFonts w:ascii="Consolas" w:hAnsi="Consolas"/>
        </w:rPr>
        <w:t>review_15_3_0.json</w:t>
      </w:r>
      <w:r>
        <w:t xml:space="preserve">. D3: the five detector flags were inspected and left unchanged (the KDIGO absolute-creatinine surrogate kept deliberately in 15.0.0; four entity-domain-tag/source-scope mismatches that are not rule errors). Every ledger rule carries </w:t>
      </w:r>
      <w:r>
        <w:rPr>
          <w:rFonts w:ascii="Consolas" w:hAnsi="Consolas"/>
        </w:rPr>
        <w:t>provenance.ledger_15_3_0.status</w:t>
      </w:r>
      <w:r>
        <w:t xml:space="preserve"> (engine does not read it). Non-regression gate 15.2.0 → 15.3.0 (same harness, cohorts, seeds): eICU flat recall@3/@5/@10 and two-tier recall@1/@3/@5 identical pair-for-pair; grouped recall@1/@3/@5 −7/−3/−1 pairs of 2,432 (−0.3/−0.1/0.0 points; the retired septic-shock rule); mean AUROC 0.752 unchanged; all NHANES AUROCs identical; healthy false assertions 0/51. Executable rules 31,064.</w:t>
      </w:r>
    </w:p>
    <w:p>
      <w:pPr>
        <w:pStyle w:val="Heading1"/>
      </w:pPr>
      <w:r>
        <w:rPr>
          <w:color w:val="000000"/>
        </w:rPr>
        <w:t>Reproducibility map</w:t>
      </w:r>
    </w:p>
    <w:p>
      <w:r>
        <w:t xml:space="preserve">Every number in the main text and in this file is produced by a script in the public repository from a hash-frozen engine and registry (SHA-256 manifests </w:t>
      </w:r>
      <w:r>
        <w:rPr>
          <w:rFonts w:ascii="Consolas" w:hAnsi="Consolas"/>
        </w:rPr>
        <w:t>FREEZE_v15_20261025</w:t>
      </w:r>
      <w:r>
        <w:t>; Note 6). Internal report file names are omitted throughout; the table below is the single place that links each item to its generating script and input.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Item</w:t>
            </w:r>
          </w:p>
        </w:tc>
        <w:tc>
          <w:tcPr>
            <w:tcW w:type="dxa" w:w="2493"/>
          </w:tcPr>
          <w:p>
            <w:pPr>
              <w:spacing w:after="0"/>
            </w:pPr>
            <w:r>
              <w:rPr>
                <w:b/>
              </w:rPr>
            </w:r>
            <w:r>
              <w:rPr>
                <w:b/>
                <w:sz w:val="15"/>
              </w:rPr>
              <w:t>Script (repository path)</w:t>
            </w:r>
          </w:p>
        </w:tc>
        <w:tc>
          <w:tcPr>
            <w:tcW w:type="dxa" w:w="2493"/>
          </w:tcPr>
          <w:p>
            <w:pPr>
              <w:spacing w:after="0"/>
            </w:pPr>
            <w:r>
              <w:rPr>
                <w:b/>
              </w:rPr>
            </w:r>
            <w:r>
              <w:rPr>
                <w:b/>
                <w:sz w:val="15"/>
              </w:rPr>
              <w:t>Input data</w:t>
            </w:r>
          </w:p>
        </w:tc>
        <w:tc>
          <w:tcPr>
            <w:tcW w:type="dxa" w:w="2493"/>
          </w:tcPr>
          <w:p>
            <w:pPr>
              <w:spacing w:after="0"/>
            </w:pPr>
            <w:r>
              <w:rPr>
                <w:b/>
              </w:rPr>
            </w:r>
            <w:r>
              <w:rPr>
                <w:b/>
                <w:sz w:val="15"/>
              </w:rPr>
              <w:t>Engine / registry</w:t>
            </w:r>
          </w:p>
        </w:tc>
      </w:tr>
      <w:tr>
        <w:tc>
          <w:tcPr>
            <w:tcW w:type="dxa" w:w="2493"/>
          </w:tcPr>
          <w:p>
            <w:pPr>
              <w:spacing w:after="0"/>
            </w:pPr>
            <w:r/>
            <w:r>
              <w:rPr>
                <w:sz w:val="15"/>
              </w:rPr>
              <w:t>Table 1, Fig. 2, Fig. S2, Table S4, Table S6–S6c, Table S8, Table S11</w:t>
            </w:r>
          </w:p>
        </w:tc>
        <w:tc>
          <w:tcPr>
            <w:tcW w:type="dxa" w:w="2493"/>
          </w:tcPr>
          <w:p>
            <w:pPr>
              <w:spacing w:after="0"/>
            </w:pPr>
            <w:r/>
            <w:r>
              <w:rPr>
                <w:rFonts w:ascii="Consolas" w:hAnsi="Consolas"/>
                <w:sz w:val="15"/>
              </w:rPr>
              <w:t>eval/realdata/eval_eicu.py</w:t>
            </w:r>
            <w:r>
              <w:rPr>
                <w:sz w:val="15"/>
              </w:rPr>
              <w:t xml:space="preserve"> (</w:t>
            </w:r>
            <w:r>
              <w:rPr>
                <w:rFonts w:ascii="Consolas" w:hAnsi="Consolas"/>
                <w:sz w:val="15"/>
              </w:rPr>
              <w:t>--encounter icu</w:t>
            </w:r>
            <w:r>
              <w:rPr>
                <w:sz w:val="15"/>
              </w:rPr>
              <w:t xml:space="preserve">), </w:t>
            </w:r>
            <w:r>
              <w:rPr>
                <w:rFonts w:ascii="Consolas" w:hAnsi="Consolas"/>
                <w:sz w:val="15"/>
              </w:rPr>
              <w:t>eval/realdata/panel_supported_metric.py</w:t>
            </w:r>
            <w:r>
              <w:rPr>
                <w:sz w:val="15"/>
              </w:rPr>
              <w:t xml:space="preserve">, </w:t>
            </w:r>
            <w:r>
              <w:rPr>
                <w:rFonts w:ascii="Consolas" w:hAnsi="Consolas"/>
                <w:sz w:val="15"/>
              </w:rPr>
              <w:t>eval/subgroup_fairness.py</w:t>
            </w:r>
            <w:r>
              <w:rPr>
                <w:sz w:val="15"/>
              </w:rPr>
              <w:t xml:space="preserve">, </w:t>
            </w:r>
            <w:r>
              <w:rPr>
                <w:rFonts w:ascii="Consolas" w:hAnsi="Consolas"/>
                <w:sz w:val="15"/>
              </w:rPr>
              <w:t>eval/reviewer_r2_metrics.py</w:t>
            </w:r>
            <w:r>
              <w:rPr>
                <w:sz w:val="15"/>
              </w:rPr>
              <w:t xml:space="preserve">, </w:t>
            </w:r>
            <w:r>
              <w:rPr>
                <w:rFonts w:ascii="Consolas" w:hAnsi="Consolas"/>
                <w:sz w:val="15"/>
              </w:rPr>
              <w:t>eval/calibration_dca.py</w:t>
            </w:r>
          </w:p>
        </w:tc>
        <w:tc>
          <w:tcPr>
            <w:tcW w:type="dxa" w:w="2493"/>
          </w:tcPr>
          <w:p>
            <w:pPr>
              <w:spacing w:after="0"/>
            </w:pPr>
            <w:r/>
            <w:r>
              <w:rPr>
                <w:sz w:val="15"/>
              </w:rPr>
              <w:t>eICU-CRD demo v2.0.1 (2,314 ICU stays)</w:t>
            </w:r>
          </w:p>
        </w:tc>
        <w:tc>
          <w:tcPr>
            <w:tcW w:type="dxa" w:w="2493"/>
          </w:tcPr>
          <w:p>
            <w:pPr>
              <w:spacing w:after="0"/>
            </w:pPr>
            <w:r/>
            <w:r>
              <w:rPr>
                <w:sz w:val="15"/>
              </w:rPr>
              <w:t>v7 / 14.1.0</w:t>
            </w:r>
          </w:p>
        </w:tc>
      </w:tr>
      <w:tr>
        <w:tc>
          <w:tcPr>
            <w:tcW w:type="dxa" w:w="2493"/>
          </w:tcPr>
          <w:p>
            <w:pPr>
              <w:spacing w:after="0"/>
            </w:pPr>
            <w:r/>
            <w:r>
              <w:rPr>
                <w:sz w:val="15"/>
              </w:rPr>
              <w:t>Table 2, Fig. 6, Note 2, Fig. S6</w:t>
            </w:r>
          </w:p>
        </w:tc>
        <w:tc>
          <w:tcPr>
            <w:tcW w:type="dxa" w:w="2493"/>
          </w:tcPr>
          <w:p>
            <w:pPr>
              <w:spacing w:after="0"/>
            </w:pPr>
            <w:r/>
            <w:r>
              <w:rPr>
                <w:rFonts w:ascii="Consolas" w:hAnsi="Consolas"/>
                <w:sz w:val="15"/>
              </w:rPr>
              <w:t>eval/baselines/llm_zero_shot.py</w:t>
            </w:r>
            <w:r>
              <w:rPr>
                <w:sz w:val="15"/>
              </w:rPr>
              <w:t xml:space="preserve">, </w:t>
            </w:r>
            <w:r>
              <w:rPr>
                <w:rFonts w:ascii="Consolas" w:hAnsi="Consolas"/>
                <w:sz w:val="15"/>
              </w:rPr>
              <w:t>b8_score.py</w:t>
            </w:r>
            <w:r>
              <w:rPr>
                <w:sz w:val="15"/>
              </w:rPr>
              <w:t xml:space="preserve">, </w:t>
            </w:r>
            <w:r>
              <w:rPr>
                <w:rFonts w:ascii="Consolas" w:hAnsi="Consolas"/>
                <w:sz w:val="15"/>
              </w:rPr>
              <w:t>b8_v7_cluster.py</w:t>
            </w:r>
            <w:r>
              <w:rPr>
                <w:sz w:val="15"/>
              </w:rPr>
              <w:t xml:space="preserve">, </w:t>
            </w:r>
            <w:r>
              <w:rPr>
                <w:rFonts w:ascii="Consolas" w:hAnsi="Consolas"/>
                <w:sz w:val="15"/>
              </w:rPr>
              <w:t>b8_rank_metrics.py</w:t>
            </w:r>
            <w:r>
              <w:rPr>
                <w:sz w:val="15"/>
              </w:rPr>
              <w:t xml:space="preserve">, </w:t>
            </w:r>
            <w:r>
              <w:rPr>
                <w:rFonts w:ascii="Consolas" w:hAnsi="Consolas"/>
                <w:sz w:val="15"/>
              </w:rPr>
              <w:t>b8_prompt_sensitivity.py</w:t>
            </w:r>
          </w:p>
        </w:tc>
        <w:tc>
          <w:tcPr>
            <w:tcW w:type="dxa" w:w="2493"/>
          </w:tcPr>
          <w:p>
            <w:pPr>
              <w:spacing w:after="0"/>
            </w:pPr>
            <w:r/>
            <w:r>
              <w:rPr>
                <w:sz w:val="15"/>
              </w:rPr>
              <w:t>400 blinded eICU panels (Data 1)</w:t>
            </w:r>
          </w:p>
        </w:tc>
        <w:tc>
          <w:tcPr>
            <w:tcW w:type="dxa" w:w="2493"/>
          </w:tcPr>
          <w:p>
            <w:pPr>
              <w:spacing w:after="0"/>
            </w:pPr>
            <w:r/>
            <w:r>
              <w:rPr>
                <w:sz w:val="15"/>
              </w:rPr>
              <w:t>v7 / 14.1.0 (historical: v5.1)</w:t>
            </w:r>
          </w:p>
        </w:tc>
      </w:tr>
      <w:tr>
        <w:tc>
          <w:tcPr>
            <w:tcW w:type="dxa" w:w="2493"/>
          </w:tcPr>
          <w:p>
            <w:pPr>
              <w:spacing w:after="0"/>
            </w:pPr>
            <w:r/>
            <w:r>
              <w:rPr>
                <w:sz w:val="15"/>
              </w:rPr>
              <w:t>Table 3</w:t>
            </w:r>
          </w:p>
        </w:tc>
        <w:tc>
          <w:tcPr>
            <w:tcW w:type="dxa" w:w="2493"/>
          </w:tcPr>
          <w:p>
            <w:pPr>
              <w:spacing w:after="0"/>
            </w:pPr>
            <w:r/>
            <w:r>
              <w:rPr>
                <w:rFonts w:ascii="Consolas" w:hAnsi="Consolas"/>
                <w:sz w:val="15"/>
              </w:rPr>
              <w:t>eval/ablation/run_ablation.py</w:t>
            </w:r>
          </w:p>
        </w:tc>
        <w:tc>
          <w:tcPr>
            <w:tcW w:type="dxa" w:w="2493"/>
          </w:tcPr>
          <w:p>
            <w:pPr>
              <w:spacing w:after="0"/>
            </w:pPr>
            <w:r/>
            <w:r>
              <w:rPr>
                <w:sz w:val="15"/>
              </w:rPr>
              <w:t>eICU-CRD demo</w:t>
            </w:r>
          </w:p>
        </w:tc>
        <w:tc>
          <w:tcPr>
            <w:tcW w:type="dxa" w:w="2493"/>
          </w:tcPr>
          <w:p>
            <w:pPr>
              <w:spacing w:after="0"/>
            </w:pPr>
            <w:r/>
            <w:r>
              <w:rPr>
                <w:sz w:val="15"/>
              </w:rPr>
              <w:t>v7 / 14.1.0</w:t>
            </w:r>
          </w:p>
        </w:tc>
      </w:tr>
      <w:tr>
        <w:tc>
          <w:tcPr>
            <w:tcW w:type="dxa" w:w="2493"/>
          </w:tcPr>
          <w:p>
            <w:pPr>
              <w:spacing w:after="0"/>
            </w:pPr>
            <w:r/>
            <w:r>
              <w:rPr>
                <w:sz w:val="15"/>
              </w:rPr>
              <w:t xml:space="preserve">Table 5, Fig. 4, Fig. 3 (ML baseline: </w:t>
            </w:r>
            <w:r>
              <w:rPr>
                <w:rFonts w:ascii="Consolas" w:hAnsi="Consolas"/>
                <w:sz w:val="15"/>
              </w:rPr>
              <w:t>eval/baselines/ml_baseline_eicu.py</w:t>
            </w:r>
            <w:r>
              <w:rPr>
                <w:sz w:val="15"/>
              </w:rPr>
              <w:t>), Table S7, Table S13, Note 10</w:t>
            </w:r>
          </w:p>
        </w:tc>
        <w:tc>
          <w:tcPr>
            <w:tcW w:type="dxa" w:w="2493"/>
          </w:tcPr>
          <w:p>
            <w:pPr>
              <w:spacing w:after="0"/>
            </w:pPr>
            <w:r/>
            <w:r>
              <w:rPr>
                <w:rFonts w:ascii="Consolas" w:hAnsi="Consolas"/>
                <w:sz w:val="15"/>
              </w:rPr>
              <w:t>eval/realdata/eval_nhanes.py</w:t>
            </w:r>
            <w:r>
              <w:rPr>
                <w:sz w:val="15"/>
              </w:rPr>
              <w:t xml:space="preserve">, </w:t>
            </w:r>
            <w:r>
              <w:rPr>
                <w:rFonts w:ascii="Consolas" w:hAnsi="Consolas"/>
                <w:sz w:val="15"/>
              </w:rPr>
              <w:t>eval_uci_thyroid.py</w:t>
            </w:r>
            <w:r>
              <w:rPr>
                <w:sz w:val="15"/>
              </w:rPr>
              <w:t xml:space="preserve">, </w:t>
            </w:r>
            <w:r>
              <w:rPr>
                <w:rFonts w:ascii="Consolas" w:hAnsi="Consolas"/>
                <w:sz w:val="15"/>
              </w:rPr>
              <w:t>eval_uci_hcv.py</w:t>
            </w:r>
            <w:r>
              <w:rPr>
                <w:sz w:val="15"/>
              </w:rPr>
              <w:t xml:space="preserve">, </w:t>
            </w:r>
            <w:r>
              <w:rPr>
                <w:rFonts w:ascii="Consolas" w:hAnsi="Consolas"/>
                <w:sz w:val="15"/>
              </w:rPr>
              <w:t>eval_ilpd.py</w:t>
            </w:r>
            <w:r>
              <w:rPr>
                <w:sz w:val="15"/>
              </w:rPr>
              <w:t xml:space="preserve">, </w:t>
            </w:r>
            <w:r>
              <w:rPr>
                <w:rFonts w:ascii="Consolas" w:hAnsi="Consolas"/>
                <w:sz w:val="15"/>
              </w:rPr>
              <w:t>eval_pmc_cases.py</w:t>
            </w:r>
            <w:r>
              <w:rPr>
                <w:sz w:val="15"/>
              </w:rPr>
              <w:t xml:space="preserve">, </w:t>
            </w:r>
            <w:r>
              <w:rPr>
                <w:rFonts w:ascii="Consolas" w:hAnsi="Consolas"/>
                <w:sz w:val="15"/>
              </w:rPr>
              <w:t>eval/mimic/run_retrospective.py</w:t>
            </w:r>
          </w:p>
        </w:tc>
        <w:tc>
          <w:tcPr>
            <w:tcW w:type="dxa" w:w="2493"/>
          </w:tcPr>
          <w:p>
            <w:pPr>
              <w:spacing w:after="0"/>
            </w:pPr>
            <w:r/>
            <w:r>
              <w:rPr>
                <w:sz w:val="15"/>
              </w:rPr>
              <w:t>NHANES H/I/J, UCI thyroid0387, UCI HCV, ILPD, MIMIC-IV demo, PMC case reports</w:t>
            </w:r>
          </w:p>
        </w:tc>
        <w:tc>
          <w:tcPr>
            <w:tcW w:type="dxa" w:w="2493"/>
          </w:tcPr>
          <w:p>
            <w:pPr>
              <w:spacing w:after="0"/>
            </w:pPr>
            <w:r/>
            <w:r>
              <w:rPr>
                <w:sz w:val="15"/>
              </w:rPr>
              <w:t>v7 / 14.1.0</w:t>
            </w:r>
          </w:p>
        </w:tc>
      </w:tr>
      <w:tr>
        <w:tc>
          <w:tcPr>
            <w:tcW w:type="dxa" w:w="2493"/>
          </w:tcPr>
          <w:p>
            <w:pPr>
              <w:spacing w:after="0"/>
            </w:pPr>
            <w:r/>
            <w:r>
              <w:rPr>
                <w:sz w:val="15"/>
              </w:rPr>
              <w:t>Fig. 5, Table S16</w:t>
            </w:r>
          </w:p>
        </w:tc>
        <w:tc>
          <w:tcPr>
            <w:tcW w:type="dxa" w:w="2493"/>
          </w:tcPr>
          <w:p>
            <w:pPr>
              <w:spacing w:after="0"/>
            </w:pPr>
            <w:r/>
            <w:r>
              <w:rPr>
                <w:rFonts w:ascii="Consolas" w:hAnsi="Consolas"/>
                <w:sz w:val="15"/>
              </w:rPr>
              <w:t>eval/realdata/eval_sepsis2019.py</w:t>
            </w:r>
            <w:r>
              <w:rPr>
                <w:sz w:val="15"/>
              </w:rPr>
              <w:t xml:space="preserve">, </w:t>
            </w:r>
            <w:r>
              <w:rPr>
                <w:rFonts w:ascii="Consolas" w:hAnsi="Consolas"/>
                <w:sz w:val="15"/>
              </w:rPr>
              <w:t>eval_sepsis2019_concurrent.py</w:t>
            </w:r>
            <w:r>
              <w:rPr>
                <w:sz w:val="15"/>
              </w:rPr>
              <w:t xml:space="preserve">, </w:t>
            </w:r>
            <w:r>
              <w:rPr>
                <w:rFonts w:ascii="Consolas" w:hAnsi="Consolas"/>
                <w:sz w:val="15"/>
              </w:rPr>
              <w:t>eval/sepsis_ml/sepsis_risk_module.py</w:t>
            </w:r>
          </w:p>
        </w:tc>
        <w:tc>
          <w:tcPr>
            <w:tcW w:type="dxa" w:w="2493"/>
          </w:tcPr>
          <w:p>
            <w:pPr>
              <w:spacing w:after="0"/>
            </w:pPr>
            <w:r/>
            <w:r>
              <w:rPr>
                <w:sz w:val="15"/>
              </w:rPr>
              <w:t>PhysioNet Sepsis-2019 sets A, B, B2</w:t>
            </w:r>
          </w:p>
        </w:tc>
        <w:tc>
          <w:tcPr>
            <w:tcW w:type="dxa" w:w="2493"/>
          </w:tcPr>
          <w:p>
            <w:pPr>
              <w:spacing w:after="0"/>
            </w:pPr>
            <w:r/>
            <w:r>
              <w:rPr>
                <w:sz w:val="15"/>
              </w:rPr>
              <w:t>v7 / 14.1.0</w:t>
            </w:r>
          </w:p>
        </w:tc>
      </w:tr>
      <w:tr>
        <w:tc>
          <w:tcPr>
            <w:tcW w:type="dxa" w:w="2493"/>
          </w:tcPr>
          <w:p>
            <w:pPr>
              <w:spacing w:after="0"/>
            </w:pPr>
            <w:r/>
            <w:r>
              <w:rPr>
                <w:sz w:val="15"/>
              </w:rPr>
              <w:t>Section 3.1, Note 4</w:t>
            </w:r>
          </w:p>
        </w:tc>
        <w:tc>
          <w:tcPr>
            <w:tcW w:type="dxa" w:w="2493"/>
          </w:tcPr>
          <w:p>
            <w:pPr>
              <w:spacing w:after="0"/>
            </w:pPr>
            <w:r/>
            <w:r>
              <w:rPr>
                <w:rFonts w:ascii="Consolas" w:hAnsi="Consolas"/>
                <w:sz w:val="15"/>
              </w:rPr>
              <w:t>tests/test_properties.py</w:t>
            </w:r>
            <w:r>
              <w:rPr>
                <w:sz w:val="15"/>
              </w:rPr>
              <w:t xml:space="preserve">, </w:t>
            </w:r>
            <w:r>
              <w:rPr>
                <w:rFonts w:ascii="Consolas" w:hAnsi="Consolas"/>
                <w:sz w:val="15"/>
              </w:rPr>
              <w:t>tests/test_bayes_properties.py</w:t>
            </w:r>
            <w:r>
              <w:rPr>
                <w:sz w:val="15"/>
              </w:rPr>
              <w:t xml:space="preserve">, </w:t>
            </w:r>
            <w:r>
              <w:rPr>
                <w:rFonts w:ascii="Consolas" w:hAnsi="Consolas"/>
                <w:sz w:val="15"/>
              </w:rPr>
              <w:t>tests/hard_battery.py</w:t>
            </w:r>
            <w:r>
              <w:rPr>
                <w:sz w:val="15"/>
              </w:rPr>
              <w:t xml:space="preserve">, </w:t>
            </w:r>
            <w:r>
              <w:rPr>
                <w:rFonts w:ascii="Consolas" w:hAnsi="Consolas"/>
                <w:sz w:val="15"/>
              </w:rPr>
              <w:t>hard_battery2.py</w:t>
            </w:r>
            <w:r>
              <w:rPr>
                <w:sz w:val="15"/>
              </w:rPr>
              <w:t xml:space="preserve">, </w:t>
            </w:r>
            <w:r>
              <w:rPr>
                <w:rFonts w:ascii="Consolas" w:hAnsi="Consolas"/>
                <w:sz w:val="15"/>
              </w:rPr>
              <w:t>hard_battery3.py</w:t>
            </w:r>
            <w:r>
              <w:rPr>
                <w:sz w:val="15"/>
              </w:rPr>
              <w:t xml:space="preserve">, </w:t>
            </w:r>
            <w:r>
              <w:rPr>
                <w:rFonts w:ascii="Consolas" w:hAnsi="Consolas"/>
                <w:sz w:val="15"/>
              </w:rPr>
              <w:t>tests/healthy_sweep.py</w:t>
            </w:r>
            <w:r>
              <w:rPr>
                <w:sz w:val="15"/>
              </w:rPr>
              <w:t xml:space="preserve">, </w:t>
            </w:r>
            <w:r>
              <w:rPr>
                <w:rFonts w:ascii="Consolas" w:hAnsi="Consolas"/>
                <w:sz w:val="15"/>
              </w:rPr>
              <w:t>tests/perturbation_fuzz.py</w:t>
            </w:r>
          </w:p>
        </w:tc>
        <w:tc>
          <w:tcPr>
            <w:tcW w:type="dxa" w:w="2493"/>
          </w:tcPr>
          <w:p>
            <w:pPr>
              <w:spacing w:after="0"/>
            </w:pPr>
            <w:r/>
            <w:r>
              <w:rPr>
                <w:sz w:val="15"/>
              </w:rPr>
              <w:t>synthetic panels (seeded)</w:t>
            </w:r>
          </w:p>
        </w:tc>
        <w:tc>
          <w:tcPr>
            <w:tcW w:type="dxa" w:w="2493"/>
          </w:tcPr>
          <w:p>
            <w:pPr>
              <w:spacing w:after="0"/>
            </w:pPr>
            <w:r/>
            <w:r>
              <w:rPr>
                <w:sz w:val="15"/>
              </w:rPr>
              <w:t>v7, v8, v8.1</w:t>
            </w:r>
          </w:p>
        </w:tc>
      </w:tr>
      <w:tr>
        <w:tc>
          <w:tcPr>
            <w:tcW w:type="dxa" w:w="2493"/>
          </w:tcPr>
          <w:p>
            <w:pPr>
              <w:spacing w:after="0"/>
            </w:pPr>
            <w:r/>
            <w:r>
              <w:rPr>
                <w:sz w:val="15"/>
              </w:rPr>
              <w:t>Section 3.7, Table 6, Note 13</w:t>
            </w:r>
          </w:p>
        </w:tc>
        <w:tc>
          <w:tcPr>
            <w:tcW w:type="dxa" w:w="2493"/>
          </w:tcPr>
          <w:p>
            <w:pPr>
              <w:spacing w:after="0"/>
            </w:pPr>
            <w:r/>
            <w:r>
              <w:rPr>
                <w:rFonts w:ascii="Consolas" w:hAnsi="Consolas"/>
                <w:sz w:val="15"/>
              </w:rPr>
              <w:t>eval/blackbox/make_property_panels.py</w:t>
            </w:r>
            <w:r>
              <w:rPr>
                <w:sz w:val="15"/>
              </w:rPr>
              <w:t xml:space="preserve">, </w:t>
            </w:r>
            <w:r>
              <w:rPr>
                <w:rFonts w:ascii="Consolas" w:hAnsi="Consolas"/>
                <w:sz w:val="15"/>
              </w:rPr>
              <w:t>eval/blackbox/score_property_panels.py</w:t>
            </w:r>
            <w:r>
              <w:rPr>
                <w:sz w:val="15"/>
              </w:rPr>
              <w:t xml:space="preserve">; package </w:t>
            </w:r>
            <w:r>
              <w:rPr>
                <w:rFonts w:ascii="Consolas" w:hAnsi="Consolas"/>
                <w:sz w:val="15"/>
              </w:rPr>
              <w:t>eval/labpanel_check/score.py</w:t>
            </w:r>
            <w:r>
              <w:rPr>
                <w:sz w:val="15"/>
              </w:rPr>
              <w:t xml:space="preserve"> (</w:t>
            </w:r>
            <w:r>
              <w:rPr>
                <w:rFonts w:ascii="Consolas" w:hAnsi="Consolas"/>
                <w:sz w:val="15"/>
              </w:rPr>
              <w:t>build_package.py</w:t>
            </w:r>
            <w:r>
              <w:rPr>
                <w:sz w:val="15"/>
              </w:rPr>
              <w:t xml:space="preserve">); healthy-adult row: </w:t>
            </w:r>
            <w:r>
              <w:rPr>
                <w:rFonts w:ascii="Consolas" w:hAnsi="Consolas"/>
                <w:sz w:val="15"/>
              </w:rPr>
              <w:t>eval/baselines/b5_nhanes_blind.py</w:t>
            </w:r>
          </w:p>
        </w:tc>
        <w:tc>
          <w:tcPr>
            <w:tcW w:type="dxa" w:w="2493"/>
          </w:tcPr>
          <w:p>
            <w:pPr>
              <w:spacing w:after="0"/>
            </w:pPr>
            <w:r/>
            <w:r>
              <w:rPr>
                <w:sz w:val="15"/>
              </w:rPr>
              <w:t>40/40/60/40 perturbed eICU panels from the 400 blinded stays; NHANES 2017–18</w:t>
            </w:r>
          </w:p>
        </w:tc>
        <w:tc>
          <w:tcPr>
            <w:tcW w:type="dxa" w:w="2493"/>
          </w:tcPr>
          <w:p>
            <w:pPr>
              <w:spacing w:after="0"/>
            </w:pPr>
            <w:r/>
            <w:r>
              <w:rPr>
                <w:sz w:val="15"/>
              </w:rPr>
              <w:t>v8.1 (first run) and v8.2; LLM as Note 2</w:t>
            </w:r>
          </w:p>
        </w:tc>
      </w:tr>
      <w:tr>
        <w:tc>
          <w:tcPr>
            <w:tcW w:type="dxa" w:w="2493"/>
          </w:tcPr>
          <w:p>
            <w:pPr>
              <w:spacing w:after="0"/>
            </w:pPr>
            <w:r/>
            <w:r>
              <w:rPr>
                <w:sz w:val="15"/>
              </w:rPr>
              <w:t>Section 3.8, Table 7, Note 14</w:t>
            </w:r>
          </w:p>
        </w:tc>
        <w:tc>
          <w:tcPr>
            <w:tcW w:type="dxa" w:w="2493"/>
          </w:tcPr>
          <w:p>
            <w:pPr>
              <w:spacing w:after="0"/>
            </w:pPr>
            <w:r/>
            <w:r>
              <w:rPr>
                <w:rFonts w:ascii="Consolas" w:hAnsi="Consolas"/>
                <w:sz w:val="15"/>
              </w:rPr>
              <w:t>eval/verifier/verify_llm_output.py</w:t>
            </w:r>
            <w:r>
              <w:rPr>
                <w:sz w:val="15"/>
              </w:rPr>
              <w:t xml:space="preserve">, </w:t>
            </w:r>
            <w:r>
              <w:rPr>
                <w:rFonts w:ascii="Consolas" w:hAnsi="Consolas"/>
                <w:sz w:val="15"/>
              </w:rPr>
              <w:t>eval/consensus/verified_consensus.py</w:t>
            </w:r>
            <w:r>
              <w:rPr>
                <w:sz w:val="15"/>
              </w:rPr>
              <w:t xml:space="preserve"> (protocols </w:t>
            </w:r>
            <w:r>
              <w:rPr>
                <w:rFonts w:ascii="Consolas" w:hAnsi="Consolas"/>
                <w:sz w:val="15"/>
              </w:rPr>
              <w:t>PROTOCOL.md</w:t>
            </w:r>
            <w:r>
              <w:rPr>
                <w:sz w:val="15"/>
              </w:rPr>
              <w:t xml:space="preserve"> in each folder)</w:t>
            </w:r>
          </w:p>
        </w:tc>
        <w:tc>
          <w:tcPr>
            <w:tcW w:type="dxa" w:w="2493"/>
          </w:tcPr>
          <w:p>
            <w:pPr>
              <w:spacing w:after="0"/>
            </w:pPr>
            <w:r/>
            <w:r>
              <w:rPr>
                <w:sz w:val="15"/>
              </w:rPr>
              <w:t>the 400 blind LLM readings and engine v7 outputs of Table 5</w:t>
            </w:r>
          </w:p>
        </w:tc>
        <w:tc>
          <w:tcPr>
            <w:tcW w:type="dxa" w:w="2493"/>
          </w:tcPr>
          <w:p>
            <w:pPr>
              <w:spacing w:after="0"/>
            </w:pPr>
            <w:r/>
            <w:r>
              <w:rPr>
                <w:sz w:val="15"/>
              </w:rPr>
              <w:t>v7; no new LLM call</w:t>
            </w:r>
          </w:p>
        </w:tc>
      </w:tr>
      <w:tr>
        <w:tc>
          <w:tcPr>
            <w:tcW w:type="dxa" w:w="2493"/>
          </w:tcPr>
          <w:p>
            <w:pPr>
              <w:spacing w:after="0"/>
            </w:pPr>
            <w:r/>
            <w:r>
              <w:rPr>
                <w:sz w:val="15"/>
              </w:rPr>
              <w:t>Section 3.2, Fig. S1, Note 8, Table S10</w:t>
            </w:r>
          </w:p>
        </w:tc>
        <w:tc>
          <w:tcPr>
            <w:tcW w:type="dxa" w:w="2493"/>
          </w:tcPr>
          <w:p>
            <w:pPr>
              <w:spacing w:after="0"/>
            </w:pPr>
            <w:r/>
            <w:r>
              <w:rPr>
                <w:rFonts w:ascii="Consolas" w:hAnsi="Consolas"/>
                <w:sz w:val="15"/>
              </w:rPr>
              <w:t>eval/source_audit/PROTOCOL.md</w:t>
            </w:r>
            <w:r>
              <w:rPr>
                <w:sz w:val="15"/>
              </w:rPr>
              <w:t xml:space="preserve"> with the frozen sample </w:t>
            </w:r>
            <w:r>
              <w:rPr>
                <w:rFonts w:ascii="Consolas" w:hAnsi="Consolas"/>
                <w:sz w:val="15"/>
              </w:rPr>
              <w:t>eval/source_audit/sample_200.csv</w:t>
            </w:r>
            <w:r>
              <w:rPr>
                <w:sz w:val="15"/>
              </w:rPr>
              <w:t xml:space="preserve"> (seed 20261026), </w:t>
            </w:r>
            <w:r>
              <w:rPr>
                <w:rFonts w:ascii="Consolas" w:hAnsi="Consolas"/>
                <w:sz w:val="15"/>
              </w:rPr>
              <w:t>eval/registry_source_verify.py</w:t>
            </w:r>
          </w:p>
        </w:tc>
        <w:tc>
          <w:tcPr>
            <w:tcW w:type="dxa" w:w="2493"/>
          </w:tcPr>
          <w:p>
            <w:pPr>
              <w:spacing w:after="0"/>
            </w:pPr>
            <w:r/>
            <w:r>
              <w:rPr>
                <w:sz w:val="15"/>
              </w:rPr>
              <w:t>registry 14.1.0 (seed 20261026)</w:t>
            </w:r>
          </w:p>
        </w:tc>
        <w:tc>
          <w:tcPr>
            <w:tcW w:type="dxa" w:w="2493"/>
          </w:tcPr>
          <w:p>
            <w:pPr>
              <w:spacing w:after="0"/>
            </w:pPr>
            <w:r/>
            <w:r>
              <w:rPr>
                <w:sz w:val="15"/>
              </w:rPr>
              <w:t>14.1.0</w:t>
            </w:r>
          </w:p>
        </w:tc>
      </w:tr>
      <w:tr>
        <w:tc>
          <w:tcPr>
            <w:tcW w:type="dxa" w:w="2493"/>
          </w:tcPr>
          <w:p>
            <w:pPr>
              <w:spacing w:after="0"/>
            </w:pPr>
            <w:r/>
            <w:r>
              <w:rPr>
                <w:sz w:val="15"/>
              </w:rPr>
              <w:t>Section 3.3, Note 15</w:t>
            </w:r>
          </w:p>
        </w:tc>
        <w:tc>
          <w:tcPr>
            <w:tcW w:type="dxa" w:w="2493"/>
          </w:tcPr>
          <w:p>
            <w:pPr>
              <w:spacing w:after="0"/>
            </w:pPr>
            <w:r/>
            <w:r>
              <w:rPr>
                <w:rFonts w:ascii="Consolas" w:hAnsi="Consolas"/>
                <w:sz w:val="15"/>
              </w:rPr>
              <w:t>eval/provenance/PROTOCOL.md</w:t>
            </w:r>
            <w:r>
              <w:rPr>
                <w:sz w:val="15"/>
              </w:rPr>
              <w:t xml:space="preserve">, </w:t>
            </w:r>
            <w:r>
              <w:rPr>
                <w:rFonts w:ascii="Consolas" w:hAnsi="Consolas"/>
                <w:sz w:val="15"/>
              </w:rPr>
              <w:t>eval/provenance/activity_log.py</w:t>
            </w:r>
            <w:r>
              <w:rPr>
                <w:sz w:val="15"/>
              </w:rPr>
              <w:t xml:space="preserve">, </w:t>
            </w:r>
            <w:r>
              <w:rPr>
                <w:rFonts w:ascii="Consolas" w:hAnsi="Consolas"/>
                <w:sz w:val="15"/>
              </w:rPr>
              <w:t>core_analysis.py</w:t>
            </w:r>
            <w:r>
              <w:rPr>
                <w:sz w:val="15"/>
              </w:rPr>
              <w:t xml:space="preserve">, </w:t>
            </w:r>
            <w:r>
              <w:rPr>
                <w:rFonts w:ascii="Consolas" w:hAnsi="Consolas"/>
                <w:sz w:val="15"/>
              </w:rPr>
              <w:t>resource_core.py</w:t>
            </w:r>
            <w:r>
              <w:rPr>
                <w:sz w:val="15"/>
              </w:rPr>
              <w:t xml:space="preserve">; frozen sample </w:t>
            </w:r>
            <w:r>
              <w:rPr>
                <w:rFonts w:ascii="Consolas" w:hAnsi="Consolas"/>
                <w:sz w:val="15"/>
              </w:rPr>
              <w:t>eval/provenance/phase_c_sample_100.csv</w:t>
            </w:r>
            <w:r>
              <w:rPr>
                <w:sz w:val="15"/>
              </w:rPr>
              <w:t xml:space="preserve"> (seed 20261028)</w:t>
            </w:r>
          </w:p>
        </w:tc>
        <w:tc>
          <w:tcPr>
            <w:tcW w:type="dxa" w:w="2493"/>
          </w:tcPr>
          <w:p>
            <w:pPr>
              <w:spacing w:after="0"/>
            </w:pPr>
            <w:r/>
            <w:r>
              <w:rPr>
                <w:sz w:val="15"/>
              </w:rPr>
              <w:t>eICU-CRD demo first panels; NHANES 2015–16 and 2017–18</w:t>
            </w:r>
          </w:p>
        </w:tc>
        <w:tc>
          <w:tcPr>
            <w:tcW w:type="dxa" w:w="2493"/>
          </w:tcPr>
          <w:p>
            <w:pPr>
              <w:spacing w:after="0"/>
            </w:pPr>
            <w:r/>
            <w:r>
              <w:rPr>
                <w:sz w:val="15"/>
              </w:rPr>
              <w:t>registry 14.2.0; harness v8.2 (activity only; no v7 metric affected)</w:t>
            </w:r>
          </w:p>
        </w:tc>
      </w:tr>
      <w:tr>
        <w:tc>
          <w:tcPr>
            <w:tcW w:type="dxa" w:w="2493"/>
          </w:tcPr>
          <w:p>
            <w:pPr>
              <w:spacing w:after="0"/>
            </w:pPr>
            <w:r/>
            <w:r>
              <w:rPr>
                <w:sz w:val="15"/>
              </w:rPr>
              <w:t>Section 3.9, Note 16</w:t>
            </w:r>
          </w:p>
        </w:tc>
        <w:tc>
          <w:tcPr>
            <w:tcW w:type="dxa" w:w="2493"/>
          </w:tcPr>
          <w:p>
            <w:pPr>
              <w:spacing w:after="0"/>
            </w:pPr>
            <w:r/>
            <w:r>
              <w:rPr>
                <w:rFonts w:ascii="Consolas" w:hAnsi="Consolas"/>
                <w:sz w:val="15"/>
              </w:rPr>
              <w:t>eval/audit/PROTOCOL_AUDIT.md</w:t>
            </w:r>
            <w:r>
              <w:rPr>
                <w:sz w:val="15"/>
              </w:rPr>
              <w:t xml:space="preserve">, </w:t>
            </w:r>
            <w:r>
              <w:rPr>
                <w:rFonts w:ascii="Consolas" w:hAnsi="Consolas"/>
                <w:sz w:val="15"/>
              </w:rPr>
              <w:t>make_core_registry.py</w:t>
            </w:r>
            <w:r>
              <w:rPr>
                <w:sz w:val="15"/>
              </w:rPr>
              <w:t xml:space="preserve">, </w:t>
            </w:r>
            <w:r>
              <w:rPr>
                <w:rFonts w:ascii="Consolas" w:hAnsi="Consolas"/>
                <w:sz w:val="15"/>
              </w:rPr>
              <w:t>audit.py</w:t>
            </w:r>
            <w:r>
              <w:rPr>
                <w:sz w:val="15"/>
              </w:rPr>
              <w:t xml:space="preserve">, </w:t>
            </w:r>
            <w:r>
              <w:rPr>
                <w:rFonts w:ascii="Consolas" w:hAnsi="Consolas"/>
                <w:sz w:val="15"/>
              </w:rPr>
              <w:t>mutate.py</w:t>
            </w:r>
            <w:r>
              <w:rPr>
                <w:sz w:val="15"/>
              </w:rPr>
              <w:t xml:space="preserve">, </w:t>
            </w:r>
            <w:r>
              <w:rPr>
                <w:rFonts w:ascii="Consolas" w:hAnsi="Consolas"/>
                <w:sz w:val="15"/>
              </w:rPr>
              <w:t>convert_llm_corpus.py</w:t>
            </w:r>
            <w:r>
              <w:rPr>
                <w:sz w:val="15"/>
              </w:rPr>
              <w:t xml:space="preserve">; CORE arm re-runs with </w:t>
            </w:r>
            <w:r>
              <w:rPr>
                <w:rFonts w:ascii="Consolas" w:hAnsi="Consolas"/>
                <w:sz w:val="15"/>
              </w:rPr>
              <w:t>eval/realdata/eval_eicu.py --encounter icu</w:t>
            </w:r>
            <w:r>
              <w:rPr>
                <w:sz w:val="15"/>
              </w:rPr>
              <w:t xml:space="preserve"> and </w:t>
            </w:r>
            <w:r>
              <w:rPr>
                <w:rFonts w:ascii="Consolas" w:hAnsi="Consolas"/>
                <w:sz w:val="15"/>
              </w:rPr>
              <w:t>eval/realdata/eval_nhanes.py --n-max 1000 --encounter community</w:t>
            </w:r>
            <w:r>
              <w:rPr>
                <w:sz w:val="15"/>
              </w:rPr>
              <w:t>; paired comparison as for the 15.1.0 gate</w:t>
            </w:r>
          </w:p>
        </w:tc>
        <w:tc>
          <w:tcPr>
            <w:tcW w:type="dxa" w:w="2493"/>
          </w:tcPr>
          <w:p>
            <w:pPr>
              <w:spacing w:after="0"/>
            </w:pPr>
            <w:r/>
            <w:r>
              <w:rPr>
                <w:sz w:val="15"/>
              </w:rPr>
              <w:t>eICU-CRD demo (2,314 stays); NHANES 2017–18 (1,000 adults); registries 14.1.0 and 15.1.0; second LLM-written corpus (400 rules, hash-frozen)</w:t>
            </w:r>
          </w:p>
        </w:tc>
        <w:tc>
          <w:tcPr>
            <w:tcW w:type="dxa" w:w="2493"/>
          </w:tcPr>
          <w:p>
            <w:pPr>
              <w:spacing w:after="0"/>
            </w:pPr>
            <w:r/>
            <w:r>
              <w:rPr>
                <w:sz w:val="15"/>
              </w:rPr>
              <w:t>registry 15.1.0 vs its 335-rule audited core, engine v8.2 in both arms (development; no v7 metric affected)</w:t>
            </w:r>
          </w:p>
        </w:tc>
      </w:tr>
      <w:tr>
        <w:tc>
          <w:tcPr>
            <w:tcW w:type="dxa" w:w="2493"/>
          </w:tcPr>
          <w:p>
            <w:pPr>
              <w:spacing w:after="0"/>
            </w:pPr>
            <w:r/>
            <w:r>
              <w:rPr>
                <w:sz w:val="15"/>
              </w:rPr>
              <w:t>Section 3.9, Note 18</w:t>
            </w:r>
          </w:p>
        </w:tc>
        <w:tc>
          <w:tcPr>
            <w:tcW w:type="dxa" w:w="2493"/>
          </w:tcPr>
          <w:p>
            <w:pPr>
              <w:spacing w:after="0"/>
            </w:pPr>
            <w:r/>
            <w:r>
              <w:rPr>
                <w:rFonts w:ascii="Consolas" w:hAnsi="Consolas"/>
                <w:sz w:val="15"/>
              </w:rPr>
              <w:t>eval/verification_ledger/build_ledger.py</w:t>
            </w:r>
            <w:r>
              <w:rPr>
                <w:sz w:val="15"/>
              </w:rPr>
              <w:t xml:space="preserve"> (join only; inputs are the frozen outputs of Notes 8, 15, 16, </w:t>
            </w:r>
            <w:r>
              <w:rPr>
                <w:rFonts w:ascii="Consolas" w:hAnsi="Consolas"/>
                <w:sz w:val="15"/>
              </w:rPr>
              <w:t>eval/audit/audit.py</w:t>
            </w:r>
            <w:r>
              <w:rPr>
                <w:sz w:val="15"/>
              </w:rPr>
              <w:t xml:space="preserve"> and </w:t>
            </w:r>
            <w:r>
              <w:rPr>
                <w:rFonts w:ascii="Consolas" w:hAnsi="Consolas"/>
                <w:sz w:val="15"/>
              </w:rPr>
              <w:t>tests/test_properties.py</w:t>
            </w:r>
            <w:r>
              <w:rPr>
                <w:sz w:val="15"/>
              </w:rPr>
              <w:t xml:space="preserve">); </w:t>
            </w:r>
            <w:r>
              <w:rPr>
                <w:rFonts w:ascii="Consolas" w:hAnsi="Consolas"/>
                <w:sz w:val="15"/>
              </w:rPr>
              <w:t>tests/test_verification_ledger.py</w:t>
            </w:r>
          </w:p>
        </w:tc>
        <w:tc>
          <w:tcPr>
            <w:tcW w:type="dxa" w:w="2493"/>
          </w:tcPr>
          <w:p>
            <w:pPr>
              <w:spacing w:after="0"/>
            </w:pPr>
            <w:r/>
            <w:r>
              <w:rPr>
                <w:sz w:val="15"/>
              </w:rPr>
              <w:t>none (no data touched)</w:t>
            </w:r>
          </w:p>
        </w:tc>
        <w:tc>
          <w:tcPr>
            <w:tcW w:type="dxa" w:w="2493"/>
          </w:tcPr>
          <w:p>
            <w:pPr>
              <w:spacing w:after="0"/>
            </w:pPr>
            <w:r/>
            <w:r>
              <w:rPr>
                <w:sz w:val="15"/>
              </w:rPr>
              <w:t>registries 14.1.0, 15.1.0, 15.2.0 (no metric affected)</w:t>
            </w:r>
          </w:p>
        </w:tc>
      </w:tr>
      <w:tr>
        <w:tc>
          <w:tcPr>
            <w:tcW w:type="dxa" w:w="2493"/>
          </w:tcPr>
          <w:p>
            <w:pPr>
              <w:spacing w:after="0"/>
            </w:pPr>
            <w:r/>
            <w:r>
              <w:rPr>
                <w:sz w:val="15"/>
              </w:rPr>
              <w:t>Note 18, release 15.3.0</w:t>
            </w:r>
          </w:p>
        </w:tc>
        <w:tc>
          <w:tcPr>
            <w:tcW w:type="dxa" w:w="2493"/>
          </w:tcPr>
          <w:p>
            <w:pPr>
              <w:spacing w:after="0"/>
            </w:pPr>
            <w:r/>
            <w:r>
              <w:rPr>
                <w:rFonts w:ascii="Consolas" w:hAnsi="Consolas"/>
                <w:sz w:val="15"/>
              </w:rPr>
              <w:t>eval/registry_patches/PROTOCOL_15_3_0.md</w:t>
            </w:r>
            <w:r>
              <w:rPr>
                <w:sz w:val="15"/>
              </w:rPr>
              <w:t xml:space="preserve">, </w:t>
            </w:r>
            <w:r>
              <w:rPr>
                <w:rFonts w:ascii="Consolas" w:hAnsi="Consolas"/>
                <w:sz w:val="15"/>
              </w:rPr>
              <w:t>patch_15_3_0.py</w:t>
            </w:r>
            <w:r>
              <w:rPr>
                <w:sz w:val="15"/>
              </w:rPr>
              <w:t xml:space="preserve">, </w:t>
            </w:r>
            <w:r>
              <w:rPr>
                <w:rFonts w:ascii="Consolas" w:hAnsi="Consolas"/>
                <w:sz w:val="15"/>
              </w:rPr>
              <w:t>gate_compare.py _r1520 _r1530</w:t>
            </w:r>
            <w:r>
              <w:rPr>
                <w:sz w:val="15"/>
              </w:rPr>
              <w:t>; gate re-runs as for 15.1.0</w:t>
            </w:r>
          </w:p>
        </w:tc>
        <w:tc>
          <w:tcPr>
            <w:tcW w:type="dxa" w:w="2493"/>
          </w:tcPr>
          <w:p>
            <w:pPr>
              <w:spacing w:after="0"/>
            </w:pPr>
            <w:r/>
            <w:r>
              <w:rPr>
                <w:sz w:val="15"/>
              </w:rPr>
              <w:t>eICU-CRD demo (2,314 stays); NHANES 2017–18 (1,000 adults)</w:t>
            </w:r>
          </w:p>
        </w:tc>
        <w:tc>
          <w:tcPr>
            <w:tcW w:type="dxa" w:w="2493"/>
          </w:tcPr>
          <w:p>
            <w:pPr>
              <w:spacing w:after="0"/>
            </w:pPr>
            <w:r/>
            <w:r>
              <w:rPr>
                <w:sz w:val="15"/>
              </w:rPr>
              <w:t>registry 15.2.0 vs 15.3.0, engine v8.2 (development; no v7 metric affected)</w:t>
            </w:r>
          </w:p>
        </w:tc>
      </w:tr>
      <w:tr>
        <w:tc>
          <w:tcPr>
            <w:tcW w:type="dxa" w:w="2493"/>
          </w:tcPr>
          <w:p>
            <w:pPr>
              <w:spacing w:after="0"/>
            </w:pPr>
            <w:r/>
            <w:r>
              <w:rPr>
                <w:sz w:val="15"/>
              </w:rPr>
              <w:t>Note 16, release 15.2.0</w:t>
            </w:r>
          </w:p>
        </w:tc>
        <w:tc>
          <w:tcPr>
            <w:tcW w:type="dxa" w:w="2493"/>
          </w:tcPr>
          <w:p>
            <w:pPr>
              <w:spacing w:after="0"/>
            </w:pPr>
            <w:r/>
            <w:r>
              <w:rPr>
                <w:rFonts w:ascii="Consolas" w:hAnsi="Consolas"/>
                <w:sz w:val="15"/>
              </w:rPr>
              <w:t>eval/registry_patches/PROTOCOL_15_2_0.md</w:t>
            </w:r>
            <w:r>
              <w:rPr>
                <w:sz w:val="15"/>
              </w:rPr>
              <w:t xml:space="preserve">, </w:t>
            </w:r>
            <w:r>
              <w:rPr>
                <w:rFonts w:ascii="Consolas" w:hAnsi="Consolas"/>
                <w:sz w:val="15"/>
              </w:rPr>
              <w:t>patch_15_2_0.py</w:t>
            </w:r>
            <w:r>
              <w:rPr>
                <w:sz w:val="15"/>
              </w:rPr>
              <w:t xml:space="preserve">, </w:t>
            </w:r>
            <w:r>
              <w:rPr>
                <w:rFonts w:ascii="Consolas" w:hAnsi="Consolas"/>
                <w:sz w:val="15"/>
              </w:rPr>
              <w:t>gate_compare.py</w:t>
            </w:r>
            <w:r>
              <w:rPr>
                <w:sz w:val="15"/>
              </w:rPr>
              <w:t>; gate re-runs as for 15.1.0</w:t>
            </w:r>
          </w:p>
        </w:tc>
        <w:tc>
          <w:tcPr>
            <w:tcW w:type="dxa" w:w="2493"/>
          </w:tcPr>
          <w:p>
            <w:pPr>
              <w:spacing w:after="0"/>
            </w:pPr>
            <w:r/>
            <w:r>
              <w:rPr>
                <w:sz w:val="15"/>
              </w:rPr>
              <w:t>eICU-CRD demo (2,314 stays); NHANES 2017–18 (1,000 adults)</w:t>
            </w:r>
          </w:p>
        </w:tc>
        <w:tc>
          <w:tcPr>
            <w:tcW w:type="dxa" w:w="2493"/>
          </w:tcPr>
          <w:p>
            <w:pPr>
              <w:spacing w:after="0"/>
            </w:pPr>
            <w:r/>
            <w:r>
              <w:rPr>
                <w:sz w:val="15"/>
              </w:rPr>
              <w:t>registry 15.1.0 vs 15.2.0, engine v8.2 (development; no v7 metric affected)</w:t>
            </w:r>
          </w:p>
        </w:tc>
      </w:tr>
      <w:tr>
        <w:tc>
          <w:tcPr>
            <w:tcW w:type="dxa" w:w="2493"/>
          </w:tcPr>
          <w:p>
            <w:pPr>
              <w:spacing w:after="0"/>
            </w:pPr>
            <w:r/>
            <w:r>
              <w:rPr>
                <w:sz w:val="15"/>
              </w:rPr>
              <w:t>Note 15, post-audit release</w:t>
            </w:r>
          </w:p>
        </w:tc>
        <w:tc>
          <w:tcPr>
            <w:tcW w:type="dxa" w:w="2493"/>
          </w:tcPr>
          <w:p>
            <w:pPr>
              <w:spacing w:after="0"/>
            </w:pPr>
            <w:r/>
            <w:r>
              <w:rPr>
                <w:rFonts w:ascii="Consolas" w:hAnsi="Consolas"/>
                <w:sz w:val="15"/>
              </w:rPr>
              <w:t>eval/registry_patches/PROTOCOL_15_0_0.md</w:t>
            </w:r>
            <w:r>
              <w:rPr>
                <w:sz w:val="15"/>
              </w:rPr>
              <w:t xml:space="preserve">, </w:t>
            </w:r>
            <w:r>
              <w:rPr>
                <w:rFonts w:ascii="Consolas" w:hAnsi="Consolas"/>
                <w:sz w:val="15"/>
              </w:rPr>
              <w:t>patch_15_0_0.py</w:t>
            </w:r>
            <w:r>
              <w:rPr>
                <w:sz w:val="15"/>
              </w:rPr>
              <w:t xml:space="preserve">; gate re-runs with </w:t>
            </w:r>
            <w:r>
              <w:rPr>
                <w:rFonts w:ascii="Consolas" w:hAnsi="Consolas"/>
                <w:sz w:val="15"/>
              </w:rPr>
              <w:t>eval/realdata/eval_eicu.py --encounter icu</w:t>
            </w:r>
            <w:r>
              <w:rPr>
                <w:sz w:val="15"/>
              </w:rPr>
              <w:t xml:space="preserve">, </w:t>
            </w:r>
            <w:r>
              <w:rPr>
                <w:rFonts w:ascii="Consolas" w:hAnsi="Consolas"/>
                <w:sz w:val="15"/>
              </w:rPr>
              <w:t>eval/realdata/eval_nhanes.py --n-max 1000 --encounter community</w:t>
            </w:r>
            <w:r>
              <w:rPr>
                <w:sz w:val="15"/>
              </w:rPr>
              <w:t xml:space="preserve">, </w:t>
            </w:r>
            <w:r>
              <w:rPr>
                <w:rFonts w:ascii="Consolas" w:hAnsi="Consolas"/>
                <w:sz w:val="15"/>
              </w:rPr>
              <w:t>eval/provenance/activity_log.py --corpus eicu</w:t>
            </w:r>
          </w:p>
        </w:tc>
        <w:tc>
          <w:tcPr>
            <w:tcW w:type="dxa" w:w="2493"/>
          </w:tcPr>
          <w:p>
            <w:pPr>
              <w:spacing w:after="0"/>
            </w:pPr>
            <w:r/>
            <w:r>
              <w:rPr>
                <w:sz w:val="15"/>
              </w:rPr>
              <w:t>eICU-CRD demo (2,314 stays); NHANES 2017–18 (1,000 adults)</w:t>
            </w:r>
          </w:p>
        </w:tc>
        <w:tc>
          <w:tcPr>
            <w:tcW w:type="dxa" w:w="2493"/>
          </w:tcPr>
          <w:p>
            <w:pPr>
              <w:spacing w:after="0"/>
            </w:pPr>
            <w:r/>
            <w:r>
              <w:rPr>
                <w:sz w:val="15"/>
              </w:rPr>
              <w:t>registry 14.2.0 vs 15.0.0, engine v8.2 in both arms (development; no v7 metric affected)</w:t>
            </w:r>
          </w:p>
        </w:tc>
      </w:tr>
      <w:tr>
        <w:tc>
          <w:tcPr>
            <w:tcW w:type="dxa" w:w="2493"/>
          </w:tcPr>
          <w:p>
            <w:pPr>
              <w:spacing w:after="0"/>
            </w:pPr>
            <w:r/>
            <w:r>
              <w:rPr>
                <w:sz w:val="15"/>
              </w:rPr>
              <w:t>Table S1, Table S2, Note 1</w:t>
            </w:r>
          </w:p>
        </w:tc>
        <w:tc>
          <w:tcPr>
            <w:tcW w:type="dxa" w:w="2493"/>
          </w:tcPr>
          <w:p>
            <w:pPr>
              <w:spacing w:after="0"/>
            </w:pPr>
            <w:r/>
            <w:r>
              <w:rPr>
                <w:sz w:val="15"/>
              </w:rPr>
              <w:t>SAP document (dated amendments); freeze manifests</w:t>
            </w:r>
          </w:p>
        </w:tc>
        <w:tc>
          <w:tcPr>
            <w:tcW w:type="dxa" w:w="2493"/>
          </w:tcPr>
          <w:p>
            <w:pPr>
              <w:spacing w:after="0"/>
            </w:pPr>
            <w:r/>
            <w:r>
              <w:rPr>
                <w:sz w:val="15"/>
              </w:rPr>
              <w:t>—</w:t>
            </w:r>
          </w:p>
        </w:tc>
        <w:tc>
          <w:tcPr>
            <w:tcW w:type="dxa" w:w="2493"/>
          </w:tcPr>
          <w:p>
            <w:pPr>
              <w:spacing w:after="0"/>
            </w:pPr>
            <w:r/>
            <w:r>
              <w:rPr>
                <w:sz w:val="15"/>
              </w:rPr>
              <w:t>14.0.0 → 14.1.0; v6 → v7</w:t>
            </w:r>
          </w:p>
        </w:tc>
      </w:tr>
      <w:tr>
        <w:tc>
          <w:tcPr>
            <w:tcW w:type="dxa" w:w="2493"/>
          </w:tcPr>
          <w:p>
            <w:pPr>
              <w:spacing w:after="0"/>
            </w:pPr>
            <w:r/>
            <w:r>
              <w:rPr>
                <w:sz w:val="15"/>
              </w:rPr>
              <w:t>Table S5</w:t>
            </w:r>
          </w:p>
        </w:tc>
        <w:tc>
          <w:tcPr>
            <w:tcW w:type="dxa" w:w="2493"/>
          </w:tcPr>
          <w:p>
            <w:pPr>
              <w:spacing w:after="0"/>
            </w:pPr>
            <w:r/>
            <w:r>
              <w:rPr>
                <w:rFonts w:ascii="Consolas" w:hAnsi="Consolas"/>
                <w:sz w:val="15"/>
              </w:rPr>
              <w:t>eval/next_test_utility.py</w:t>
            </w:r>
          </w:p>
        </w:tc>
        <w:tc>
          <w:tcPr>
            <w:tcW w:type="dxa" w:w="2493"/>
          </w:tcPr>
          <w:p>
            <w:pPr>
              <w:spacing w:after="0"/>
            </w:pPr>
            <w:r/>
            <w:r>
              <w:rPr>
                <w:sz w:val="15"/>
              </w:rPr>
              <w:t>eICU-CRD demo audit sample</w:t>
            </w:r>
          </w:p>
        </w:tc>
        <w:tc>
          <w:tcPr>
            <w:tcW w:type="dxa" w:w="2493"/>
          </w:tcPr>
          <w:p>
            <w:pPr>
              <w:spacing w:after="0"/>
            </w:pPr>
            <w:r/>
            <w:r>
              <w:rPr>
                <w:sz w:val="15"/>
              </w:rPr>
              <w:t>v5.3 (superseded)</w:t>
            </w:r>
          </w:p>
        </w:tc>
      </w:tr>
      <w:tr>
        <w:tc>
          <w:tcPr>
            <w:tcW w:type="dxa" w:w="2493"/>
          </w:tcPr>
          <w:p>
            <w:pPr>
              <w:spacing w:after="0"/>
            </w:pPr>
            <w:r/>
            <w:r>
              <w:rPr>
                <w:sz w:val="15"/>
              </w:rPr>
              <w:t>Table S9</w:t>
            </w:r>
          </w:p>
        </w:tc>
        <w:tc>
          <w:tcPr>
            <w:tcW w:type="dxa" w:w="2493"/>
          </w:tcPr>
          <w:p>
            <w:pPr>
              <w:spacing w:after="0"/>
            </w:pPr>
            <w:r/>
            <w:r>
              <w:rPr>
                <w:rFonts w:ascii="Consolas" w:hAnsi="Consolas"/>
                <w:sz w:val="15"/>
              </w:rPr>
              <w:t>eval/label_audit_300.py</w:t>
            </w:r>
            <w:r>
              <w:rPr>
                <w:sz w:val="15"/>
              </w:rPr>
              <w:t xml:space="preserve"> (seed 11; the first 100 stays by the author adjudication described in Table S9)</w:t>
            </w:r>
          </w:p>
        </w:tc>
        <w:tc>
          <w:tcPr>
            <w:tcW w:type="dxa" w:w="2493"/>
          </w:tcPr>
          <w:p>
            <w:pPr>
              <w:spacing w:after="0"/>
            </w:pPr>
            <w:r/>
            <w:r>
              <w:rPr>
                <w:sz w:val="15"/>
              </w:rPr>
              <w:t>400 eICU stays</w:t>
            </w:r>
          </w:p>
        </w:tc>
        <w:tc>
          <w:tcPr>
            <w:tcW w:type="dxa" w:w="2493"/>
          </w:tcPr>
          <w:p>
            <w:pPr>
              <w:spacing w:after="0"/>
            </w:pPr>
            <w:r/>
            <w:r>
              <w:rPr>
                <w:sz w:val="15"/>
              </w:rPr>
              <w:t>v7</w:t>
            </w:r>
          </w:p>
        </w:tc>
      </w:tr>
      <w:tr>
        <w:tc>
          <w:tcPr>
            <w:tcW w:type="dxa" w:w="2493"/>
          </w:tcPr>
          <w:p>
            <w:pPr>
              <w:spacing w:after="0"/>
            </w:pPr>
            <w:r/>
            <w:r>
              <w:rPr>
                <w:sz w:val="15"/>
              </w:rPr>
              <w:t>Fig. S5</w:t>
            </w:r>
          </w:p>
        </w:tc>
        <w:tc>
          <w:tcPr>
            <w:tcW w:type="dxa" w:w="2493"/>
          </w:tcPr>
          <w:p>
            <w:pPr>
              <w:spacing w:after="0"/>
            </w:pPr>
            <w:r/>
            <w:r>
              <w:rPr>
                <w:rFonts w:ascii="Consolas" w:hAnsi="Consolas"/>
                <w:sz w:val="15"/>
              </w:rPr>
              <w:t>eval/deep_review_ctx_sex.py</w:t>
            </w:r>
          </w:p>
        </w:tc>
        <w:tc>
          <w:tcPr>
            <w:tcW w:type="dxa" w:w="2493"/>
          </w:tcPr>
          <w:p>
            <w:pPr>
              <w:spacing w:after="0"/>
            </w:pPr>
            <w:r/>
            <w:r>
              <w:rPr>
                <w:sz w:val="15"/>
              </w:rPr>
              <w:t>eICU-CRD demo, context arm</w:t>
            </w:r>
          </w:p>
        </w:tc>
        <w:tc>
          <w:tcPr>
            <w:tcW w:type="dxa" w:w="2493"/>
          </w:tcPr>
          <w:p>
            <w:pPr>
              <w:spacing w:after="0"/>
            </w:pPr>
            <w:r/>
            <w:r>
              <w:rPr>
                <w:sz w:val="15"/>
              </w:rPr>
              <w:t>v5.2</w:t>
            </w:r>
          </w:p>
        </w:tc>
      </w:tr>
    </w:tbl>
    <w:p/>
    <w:p>
      <w:pPr>
        <w:pStyle w:val="Heading1"/>
      </w:pPr>
      <w:r>
        <w:rPr>
          <w:color w:val="000000"/>
        </w:rPr>
        <w:t>Supplementary Figures ![Fig. S1. Provenance audit of the shipped registry (14.1.0): source-locator classes and verification outcome per rule; see Note 8 for the sampled concordance audit.](../fig/src_fig08_provenance.png) ![Fig. S2. eICU-CRD demo (2,314 ICU stays, labs only): flat and two-tier top-k recall per engine/registry release, 13.4.2 → v7; identical inputs and label map.](../fig/src_fig02_eicu_versions.png) ![Fig. S3. Per-group recall@5 on panel-supported labels, frozen engine v7 (secondary metric defined after the ceiling was observed; see main text Section 3.3).](../fig/src_fig04_groups.png) ![Fig. S4. Per-group expected calibration error, raw scores vs cross-fitted isotonic recalibration (Table S6b).](../fig/src_fig09_calibration.png) ![Fig. S5. Context-echo analysis: the gain of the context arm is concentrated in labels that are restatements of documented history.](../fig/src_fig13_context_echo.png) ![Fig. S6. Historical LLM comparison against the superseded engine v5.1 (n = 100 + 60 + 240 panels; see Table S12b); superseded by the v7 re-scoring in Note 2 and main-text Table 2.](../fig/Fig6_llm_v51.png) ![Fig. S7. Participant flow for all evaluation cohorts (TRIPOD+AI 14a; counts in Table S3).](../../figures/figS1_participant_flow.png)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