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Computer Methods and Programs in Biomedicine</w:t>
      </w:r>
    </w:p>
    <w:p>
      <w:r>
        <w:t>Dear Editors,</w:t>
      </w:r>
    </w:p>
    <w:p>
      <w:r>
        <w:t xml:space="preserve">Please consider the enclosed original research article, "Verifying an AI-drafted laboratory-interpretation rule base before clinical audit: executable invariants, frozen source-concordance protocols and a hash-frozen benchmark applied to the open Hemoglyph engine", for publication in </w:t>
      </w:r>
      <w:r>
        <w:rPr>
          <w:i/>
        </w:rPr>
        <w:t>Computer Methods and Programs in Biomedicine</w:t>
      </w:r>
      <w:r>
        <w:t>.</w:t>
      </w:r>
    </w:p>
    <w:p>
      <w:r/>
      <w:r>
        <w:rPr>
          <w:b/>
        </w:rPr>
        <w:t>Why this submission is appropriate for CMPB.</w:t>
      </w:r>
      <w:r>
        <w:t xml:space="preserve"> The paper is a software-verification study: it asks what can be established about a very large AI-drafted clinical rule base </w:t>
      </w:r>
      <w:r>
        <w:rPr>
          <w:i/>
        </w:rPr>
        <w:t>before</w:t>
      </w:r>
      <w:r>
        <w:t xml:space="preserve"> the clinician audit that such a rule base ultimately needs, and it presents the demonstrable software and computing methodology for doing so. Hemoglyph is an offline, single-process engine that ranks a differential diagnosis from a laboratory panel and attaches a rule identifier, threshold and source locator to every entry; its rule base of 33,183 executable rules was drafted at scale with large language models, and we treat that rule base as software to be verified. Four reproducible methods are described and released as engine-agnostic tools: property-based executable invariants (run in-process, as a black box on real panels given identically to the engine and an LLM, and as a verifier behind the LLM); a source-concordance protocol frozen before sampling, with an activity log that identifies which rules actually drive output; a hash-frozen one-shot benchmark on more than 20,000 public encounters with supervised, prevalence and blinded LLM comparators; and an audit of the audit (core sufficiency, in-sample and pre-registered held-out mutation testing of the static detectors, transfer to a second LLM-written corpus). Engine (AGPL-3.0), rule registry (CC BY-SA 4.0), evaluation scripts, prompts, outputs and freeze manifests are public, and a single command (reproduce.sh) rebuilds the frozen engine from its git tag and re-derives every number in the two main benchmark tables; we report the log of our own clean-clone run, including the failure it caught on the first attempt. This matches the journal's aims of formal computing methods and demonstrable software.</w:t>
      </w:r>
    </w:p>
    <w:p>
      <w:r/>
      <w:r>
        <w:rPr>
          <w:b/>
        </w:rPr>
        <w:t>What is known.</w:t>
      </w:r>
      <w:r>
        <w:t xml:space="preserve"> Rule-based laboratory decision support is traceable but hand-maintained and rarely evaluated outside its home institution; supervised models and LLMs scale but cannot be audited clause by clause, and LLM benchmarks in medicine have been criticised for unstable metrics, leakage and post-hoc selection. AI-assisted drafting now makes very large rule bases cheap to produce, but no method has been described for verifying them, and a dated search found no openly licensed, machine-executable rule set for laboratory-panel interpretation.</w:t>
      </w:r>
    </w:p>
    <w:p>
      <w:r/>
      <w:r>
        <w:rPr>
          <w:b/>
        </w:rPr>
        <w:t>What this study adds.</w:t>
      </w:r>
      <w:r>
        <w:t xml:space="preserve"> (i) An open, offline engine whose every output is source-traceable, deterministic (byte-identical on repeated runs) and unit-invariant on identical perturbed panels (top-5 unchanged in 40/40 versus 8/40 for a frontier LLM). (ii) An invariant suite that found a ranking defect which 353 adversarial vignettes had missed. (iii) A concordance protocol whose result is unfavourable to our own system—92% of sampled rules could not be checked from their locators and at least 7.5% were demonstrably discordant—and an activity log showing that 1.1% of rules carry the output; the methodological conclusion is that provenance granularity, not rule count, limits auditability. (iv) A frozen benchmark in which a failed quarantine round is reported, the untrained engine's recall@5 was not detectably different from a frontier LLM's (60.7% vs 59.6%; +1.2 points, 95% CI −2.5 to +5.1; a superiority test, so parity is not claimed), a prevalence baseline shows that the engine's contribution is ordering rather than coverage, and the engine's criteria, used as a verifier behind the LLM, reduce its unsupported top-5 assertions from 9.4% to 5.7% with recall@5 changing by −0.2 points (95% CI −0.5 to 0.0); a pre-specified consensus arm is reported as a negative result. (v) An audit of the audit showing that the 335 curated or quote-verified rules preserve recall@5 while reducing recall@10 by 1.2 points, that static detectors catch structural defects but not plausible wrong thresholds—confirmed on held-out material and new defect families, where their blind spots are measured rather than assumed—and that a second LLM-written rule set shows the same defect classes.</w:t>
      </w:r>
    </w:p>
    <w:p>
      <w:r/>
      <w:r>
        <w:rPr>
          <w:b/>
        </w:rPr>
        <w:t>Declarations.</w:t>
      </w:r>
      <w:r>
        <w:t xml:space="preserve"> The manuscript has not been published and is not under consideration elsewhere; a preprint may be deposited. The first author is a secondary-school student (Allameh Helli 10, NODET, Tehran) and owns a proprietary desktop product that embeds the same engine; this financial interest is declared and motivated the frozen design. The rule base is 99.2% AI-drafted and has not been clinically audited; both concordance audits are single-rater, by a declared AI agent under the first author's supervision; no clinician took part in the evaluation, and the paper makes no clinical claim. We regard this as the study's principal limitation and have addressed it in the only way available to us before recruitment: the protocol for the independent two-rater clinical audit—sample (drawn, committed and hashed), verdict rules, outcomes, sample size and pre-specified interpretation—is frozen in Supplementary Note 19, and the manuscript shows that the 335 curated or quote-verified rules alone preserve recall@5 (recall@10 −1.2 points), so a release restricted to verified rules is feasible. The LLM comparator was accessed through a platform that does not disclose model identity or version; this is stated and the comparison is presented as descriptive. No funding was received; the authors request the subscription publication route. The main text is approximately 4,900 words including the Limitations section, above the journal's usual length because the paper reports four methods and their own verification; every passage condensed for length is preserved verbatim in the Supplementary Information, and we will shorten further at the editors' request. Generative-AI use is declared in the manuscript.</w:t>
      </w:r>
    </w:p>
    <w:p>
      <w:r>
        <w:t>Suggested reviewers (no conflicts; none has collaborated with the authors): Prof. Adam Wright (Vanderbilt University Medical Center; CDS rule malfunction and knowledge-base maintenance); Prof. Dean F. Sittig (UTHealth Houston; CDS safety and evaluation); Prof. Mor Peleg (University of Haifa; computer-interpretable guidelines); Dr. Christopher McCudden (University of Ottawa; laboratory-medicine decision support); Prof. Ferdinand Dhombres (Sorbonne Université; clinical knowledge representation).</w:t>
      </w:r>
    </w:p>
    <w:p>
      <w:r>
        <w:t>Sincerely,</w:t>
      </w:r>
    </w:p>
    <w:p>
      <w:r>
        <w:t>Sobhan Bahrami (corresponding author; ORCID 0009-0004-6639-5081),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