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pPr>
      <w:r>
        <w:rPr>
          <w:b/>
          <w:sz w:val="32"/>
        </w:rPr>
        <w:t>Supplementary Information</w:t>
      </w:r>
    </w:p>
    <w:p>
      <w:r>
        <w:rPr>
          <w:i/>
        </w:rPr>
        <w:t>Verifying an AI-drafted laboratory-interpretation rule base before clinical audit: executable invariants, frozen source-concordance protocols and a hash-frozen benchmark applied to the open Hemoglyph engine — Bahrami, Tahmasebinejad, Bahrami Samani. Revision R9 (2026-10-28), Computer Methods and Programs in Biomedicine.</w:t>
      </w:r>
    </w:p>
    <w:p>
      <w:r>
        <w:rPr>
          <w:b/>
        </w:rPr>
        <w:t>Index.</w:t>
      </w:r>
      <w:r>
        <w:t xml:space="preserve"> Notes: Note 1 SAP and amendments; Table S1 engine change log C1–C16 with sources; Table S2 quarantine criteria and outcomes (rounds 1 and 2); Note 2 LLM comparison protocol; Table S3 participant flow and baseline characteristics; Note 3 fusion/Theory-of-Evidence algorithm and consistency identities; Table S4 subgroup recall; Table S5 next-test utility (engine v5.3, superseded metric); Tables S6–S6c calibration, recalibration, decision curves, multiplicity and panel-size sensitivity; Table S7 survey-weighted NHANES AUROC; Table S8 per-group calibration; Table S9 label-mapping audit (400 stays); Table S10 registry count reconciliation; Table S11 precision/F1/NDCG, alert burden, per-group PPV and prevalence baseline; Table S12 fusion-weight sensitivity; Table S12b historical comparisons (superseded); Table S13 participant flow for the UCI cohorts; Table S15 open vs proprietary components; Table S16 sepsis companion model; Note 4 regression gate; Note 5 definitions, audits and completed TRIPOD+AI checklist; Note 6 version manifest; Note 7 evidence triage of twelve proposals; Note 8 source-concordance audit; Notes 9–12 material moved from the main text; Note 13 black-box property-conformance benchmark (engine and LLM on identical perturbed panels); Note 14 executable verifier behind the LLM and verified-consensus arm; Note 15 activity-guided provenance audit; Note 16 audit study (core sufficiency, mutation testing, second LLM-written corpus); Note 18 per-rule verification ledger and its closure in registry 15.3.0; Note 19 pre-specified protocol for the independent clinical concordance audit (sample frozen, not yet executed); Note 20 held-out mutation test of the static detectors (pre-registered; eight new families, two seed pools); Note 21 clean-environment reproduction log; Note 22 detail condensed from the main text in R9/R9-short (verbatim); Table S17 reproducibility and version map; Table S18 two-level auditability (retrievable vs statement located) of the Note 8 sample; Note 17 component ablation, community survey and external cohorts (R6 §3.5–3.6 verbatim) and earlier-release eICU rows; Fig. S1 provenance audit; Fig. S2 per-release eICU metrics; Fig. S3 per-group panel-supported recall; Fig. S4 per-group calibration; Fig. S5 context-echo analysis; Fig. S6 participant flow; Data 1 per-stay outputs and LLM prompts/outputs.</w:t>
      </w:r>
    </w:p>
    <w:p>
      <w:pPr>
        <w:pStyle w:val="Heading1"/>
      </w:pPr>
      <w:r>
        <w:rPr>
          <w:rFonts w:ascii="Times New Roman" w:hAnsi="Times New Roman" w:eastAsia="Times New Roman" w:cs="Times New Roman"/>
          <w:b/>
          <w:i w:val="0"/>
          <w:color w:val="000000"/>
        </w:rPr>
        <w:t>Supplementary Note 1 — Statistical analysis plan and amendments</w:t>
      </w:r>
    </w:p>
    <w:p>
      <w:pPr>
        <w:pStyle w:val="Heading2"/>
      </w:pPr>
      <w:r>
        <w:rPr>
          <w:rFonts w:ascii="Times New Roman" w:hAnsi="Times New Roman" w:eastAsia="Times New Roman" w:cs="Times New Roman"/>
          <w:b/>
          <w:i w:val="0"/>
          <w:color w:val="000000"/>
        </w:rPr>
        <w:t>Statistical Analysis Plan (SAP) — Hemoglyph v1.3.1 retrospective diagnostic-accuracy evaluation</w:t>
      </w:r>
    </w:p>
    <w:p>
      <w:r>
        <w:t>Version 1.0 — 2026-10-21 — author: Sobhan Bahrami. To be time-stamped on OSF before any</w:t>
      </w:r>
    </w:p>
    <w:p>
      <w:r>
        <w:t>evaluation listed in §4 is run on the frozen engine. Amendments after registration must be</w:t>
      </w:r>
    </w:p>
    <w:p>
      <w:r>
        <w:t>listed in §9 with date and rationale.</w:t>
      </w:r>
    </w:p>
    <w:p>
      <w:pPr>
        <w:pStyle w:val="Heading2"/>
      </w:pPr>
      <w:r>
        <w:rPr>
          <w:rFonts w:ascii="Times New Roman" w:hAnsi="Times New Roman" w:eastAsia="Times New Roman" w:cs="Times New Roman"/>
          <w:b/>
          <w:i w:val="0"/>
          <w:color w:val="000000"/>
        </w:rPr>
        <w:t>1. Objective</w:t>
      </w:r>
    </w:p>
    <w:p>
      <w:r>
        <w:t>Estimate the diagnostic accuracy, calibration and safety of Hemoglyph (knowledge-driven,</w:t>
      </w:r>
    </w:p>
    <w:p>
      <w:r>
        <w:t xml:space="preserve">untrained laboratory interpretation engine; registry 13.1.0; engine file SHA-256 </w:t>
      </w:r>
      <w:r>
        <w:rPr>
          <w:rFonts w:ascii="Courier New" w:hAnsi="Courier New" w:eastAsia="Courier New" w:cs="Courier New"/>
          <w:color w:val="000000"/>
          <w:sz w:val="22"/>
        </w:rPr>
        <w:t>e0231327…d800f6</w:t>
      </w:r>
      <w:r>
        <w:t xml:space="preserve"> (v1 freeze, 2026-10-21) / </w:t>
      </w:r>
      <w:r>
        <w:rPr>
          <w:rFonts w:ascii="Courier New" w:hAnsi="Courier New" w:eastAsia="Courier New" w:cs="Courier New"/>
          <w:color w:val="000000"/>
          <w:sz w:val="22"/>
        </w:rPr>
        <w:t>48313758…</w:t>
      </w:r>
      <w:r>
        <w:t xml:space="preserve"> (v2 = v1 + ESL extension 5, 2026-10-21, see Amendment 2),</w:t>
      </w:r>
    </w:p>
    <w:p>
      <w:r>
        <w:t xml:space="preserve">registry SHA-256 </w:t>
      </w:r>
      <w:r>
        <w:rPr>
          <w:rFonts w:ascii="Courier New" w:hAnsi="Courier New" w:eastAsia="Courier New" w:cs="Courier New"/>
          <w:color w:val="000000"/>
          <w:sz w:val="22"/>
        </w:rPr>
        <w:t>cebe06ae…c5d298</w:t>
      </w:r>
      <w:r>
        <w:t xml:space="preserve"> (unchanged between v1 and v2)) against clinician- and guideline-derived reference standards on</w:t>
      </w:r>
    </w:p>
    <w:p>
      <w:r>
        <w:t>external real-world data, without any modification of the engine after the freeze.</w:t>
      </w:r>
    </w:p>
    <w:p>
      <w:pPr>
        <w:pStyle w:val="Heading2"/>
      </w:pPr>
      <w:r>
        <w:rPr>
          <w:rFonts w:ascii="Times New Roman" w:hAnsi="Times New Roman" w:eastAsia="Times New Roman" w:cs="Times New Roman"/>
          <w:b/>
          <w:i w:val="0"/>
          <w:color w:val="000000"/>
        </w:rPr>
        <w:t>2. Index test</w:t>
      </w:r>
    </w:p>
    <w:p>
      <w:r>
        <w:t xml:space="preserve">Hemoglyph </w:t>
      </w:r>
      <w:r>
        <w:rPr>
          <w:rFonts w:ascii="Courier New" w:hAnsi="Courier New" w:eastAsia="Courier New" w:cs="Courier New"/>
          <w:color w:val="000000"/>
          <w:sz w:val="22"/>
        </w:rPr>
        <w:t>ClinicalRuleEngine.interpret(observations, None, patient)</w:t>
      </w:r>
      <w:r>
        <w:t xml:space="preserve"> with the ranked</w:t>
      </w:r>
    </w:p>
    <w:p>
      <w:r>
        <w:t>differential (list length 40 in evaluation, 15 in the UI), probabilities, evidence state,</w:t>
      </w:r>
    </w:p>
    <w:p>
      <w:r>
        <w:t>expert-syndrome hits and critical alerts. Inputs: all laboratory analytes available in the</w:t>
      </w:r>
    </w:p>
    <w:p>
      <w:r>
        <w:t>pre-specified window in the dataset's native units, plus age, sex, pregnancy and, where the</w:t>
      </w:r>
    </w:p>
    <w:p>
      <w:r>
        <w:t>dataset provides them, medications. No free text, no vital signs, no imaging.</w:t>
      </w:r>
    </w:p>
    <w:p>
      <w:pPr>
        <w:pStyle w:val="Heading2"/>
      </w:pPr>
      <w:r>
        <w:rPr>
          <w:rFonts w:ascii="Times New Roman" w:hAnsi="Times New Roman" w:eastAsia="Times New Roman" w:cs="Times New Roman"/>
          <w:b/>
          <w:i w:val="0"/>
          <w:color w:val="000000"/>
        </w:rPr>
        <w:t>3. Datasets and roles</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268"/>
            <w:shd w:val="clear" w:fill="F2F2F2"/>
          </w:tcPr>
          <w:p>
            <w:pPr>
              <w:spacing w:line="240" w:lineRule="auto" w:after="0" w:before="0"/>
            </w:pPr>
            <w:r>
              <w:rPr>
                <w:b/>
              </w:rPr>
            </w:r>
            <w:r>
              <w:rPr>
                <w:b/>
                <w:sz w:val="16"/>
              </w:rPr>
              <w:t>Dataset</w:t>
            </w:r>
          </w:p>
        </w:tc>
        <w:tc>
          <w:tcPr>
            <w:tcW w:type="dxa" w:w="2268"/>
            <w:shd w:val="clear" w:fill="F2F2F2"/>
          </w:tcPr>
          <w:p>
            <w:pPr>
              <w:spacing w:line="240" w:lineRule="auto" w:after="0" w:before="0"/>
            </w:pPr>
            <w:r>
              <w:rPr>
                <w:b/>
              </w:rPr>
            </w:r>
            <w:r>
              <w:rPr>
                <w:b/>
                <w:sz w:val="16"/>
              </w:rPr>
              <w:t>Role</w:t>
            </w:r>
          </w:p>
        </w:tc>
        <w:tc>
          <w:tcPr>
            <w:tcW w:type="dxa" w:w="2268"/>
            <w:shd w:val="clear" w:fill="F2F2F2"/>
          </w:tcPr>
          <w:p>
            <w:pPr>
              <w:spacing w:line="240" w:lineRule="auto" w:after="0" w:before="0"/>
            </w:pPr>
            <w:r>
              <w:rPr>
                <w:b/>
              </w:rPr>
            </w:r>
            <w:r>
              <w:rPr>
                <w:b/>
                <w:sz w:val="16"/>
              </w:rPr>
              <w:t>Window</w:t>
            </w:r>
          </w:p>
        </w:tc>
        <w:tc>
          <w:tcPr>
            <w:tcW w:type="dxa" w:w="2268"/>
            <w:shd w:val="clear" w:fill="F2F2F2"/>
          </w:tcPr>
          <w:p>
            <w:pPr>
              <w:spacing w:line="240" w:lineRule="auto" w:after="0" w:before="0"/>
            </w:pPr>
            <w:r>
              <w:rPr>
                <w:b/>
              </w:rPr>
            </w:r>
            <w:r>
              <w:rPr>
                <w:b/>
                <w:sz w:val="16"/>
              </w:rPr>
              <w:t>Reference standard</w:t>
            </w:r>
          </w:p>
        </w:tc>
      </w:tr>
      <w:tr>
        <w:trPr>
          <w:cantSplit/>
        </w:trPr>
        <w:tc>
          <w:tcPr>
            <w:tcW w:type="dxa" w:w="2268"/>
          </w:tcPr>
          <w:p>
            <w:pPr>
              <w:spacing w:line="240" w:lineRule="auto" w:after="0" w:before="0"/>
            </w:pPr>
            <w:r/>
            <w:r>
              <w:rPr>
                <w:sz w:val="16"/>
              </w:rPr>
              <w:t>MIMIC-IV demo v2.2 (n=235 adm.)</w:t>
            </w:r>
          </w:p>
        </w:tc>
        <w:tc>
          <w:tcPr>
            <w:tcW w:type="dxa" w:w="2268"/>
          </w:tcPr>
          <w:p>
            <w:pPr>
              <w:spacing w:line="240" w:lineRule="auto" w:after="0" w:before="0"/>
            </w:pPr>
            <w:r/>
            <w:r>
              <w:rPr>
                <w:b/>
                <w:sz w:val="16"/>
              </w:rPr>
              <w:t>development</w:t>
            </w:r>
            <w:r>
              <w:rPr>
                <w:sz w:val="16"/>
              </w:rPr>
              <w:t xml:space="preserve"> (error analysis 2026-10-21; fixes applied)</w:t>
            </w:r>
          </w:p>
        </w:tc>
        <w:tc>
          <w:tcPr>
            <w:tcW w:type="dxa" w:w="2268"/>
          </w:tcPr>
          <w:p>
            <w:pPr>
              <w:spacing w:line="240" w:lineRule="auto" w:after="0" w:before="0"/>
            </w:pPr>
            <w:r/>
            <w:r>
              <w:rPr>
                <w:sz w:val="16"/>
              </w:rPr>
              <w:t>−6 h..+24 h of admission</w:t>
            </w:r>
          </w:p>
        </w:tc>
        <w:tc>
          <w:tcPr>
            <w:tcW w:type="dxa" w:w="2268"/>
          </w:tcPr>
          <w:p>
            <w:pPr>
              <w:spacing w:line="240" w:lineRule="auto" w:after="0" w:before="0"/>
            </w:pPr>
            <w:r/>
            <w:r>
              <w:rPr>
                <w:sz w:val="16"/>
              </w:rPr>
              <w:t>ICD-9/10 discharge codes</w:t>
            </w:r>
          </w:p>
        </w:tc>
      </w:tr>
      <w:tr>
        <w:trPr>
          <w:cantSplit/>
        </w:trPr>
        <w:tc>
          <w:tcPr>
            <w:tcW w:type="dxa" w:w="2268"/>
          </w:tcPr>
          <w:p>
            <w:pPr>
              <w:spacing w:line="240" w:lineRule="auto" w:after="0" w:before="0"/>
            </w:pPr>
            <w:r/>
            <w:r>
              <w:rPr>
                <w:sz w:val="16"/>
              </w:rPr>
              <w:t>UCI HCV (n=615)</w:t>
            </w:r>
          </w:p>
        </w:tc>
        <w:tc>
          <w:tcPr>
            <w:tcW w:type="dxa" w:w="2268"/>
          </w:tcPr>
          <w:p>
            <w:pPr>
              <w:spacing w:line="240" w:lineRule="auto" w:after="0" w:before="0"/>
            </w:pPr>
            <w:r/>
            <w:r>
              <w:rPr>
                <w:sz w:val="16"/>
              </w:rPr>
              <w:t xml:space="preserve">held-out (run before freeze; archived as </w:t>
            </w:r>
            <w:r>
              <w:rPr>
                <w:rFonts w:ascii="Courier New" w:hAnsi="Courier New" w:eastAsia="Courier New" w:cs="Courier New"/>
                <w:color w:val="000000"/>
                <w:sz w:val="16"/>
              </w:rPr>
              <w:t>uci_hcv_v1_before_fixes</w:t>
            </w:r>
            <w:r>
              <w:rPr>
                <w:sz w:val="16"/>
              </w:rPr>
              <w:t>; re-run after freeze)</w:t>
            </w:r>
          </w:p>
        </w:tc>
        <w:tc>
          <w:tcPr>
            <w:tcW w:type="dxa" w:w="2268"/>
          </w:tcPr>
          <w:p>
            <w:pPr>
              <w:spacing w:line="240" w:lineRule="auto" w:after="0" w:before="0"/>
            </w:pPr>
            <w:r/>
            <w:r>
              <w:rPr>
                <w:sz w:val="16"/>
              </w:rPr>
              <w:t>single panel</w:t>
            </w:r>
          </w:p>
        </w:tc>
        <w:tc>
          <w:tcPr>
            <w:tcW w:type="dxa" w:w="2268"/>
          </w:tcPr>
          <w:p>
            <w:pPr>
              <w:spacing w:line="240" w:lineRule="auto" w:after="0" w:before="0"/>
            </w:pPr>
            <w:r/>
            <w:r>
              <w:rPr>
                <w:sz w:val="16"/>
              </w:rPr>
              <w:t>source-lab class</w:t>
            </w:r>
          </w:p>
        </w:tc>
      </w:tr>
      <w:tr>
        <w:trPr>
          <w:cantSplit/>
        </w:trPr>
        <w:tc>
          <w:tcPr>
            <w:tcW w:type="dxa" w:w="2268"/>
          </w:tcPr>
          <w:p>
            <w:pPr>
              <w:spacing w:line="240" w:lineRule="auto" w:after="0" w:before="0"/>
            </w:pPr>
            <w:r/>
            <w:r>
              <w:rPr>
                <w:sz w:val="16"/>
              </w:rPr>
              <w:t>NHANES 2017–18 (adults, random 3,000)</w:t>
            </w:r>
          </w:p>
        </w:tc>
        <w:tc>
          <w:tcPr>
            <w:tcW w:type="dxa" w:w="2268"/>
          </w:tcPr>
          <w:p>
            <w:pPr>
              <w:spacing w:line="240" w:lineRule="auto" w:after="0" w:before="0"/>
            </w:pPr>
            <w:r/>
            <w:r>
              <w:rPr>
                <w:sz w:val="16"/>
              </w:rPr>
              <w:t>held-out</w:t>
            </w:r>
          </w:p>
        </w:tc>
        <w:tc>
          <w:tcPr>
            <w:tcW w:type="dxa" w:w="2268"/>
          </w:tcPr>
          <w:p>
            <w:pPr>
              <w:spacing w:line="240" w:lineRule="auto" w:after="0" w:before="0"/>
            </w:pPr>
            <w:r/>
            <w:r>
              <w:rPr>
                <w:sz w:val="16"/>
              </w:rPr>
              <w:t>single exam</w:t>
            </w:r>
          </w:p>
        </w:tc>
        <w:tc>
          <w:tcPr>
            <w:tcW w:type="dxa" w:w="2268"/>
          </w:tcPr>
          <w:p>
            <w:pPr>
              <w:spacing w:line="240" w:lineRule="auto" w:after="0" w:before="0"/>
            </w:pPr>
            <w:r/>
            <w:r>
              <w:rPr>
                <w:sz w:val="16"/>
              </w:rPr>
              <w:t>guideline lab definitions + self-reported physician diagnosis</w:t>
            </w:r>
          </w:p>
        </w:tc>
      </w:tr>
      <w:tr>
        <w:trPr>
          <w:cantSplit/>
        </w:trPr>
        <w:tc>
          <w:tcPr>
            <w:tcW w:type="dxa" w:w="2268"/>
          </w:tcPr>
          <w:p>
            <w:pPr>
              <w:spacing w:line="240" w:lineRule="auto" w:after="0" w:before="0"/>
            </w:pPr>
            <w:r/>
            <w:r>
              <w:rPr>
                <w:sz w:val="16"/>
              </w:rPr>
              <w:t>UCI Thyroid thyroid0387 (n≈7,000 with TSH)</w:t>
            </w:r>
          </w:p>
        </w:tc>
        <w:tc>
          <w:tcPr>
            <w:tcW w:type="dxa" w:w="2268"/>
          </w:tcPr>
          <w:p>
            <w:pPr>
              <w:spacing w:line="240" w:lineRule="auto" w:after="0" w:before="0"/>
            </w:pPr>
            <w:r/>
            <w:r>
              <w:rPr>
                <w:sz w:val="16"/>
              </w:rPr>
              <w:t>held-out</w:t>
            </w:r>
          </w:p>
        </w:tc>
        <w:tc>
          <w:tcPr>
            <w:tcW w:type="dxa" w:w="2268"/>
          </w:tcPr>
          <w:p>
            <w:pPr>
              <w:spacing w:line="240" w:lineRule="auto" w:after="0" w:before="0"/>
            </w:pPr>
            <w:r/>
            <w:r>
              <w:rPr>
                <w:sz w:val="16"/>
              </w:rPr>
              <w:t>single panel</w:t>
            </w:r>
          </w:p>
        </w:tc>
        <w:tc>
          <w:tcPr>
            <w:tcW w:type="dxa" w:w="2268"/>
          </w:tcPr>
          <w:p>
            <w:pPr>
              <w:spacing w:line="240" w:lineRule="auto" w:after="0" w:before="0"/>
            </w:pPr>
            <w:r/>
            <w:r>
              <w:rPr>
                <w:sz w:val="16"/>
              </w:rPr>
              <w:t>clinician diagnosis letters</w:t>
            </w:r>
          </w:p>
        </w:tc>
      </w:tr>
      <w:tr>
        <w:trPr>
          <w:cantSplit/>
        </w:trPr>
        <w:tc>
          <w:tcPr>
            <w:tcW w:type="dxa" w:w="2268"/>
          </w:tcPr>
          <w:p>
            <w:pPr>
              <w:spacing w:line="240" w:lineRule="auto" w:after="0" w:before="0"/>
            </w:pPr>
            <w:r/>
            <w:r>
              <w:rPr>
                <w:sz w:val="16"/>
              </w:rPr>
              <w:t>ILPD (n=583)</w:t>
            </w:r>
          </w:p>
        </w:tc>
        <w:tc>
          <w:tcPr>
            <w:tcW w:type="dxa" w:w="2268"/>
          </w:tcPr>
          <w:p>
            <w:pPr>
              <w:spacing w:line="240" w:lineRule="auto" w:after="0" w:before="0"/>
            </w:pPr>
            <w:r/>
            <w:r>
              <w:rPr>
                <w:sz w:val="16"/>
              </w:rPr>
              <w:t>held-out, stress test</w:t>
            </w:r>
          </w:p>
        </w:tc>
        <w:tc>
          <w:tcPr>
            <w:tcW w:type="dxa" w:w="2268"/>
          </w:tcPr>
          <w:p>
            <w:pPr>
              <w:spacing w:line="240" w:lineRule="auto" w:after="0" w:before="0"/>
            </w:pPr>
            <w:r/>
            <w:r>
              <w:rPr>
                <w:sz w:val="16"/>
              </w:rPr>
              <w:t>single panel</w:t>
            </w:r>
          </w:p>
        </w:tc>
        <w:tc>
          <w:tcPr>
            <w:tcW w:type="dxa" w:w="2268"/>
          </w:tcPr>
          <w:p>
            <w:pPr>
              <w:spacing w:line="240" w:lineRule="auto" w:after="0" w:before="0"/>
            </w:pPr>
            <w:r/>
            <w:r>
              <w:rPr>
                <w:sz w:val="16"/>
              </w:rPr>
              <w:t>clinic label</w:t>
            </w:r>
          </w:p>
        </w:tc>
      </w:tr>
      <w:tr>
        <w:trPr>
          <w:cantSplit/>
        </w:trPr>
        <w:tc>
          <w:tcPr>
            <w:tcW w:type="dxa" w:w="2268"/>
          </w:tcPr>
          <w:p>
            <w:pPr>
              <w:spacing w:line="240" w:lineRule="auto" w:after="0" w:before="0"/>
            </w:pPr>
            <w:r/>
            <w:r>
              <w:rPr>
                <w:sz w:val="16"/>
              </w:rPr>
              <w:t>eICU-CRD demo v2.0.1 (≈2,000 stays, 186 hospitals)</w:t>
            </w:r>
          </w:p>
        </w:tc>
        <w:tc>
          <w:tcPr>
            <w:tcW w:type="dxa" w:w="2268"/>
          </w:tcPr>
          <w:p>
            <w:pPr>
              <w:spacing w:line="240" w:lineRule="auto" w:after="0" w:before="0"/>
            </w:pPr>
            <w:r/>
            <w:r>
              <w:rPr>
                <w:sz w:val="16"/>
              </w:rPr>
              <w:t xml:space="preserve">held-out, </w:t>
            </w:r>
            <w:r>
              <w:rPr>
                <w:b/>
                <w:sz w:val="16"/>
              </w:rPr>
              <w:t>multi-centre</w:t>
            </w:r>
          </w:p>
        </w:tc>
        <w:tc>
          <w:tcPr>
            <w:tcW w:type="dxa" w:w="2268"/>
          </w:tcPr>
          <w:p>
            <w:pPr>
              <w:spacing w:line="240" w:lineRule="auto" w:after="0" w:before="0"/>
            </w:pPr>
            <w:r/>
            <w:r>
              <w:rPr>
                <w:sz w:val="16"/>
              </w:rPr>
              <w:t>−6 h..+24 h of ICU admission</w:t>
            </w:r>
          </w:p>
        </w:tc>
        <w:tc>
          <w:tcPr>
            <w:tcW w:type="dxa" w:w="2268"/>
          </w:tcPr>
          <w:p>
            <w:pPr>
              <w:spacing w:line="240" w:lineRule="auto" w:after="0" w:before="0"/>
            </w:pPr>
            <w:r/>
            <w:r>
              <w:rPr>
                <w:sz w:val="16"/>
              </w:rPr>
              <w:t>ICU clinician problem list</w:t>
            </w:r>
          </w:p>
        </w:tc>
      </w:tr>
      <w:tr>
        <w:trPr>
          <w:cantSplit/>
        </w:trPr>
        <w:tc>
          <w:tcPr>
            <w:tcW w:type="dxa" w:w="2268"/>
          </w:tcPr>
          <w:p>
            <w:pPr>
              <w:spacing w:line="240" w:lineRule="auto" w:after="0" w:before="0"/>
            </w:pPr>
            <w:r/>
            <w:r>
              <w:rPr>
                <w:sz w:val="16"/>
              </w:rPr>
              <w:t>MIMIC-IV v3.1 full / eICU-CRD full</w:t>
            </w:r>
          </w:p>
        </w:tc>
        <w:tc>
          <w:tcPr>
            <w:tcW w:type="dxa" w:w="2268"/>
          </w:tcPr>
          <w:p>
            <w:pPr>
              <w:spacing w:line="240" w:lineRule="auto" w:after="0" w:before="0"/>
            </w:pPr>
            <w:r/>
            <w:r>
              <w:rPr>
                <w:sz w:val="16"/>
              </w:rPr>
              <w:t>confirmatory (credentialed; pending)</w:t>
            </w:r>
          </w:p>
        </w:tc>
        <w:tc>
          <w:tcPr>
            <w:tcW w:type="dxa" w:w="2268"/>
          </w:tcPr>
          <w:p>
            <w:pPr>
              <w:spacing w:line="240" w:lineRule="auto" w:after="0" w:before="0"/>
            </w:pPr>
            <w:r/>
            <w:r>
              <w:rPr>
                <w:sz w:val="16"/>
              </w:rPr>
              <w:t>as above</w:t>
            </w:r>
          </w:p>
        </w:tc>
        <w:tc>
          <w:tcPr>
            <w:tcW w:type="dxa" w:w="2268"/>
          </w:tcPr>
          <w:p>
            <w:pPr>
              <w:spacing w:line="240" w:lineRule="auto" w:after="0" w:before="0"/>
            </w:pPr>
            <w:r/>
            <w:r>
              <w:rPr>
                <w:sz w:val="16"/>
              </w:rPr>
              <w:t>ICD + adjudication subsample</w:t>
            </w:r>
          </w:p>
        </w:tc>
      </w:tr>
    </w:tbl>
    <w:p/>
    <w:p>
      <w:pPr>
        <w:pStyle w:val="Heading2"/>
      </w:pPr>
      <w:r>
        <w:rPr>
          <w:rFonts w:ascii="Times New Roman" w:hAnsi="Times New Roman" w:eastAsia="Times New Roman" w:cs="Times New Roman"/>
          <w:b/>
          <w:i w:val="0"/>
          <w:color w:val="000000"/>
        </w:rPr>
        <w:t>4. Endpoints</w:t>
      </w:r>
    </w:p>
    <w:p>
      <w:r>
        <w:t>Primary (per cohort with multi-label clinical labels — eICU demo, MIMIC full):</w:t>
      </w:r>
    </w:p>
    <w:p>
      <w:r>
        <w:t>P1 Recall@5 of listed/coded lab-detectable diagnoses whose key analyte was measured.</w:t>
      </w:r>
    </w:p>
    <w:p>
      <w:r>
        <w:t>Secondary:</w:t>
      </w:r>
    </w:p>
    <w:p>
      <w:r>
        <w:t>S1 Recall@3 / Recall@10; S2 per-group AUROC (listed vs. not listed, key analyte measured);</w:t>
      </w:r>
    </w:p>
    <w:p>
      <w:r>
        <w:t>S3 chart-support precision of outputs with p ≥ 0.7; S4 calibration (reliability diagram, ECE,</w:t>
      </w:r>
    </w:p>
    <w:p>
      <w:r>
        <w:t>slope/intercept of logistic recalibration) on group-level probabilities; S5 critical-value</w:t>
      </w:r>
    </w:p>
    <w:p>
      <w:r>
        <w:t>safety: proportion of stays with K ≥ 6.5, Na ≤ 120/≥ 160, glucose ≤ 50, Ca ≥ 14, lactate ≥ 4,</w:t>
      </w:r>
    </w:p>
    <w:p>
      <w:r>
        <w:t>pH ≤ 7.20, Hb ≤ 6, PLT ≤ 20, WBC ≥ 100 in which the corresponding entity appears in</w:t>
      </w:r>
    </w:p>
    <w:p>
      <w:r>
        <w:rPr>
          <w:rFonts w:ascii="Courier New" w:hAnsi="Courier New" w:eastAsia="Courier New" w:cs="Courier New"/>
          <w:color w:val="000000"/>
          <w:sz w:val="22"/>
        </w:rPr>
        <w:t>critical_alerts</w:t>
      </w:r>
      <w:r>
        <w:t xml:space="preserve"> or top-5 (target: 100%; report misses with Wilson CI); S6 latency.</w:t>
      </w:r>
    </w:p>
    <w:p>
      <w:r>
        <w:t>Single-task cohorts (HCV, NHANES, thyroid, ILPD): AUROC with 95% bootstrap CI (2,000 draws),</w:t>
      </w:r>
    </w:p>
    <w:p>
      <w:r>
        <w:t>sensitivity and specificity at the fixed operating point p = 0.5, and the healthy</w:t>
      </w:r>
    </w:p>
    <w:p>
      <w:r>
        <w:t>false-assertion rate (NHANES T8).</w:t>
      </w:r>
    </w:p>
    <w:p>
      <w:pPr>
        <w:pStyle w:val="Heading2"/>
      </w:pPr>
      <w:r>
        <w:rPr>
          <w:rFonts w:ascii="Times New Roman" w:hAnsi="Times New Roman" w:eastAsia="Times New Roman" w:cs="Times New Roman"/>
          <w:b/>
          <w:i w:val="0"/>
          <w:color w:val="000000"/>
        </w:rPr>
        <w:t>5. Pre-specified task definitions</w:t>
      </w:r>
    </w:p>
    <w:p>
      <w:r>
        <w:t>As written in the docstring of each script (</w:t>
      </w:r>
      <w:r>
        <w:rPr>
          <w:rFonts w:ascii="Courier New" w:hAnsi="Courier New" w:eastAsia="Courier New" w:cs="Courier New"/>
          <w:color w:val="000000"/>
          <w:sz w:val="22"/>
        </w:rPr>
        <w:t>eval/realdata/eval_*.py</w:t>
      </w:r>
      <w:r>
        <w:t xml:space="preserve">, </w:t>
      </w:r>
      <w:r>
        <w:rPr>
          <w:rFonts w:ascii="Courier New" w:hAnsi="Courier New" w:eastAsia="Courier New" w:cs="Courier New"/>
          <w:color w:val="000000"/>
          <w:sz w:val="22"/>
        </w:rPr>
        <w:t>eval/mimic/*.py</w:t>
      </w:r>
      <w:r>
        <w:t>) at</w:t>
      </w:r>
    </w:p>
    <w:p>
      <w:r>
        <w:t>the time of registration; the scripts are part of the registered material.</w:t>
      </w:r>
    </w:p>
    <w:p>
      <w:pPr>
        <w:pStyle w:val="Heading2"/>
      </w:pPr>
      <w:r>
        <w:rPr>
          <w:rFonts w:ascii="Times New Roman" w:hAnsi="Times New Roman" w:eastAsia="Times New Roman" w:cs="Times New Roman"/>
          <w:b/>
          <w:i w:val="0"/>
          <w:color w:val="000000"/>
        </w:rPr>
        <w:t>6. Analysis populations</w:t>
      </w:r>
    </w:p>
    <w:p>
      <w:r>
        <w:t>Adults ≥ 18 y; ≥ 8 analytes in window (ICU cohorts); pregnancy excluded in NHANES; a labelled</w:t>
      </w:r>
    </w:p>
    <w:p>
      <w:r>
        <w:t>group is evaluable only if its key analyte was measured. No imputation. No survey weights.</w:t>
      </w:r>
    </w:p>
    <w:p>
      <w:pPr>
        <w:pStyle w:val="Heading2"/>
      </w:pPr>
      <w:r>
        <w:rPr>
          <w:rFonts w:ascii="Times New Roman" w:hAnsi="Times New Roman" w:eastAsia="Times New Roman" w:cs="Times New Roman"/>
          <w:b/>
          <w:i w:val="0"/>
          <w:color w:val="000000"/>
        </w:rPr>
        <w:t>7. Statistics</w:t>
      </w:r>
    </w:p>
    <w:p>
      <w:r>
        <w:t>Wilson 95% CI for proportions; percentile bootstrap for AUROC; DeLong test for AUROC</w:t>
      </w:r>
    </w:p>
    <w:p>
      <w:r>
        <w:t>comparisons against baselines (§8); Hosmer–Lemeshow not used (ECE with 10 equal-mass bins</w:t>
      </w:r>
    </w:p>
    <w:p>
      <w:r>
        <w:t>instead). No multiplicity adjustment (descriptive accuracy study); all pre-specified endpoints</w:t>
      </w:r>
    </w:p>
    <w:p>
      <w:r>
        <w:t>are reported regardless of result. Subgroups: sex, age (&lt;65/≥65), hospital (eICU), unit system.</w:t>
      </w:r>
    </w:p>
    <w:p>
      <w:pPr>
        <w:pStyle w:val="Heading2"/>
      </w:pPr>
      <w:r>
        <w:rPr>
          <w:rFonts w:ascii="Times New Roman" w:hAnsi="Times New Roman" w:eastAsia="Times New Roman" w:cs="Times New Roman"/>
          <w:b/>
          <w:i w:val="0"/>
          <w:color w:val="000000"/>
        </w:rPr>
        <w:t>8. Baselines (to be run on identical inputs, after the freeze)</w:t>
      </w:r>
    </w:p>
    <w:p>
      <w:r>
        <w:t>B1 reference-range flagging + published single-analyte decision rules; B2 LightGBM per group</w:t>
      </w:r>
    </w:p>
    <w:p>
      <w:r>
        <w:t>trained on the MIMIC-IV development split (where available); B3 two general LLMs zero-shot</w:t>
      </w:r>
    </w:p>
    <w:p>
      <w:r>
        <w:t>with a fixed prompt (model names/versions recorded; outputs parsed to entity ids; cost and</w:t>
      </w:r>
    </w:p>
    <w:p>
      <w:r>
        <w:t>latency recorded). Comparison endpoint: Recall@5 and AUROC per group.</w:t>
      </w:r>
    </w:p>
    <w:p>
      <w:pPr>
        <w:pStyle w:val="Heading2"/>
      </w:pPr>
      <w:r>
        <w:rPr>
          <w:rFonts w:ascii="Times New Roman" w:hAnsi="Times New Roman" w:eastAsia="Times New Roman" w:cs="Times New Roman"/>
          <w:b/>
          <w:i w:val="0"/>
          <w:color w:val="000000"/>
        </w:rPr>
        <w:t>9. Amendments</w:t>
      </w:r>
    </w:p>
    <w:p>
      <w:r>
        <w:t>(none)</w:t>
      </w:r>
    </w:p>
    <w:p>
      <w:pPr>
        <w:pStyle w:val="Heading2"/>
      </w:pPr>
      <w:r>
        <w:rPr>
          <w:rFonts w:ascii="Times New Roman" w:hAnsi="Times New Roman" w:eastAsia="Times New Roman" w:cs="Times New Roman"/>
          <w:b/>
          <w:i w:val="0"/>
          <w:color w:val="000000"/>
        </w:rPr>
        <w:t>10. Deviations already known at registration</w:t>
      </w:r>
    </w:p>
    <w:p>
      <w:pPr>
        <w:pStyle w:val="ListBullet"/>
        <w:spacing w:after="40"/>
      </w:pPr>
      <w:r>
        <w:t>MIMIC-IV demo was used for error analysis; all engine changes made as a result are listed in</w:t>
      </w:r>
    </w:p>
    <w:p>
      <w:r>
        <w:t xml:space="preserve">  the HARDENING changelog (summary file removed 2026-10-23; metrics retained in </w:t>
      </w:r>
      <w:r>
        <w:rPr>
          <w:rFonts w:ascii="Courier New" w:hAnsi="Courier New" w:eastAsia="Courier New" w:cs="Courier New"/>
          <w:color w:val="000000"/>
          <w:sz w:val="22"/>
        </w:rPr>
        <w:t>eval/results/frozen_v1_20261021/</w:t>
      </w:r>
      <w:r>
        <w:t>). Its metrics</w:t>
      </w:r>
    </w:p>
    <w:p>
      <w:r>
        <w:t xml:space="preserve">  are reported as development-set metrics.</w:t>
      </w:r>
    </w:p>
    <w:p>
      <w:pPr>
        <w:pStyle w:val="ListBullet"/>
        <w:spacing w:after="40"/>
      </w:pPr>
      <w:r>
        <w:t>UCI HCV was run once before four engine changes (insufficient-evidence ceiling, ESL</w:t>
      </w:r>
    </w:p>
    <w:p>
      <w:r>
        <w:t xml:space="preserve">  primary protection, ESL mild-tier removal, list-length parameter); both runs are reported.</w:t>
      </w:r>
    </w:p>
    <w:p>
      <w:pPr>
        <w:pStyle w:val="Heading2"/>
      </w:pPr>
      <w:r>
        <w:rPr>
          <w:rFonts w:ascii="Times New Roman" w:hAnsi="Times New Roman" w:eastAsia="Times New Roman" w:cs="Times New Roman"/>
          <w:b/>
          <w:i w:val="0"/>
          <w:color w:val="000000"/>
        </w:rPr>
        <w:t>Amendment 2 (2026-10-21) — ESL extension 5 after held-out error analysis</w:t>
      </w:r>
    </w:p>
    <w:p>
      <w:r>
        <w:t>The v1 engine (hash above) was frozen on 2026-10-21 and run unchanged on eICU-CRD demo,</w:t>
      </w:r>
    </w:p>
    <w:p>
      <w:r>
        <w:t xml:space="preserve">UCI HCV, ILPD, UCI thyroid0387 and NHANES 2017–18.  Error analysis of those </w:t>
      </w:r>
      <w:r>
        <w:rPr>
          <w:b/>
        </w:rPr>
        <w:t>held-out</w:t>
      </w:r>
      <w:r>
        <w:t xml:space="preserve"> runs</w:t>
      </w:r>
    </w:p>
    <w:p>
      <w:r>
        <w:t>(not of the development set) identified five safety/coverage defects:</w:t>
      </w:r>
    </w:p>
    <w:p>
      <w:r>
        <w:t>1. platelets ≤ 20 ×10⁹/L in top-5 only 25 % (eICU S5);</w:t>
      </w:r>
    </w:p>
    <w:p>
      <w:r>
        <w:t xml:space="preserve">2. WBC 470 ×10⁹/L → </w:t>
      </w:r>
      <w:r>
        <w:rPr>
          <w:rFonts w:ascii="Courier New" w:hAnsi="Courier New" w:eastAsia="Courier New" w:cs="Courier New"/>
          <w:color w:val="000000"/>
          <w:sz w:val="22"/>
        </w:rPr>
        <w:t>nephrotic_syndrome</w:t>
      </w:r>
      <w:r>
        <w:t xml:space="preserve"> top-1 (no hyperleukocytosis anchor);</w:t>
      </w:r>
    </w:p>
    <w:p>
      <w:r>
        <w:t>3. Hb 4.1 g/dL absent from top-5; INR 8.5 absent from top-5 (no coagulopathy anchor);</w:t>
      </w:r>
    </w:p>
    <w:p>
      <w:r>
        <w:t>4. pH 7.18 with HCO₃ 34 (acute hypercapnic acidaemia) absent from top-5;</w:t>
      </w:r>
    </w:p>
    <w:p>
      <w:r>
        <w:t xml:space="preserve">5. overt hyperthyroidism reported with </w:t>
      </w:r>
      <w:r>
        <w:rPr>
          <w:i/>
        </w:rPr>
        <w:t>total</w:t>
      </w:r>
      <w:r>
        <w:t xml:space="preserve"> T4 (UCI thyroid0387) scored ≤ 0.44; urate &gt; 7 mg/dL</w:t>
      </w:r>
    </w:p>
    <w:p>
      <w:r>
        <w:t xml:space="preserve">   (NHANES) scored ≤ 0.34.</w:t>
      </w:r>
    </w:p>
    <w:p>
      <w:r>
        <w:t>These were fixed by one additive change (</w:t>
      </w:r>
      <w:r>
        <w:rPr>
          <w:rFonts w:ascii="Courier New" w:hAnsi="Courier New" w:eastAsia="Courier New" w:cs="Courier New"/>
          <w:color w:val="000000"/>
          <w:sz w:val="22"/>
        </w:rPr>
        <w:t>eval/patches/esl_ext5_20261021.py</w:t>
      </w:r>
      <w:r>
        <w:t>: 20 severity-tiered</w:t>
      </w:r>
    </w:p>
    <w:p>
      <w:r>
        <w:t xml:space="preserve">syndromes, two new group keys </w:t>
      </w:r>
      <w:r>
        <w:rPr>
          <w:rFonts w:ascii="Courier New" w:hAnsi="Courier New" w:eastAsia="Courier New" w:cs="Courier New"/>
          <w:color w:val="000000"/>
          <w:sz w:val="22"/>
        </w:rPr>
        <w:t>tt4</w:t>
      </w:r>
      <w:r>
        <w:t>/</w:t>
      </w:r>
      <w:r>
        <w:rPr>
          <w:rFonts w:ascii="Courier New" w:hAnsi="Courier New" w:eastAsia="Courier New" w:cs="Courier New"/>
          <w:color w:val="000000"/>
          <w:sz w:val="22"/>
        </w:rPr>
        <w:t>tt3</w:t>
      </w:r>
      <w:r>
        <w:t>, no change to rules, weights, registries or thresholds).</w:t>
      </w:r>
    </w:p>
    <w:p>
      <w:r>
        <w:t>Evaluator label maps were also extended with existing registry ids that had been omitted</w:t>
      </w:r>
    </w:p>
    <w:p>
      <w:r>
        <w:t>(</w:t>
      </w:r>
      <w:r>
        <w:rPr>
          <w:rFonts w:ascii="Courier New" w:hAnsi="Courier New" w:eastAsia="Courier New" w:cs="Courier New"/>
          <w:color w:val="000000"/>
          <w:sz w:val="22"/>
        </w:rPr>
        <w:t>leukocytosis_pattern</w:t>
      </w:r>
      <w:r>
        <w:t xml:space="preserve">, </w:t>
      </w:r>
      <w:r>
        <w:rPr>
          <w:rFonts w:ascii="Courier New" w:hAnsi="Courier New" w:eastAsia="Courier New" w:cs="Courier New"/>
          <w:color w:val="000000"/>
          <w:sz w:val="22"/>
        </w:rPr>
        <w:t>elevated_inr_pattern</w:t>
      </w:r>
      <w:r>
        <w:t xml:space="preserve">, </w:t>
      </w:r>
      <w:r>
        <w:rPr>
          <w:rFonts w:ascii="Courier New" w:hAnsi="Courier New" w:eastAsia="Courier New" w:cs="Courier New"/>
          <w:color w:val="000000"/>
          <w:sz w:val="22"/>
        </w:rPr>
        <w:t>pancytopenia</w:t>
      </w:r>
      <w:r>
        <w:t>, liver/vitamin-K coagulopathy ids).</w:t>
      </w:r>
    </w:p>
    <w:p>
      <w:r>
        <w:rPr>
          <w:b/>
        </w:rPr>
        <w:t>Reporting rule:</w:t>
      </w:r>
      <w:r>
        <w:t xml:space="preserve"> every held-out table in the manuscript reports </w:t>
      </w:r>
      <w:r>
        <w:rPr>
          <w:b/>
        </w:rPr>
        <w:t>both</w:t>
      </w:r>
      <w:r>
        <w:t xml:space="preserve"> v1 (pre-specified,</w:t>
      </w:r>
    </w:p>
    <w:p>
      <w:r>
        <w:t>frozen) and v2 (post-hoc, after one round of error analysis) side by side; v2 is labelled as</w:t>
      </w:r>
    </w:p>
    <w:p>
      <w:r>
        <w:t>post-hoc and the datasets used for the error analysis are named.  No further engine change will</w:t>
      </w:r>
    </w:p>
    <w:p>
      <w:r>
        <w:t>be made after the v2 freeze without a new amendment.  v1 outputs are archived under</w:t>
      </w:r>
    </w:p>
    <w:p>
      <w:r>
        <w:rPr>
          <w:rFonts w:ascii="Courier New" w:hAnsi="Courier New" w:eastAsia="Courier New" w:cs="Courier New"/>
          <w:color w:val="000000"/>
          <w:sz w:val="22"/>
        </w:rPr>
        <w:t>eval/results/frozen_v1_20261021/</w:t>
      </w:r>
      <w:r>
        <w:t xml:space="preserve"> and </w:t>
      </w:r>
      <w:r>
        <w:rPr>
          <w:rFonts w:ascii="Courier New" w:hAnsi="Courier New" w:eastAsia="Courier New" w:cs="Courier New"/>
          <w:color w:val="000000"/>
          <w:sz w:val="22"/>
        </w:rPr>
        <w:t>eval/results/eicu_demo_v1_frozen_origmap/</w:t>
      </w:r>
      <w:r>
        <w:t>.</w:t>
      </w:r>
    </w:p>
    <w:p>
      <w:pPr>
        <w:pStyle w:val="Heading2"/>
      </w:pPr>
      <w:r>
        <w:rPr>
          <w:rFonts w:ascii="Times New Roman" w:hAnsi="Times New Roman" w:eastAsia="Times New Roman" w:cs="Times New Roman"/>
          <w:b/>
          <w:i w:val="0"/>
          <w:color w:val="000000"/>
        </w:rPr>
        <w:t>Amendment 3 — engine v3 (ESL extension 6 + clinical-salience re-ranking), 2026-10-21</w:t>
      </w:r>
    </w:p>
    <w:p>
      <w:r>
        <w:rPr>
          <w:b/>
        </w:rPr>
        <w:t>Trigger.</w:t>
      </w:r>
      <w:r>
        <w:t xml:space="preserve"> A blind zero-shot LLM baseline (B3, n = 100 eICU-demo stays, same stays scored for the engine)</w:t>
      </w:r>
    </w:p>
    <w:p>
      <w:r>
        <w:t>reached recall@5 66.0 % vs 48.9 % for the pre-specified v1 engine. Error analysis of the 21 LLM-only hits</w:t>
      </w:r>
    </w:p>
    <w:p>
      <w:r>
        <w:t>showed that in 19/21 the correct entity was already present in the engine's differential at rank 6–15; the</w:t>
      </w:r>
    </w:p>
    <w:p>
      <w:r>
        <w:t xml:space="preserve">top-5 was occupied by family duplicates, derived </w:t>
      </w:r>
      <w:r>
        <w:rPr>
          <w:rFonts w:ascii="Courier New" w:hAnsi="Courier New" w:eastAsia="Courier New" w:cs="Courier New"/>
          <w:color w:val="000000"/>
          <w:sz w:val="22"/>
        </w:rPr>
        <w:t>co_*</w:t>
      </w:r>
      <w:r>
        <w:t xml:space="preserve"> pair patterns, flat single-electrolyte findings, or</w:t>
      </w:r>
    </w:p>
    <w:p>
      <w:r>
        <w:t>anchors firing in the wrong context. One real value (HCO3 1.7 mmol/L) was rejected by the plausibility floor.</w:t>
      </w:r>
    </w:p>
    <w:p>
      <w:r>
        <w:rPr>
          <w:b/>
        </w:rPr>
        <w:t>The guideline registry was not changed</w:t>
      </w:r>
      <w:r>
        <w:t>; the amendment is confined to the expert-syndrome layer and the</w:t>
      </w:r>
    </w:p>
    <w:p>
      <w:r>
        <w:t>ordering of the differential.</w:t>
      </w:r>
    </w:p>
    <w:p>
      <w:r>
        <w:rPr>
          <w:b/>
        </w:rPr>
        <w:t>Changes (all in `eval/patches/esl_ext6_ranking_20261021.py`, applied to `analyse_gidlines.py`):</w:t>
      </w:r>
    </w:p>
    <w:p>
      <w:r>
        <w:t xml:space="preserve">1. </w:t>
      </w:r>
      <w:r>
        <w:rPr>
          <w:rFonts w:ascii="Courier New" w:hAnsi="Courier New" w:eastAsia="Courier New" w:cs="Courier New"/>
          <w:color w:val="000000"/>
          <w:sz w:val="22"/>
        </w:rPr>
        <w:t>ABSOLUTE_LIMITS["bicarbonate"]</w:t>
      </w:r>
      <w:r>
        <w:t xml:space="preserve"> lower bound 2.0 → 0.5 mmol/L.</w:t>
      </w:r>
    </w:p>
    <w:p>
      <w:r>
        <w:t>2. Exclusions added: Gilbert anchor (glucose &gt; 250, pH &lt; 7.30, WBC &gt; 15, lactate &gt; 4, CRP &gt; 50, Cr &gt; 2.0, HCO3 &lt; 15);</w:t>
      </w:r>
    </w:p>
    <w:p>
      <w:r>
        <w:t xml:space="preserve">   RTA-4 anchor (Cr &gt; 1.8, BUN &gt; 40, lactate &gt; 4, glucose &gt; 400); toxic-alcohol anchor (glucose &gt; 300).</w:t>
      </w:r>
    </w:p>
    <w:p>
      <w:r>
        <w:t xml:space="preserve">3. New syndromes: </w:t>
      </w:r>
      <w:r>
        <w:rPr>
          <w:rFonts w:ascii="Courier New" w:hAnsi="Courier New" w:eastAsia="Courier New" w:cs="Courier New"/>
          <w:color w:val="000000"/>
          <w:sz w:val="22"/>
        </w:rPr>
        <w:t>mi_massive_troponin</w:t>
      </w:r>
      <w:r>
        <w:t xml:space="preserve"> (cTn &gt; 5000 ng/L, no CK veto), </w:t>
      </w:r>
      <w:r>
        <w:rPr>
          <w:rFonts w:ascii="Courier New" w:hAnsi="Courier New" w:eastAsia="Courier New" w:cs="Courier New"/>
          <w:color w:val="000000"/>
          <w:sz w:val="22"/>
        </w:rPr>
        <w:t>renal_failure_marked</w:t>
      </w:r>
      <w:r>
        <w:t xml:space="preserve"> (Cr ≥ 2.0) and</w:t>
      </w:r>
    </w:p>
    <w:p>
      <w:r>
        <w:t xml:space="preserve">   </w:t>
      </w:r>
      <w:r>
        <w:rPr>
          <w:rFonts w:ascii="Courier New" w:hAnsi="Courier New" w:eastAsia="Courier New" w:cs="Courier New"/>
          <w:color w:val="000000"/>
          <w:sz w:val="22"/>
        </w:rPr>
        <w:t>renal_failure_moderate</w:t>
      </w:r>
      <w:r>
        <w:t xml:space="preserve">, </w:t>
      </w:r>
      <w:r>
        <w:rPr>
          <w:rFonts w:ascii="Courier New" w:hAnsi="Courier New" w:eastAsia="Courier New" w:cs="Courier New"/>
          <w:color w:val="000000"/>
          <w:sz w:val="22"/>
        </w:rPr>
        <w:t>sepsis_bandemia</w:t>
      </w:r>
      <w:r>
        <w:t xml:space="preserve">, </w:t>
      </w:r>
      <w:r>
        <w:rPr>
          <w:rFonts w:ascii="Courier New" w:hAnsi="Courier New" w:eastAsia="Courier New" w:cs="Courier New"/>
          <w:color w:val="000000"/>
          <w:sz w:val="22"/>
        </w:rPr>
        <w:t>sepsis_marked_leukocytosis_organ</w:t>
      </w:r>
      <w:r>
        <w:t xml:space="preserve">, </w:t>
      </w:r>
      <w:r>
        <w:rPr>
          <w:rFonts w:ascii="Courier New" w:hAnsi="Courier New" w:eastAsia="Courier New" w:cs="Courier New"/>
          <w:color w:val="000000"/>
          <w:sz w:val="22"/>
        </w:rPr>
        <w:t>sepsis_sirs_two_organ</w:t>
      </w:r>
    </w:p>
    <w:p>
      <w:r>
        <w:t xml:space="preserve">   (pattern strength), </w:t>
      </w:r>
      <w:r>
        <w:rPr>
          <w:rFonts w:ascii="Courier New" w:hAnsi="Courier New" w:eastAsia="Courier New" w:cs="Courier New"/>
          <w:color w:val="000000"/>
          <w:sz w:val="22"/>
        </w:rPr>
        <w:t>dka_mild_ketones_unmeasured</w:t>
      </w:r>
      <w:r>
        <w:t xml:space="preserve"> (ADA/EASD 2024 mild tier), </w:t>
      </w:r>
      <w:r>
        <w:rPr>
          <w:rFonts w:ascii="Courier New" w:hAnsi="Courier New" w:eastAsia="Courier New" w:cs="Courier New"/>
          <w:color w:val="000000"/>
          <w:sz w:val="22"/>
        </w:rPr>
        <w:t>acute_hepatocellular_injury</w:t>
      </w:r>
    </w:p>
    <w:p>
      <w:r>
        <w:t xml:space="preserve">   (pattern; vetoed by aetiology-specific serology), guards </w:t>
      </w:r>
      <w:r>
        <w:rPr>
          <w:rFonts w:ascii="Courier New" w:hAnsi="Courier New" w:eastAsia="Courier New" w:cs="Courier New"/>
          <w:color w:val="000000"/>
          <w:sz w:val="22"/>
        </w:rPr>
        <w:t>ck_elevation_no_context_guard</w:t>
      </w:r>
      <w:r>
        <w:t xml:space="preserve"> and</w:t>
      </w:r>
    </w:p>
    <w:p>
      <w:r>
        <w:t xml:space="preserve">   </w:t>
      </w:r>
      <w:r>
        <w:rPr>
          <w:rFonts w:ascii="Courier New" w:hAnsi="Courier New" w:eastAsia="Courier New" w:cs="Courier New"/>
          <w:color w:val="000000"/>
          <w:sz w:val="22"/>
        </w:rPr>
        <w:t>pseudohypocalcemia_guard</w:t>
      </w:r>
      <w:r>
        <w:t xml:space="preserve">; </w:t>
      </w:r>
      <w:r>
        <w:rPr>
          <w:rFonts w:ascii="Courier New" w:hAnsi="Courier New" w:eastAsia="Courier New" w:cs="Courier New"/>
          <w:color w:val="000000"/>
          <w:sz w:val="22"/>
        </w:rPr>
        <w:t>hyperuricemia_female</w:t>
      </w:r>
      <w:r>
        <w:t xml:space="preserve"> now requires adult age + one co-finding.</w:t>
      </w:r>
    </w:p>
    <w:p>
      <w:r>
        <w:t>4. Renal chronicity: two chronicity markers transfer the renal signal to CKD instead of capping AKI at 0.75 × a</w:t>
      </w:r>
    </w:p>
    <w:p>
      <w:r>
        <w:t xml:space="preserve">   low CKD score (which deleted the renal entry altogether).</w:t>
      </w:r>
    </w:p>
    <w:p>
      <w:r>
        <w:t>5. Clinical-salience re-ranking of the differential (probabilities unchanged): tier 0 diseases/syndromes</w:t>
      </w:r>
    </w:p>
    <w:p>
      <w:r>
        <w:t xml:space="preserve">   (p ≥ 0.5); tier 1 low-salience single-analyte findings (p 0.5–0.75); tier 2 p &lt; 0.5; tier 3 </w:t>
      </w:r>
      <w:r>
        <w:rPr>
          <w:rFonts w:ascii="Courier New" w:hAnsi="Courier New" w:eastAsia="Courier New" w:cs="Courier New"/>
          <w:color w:val="000000"/>
          <w:sz w:val="22"/>
        </w:rPr>
        <w:t>co_*</w:t>
      </w:r>
      <w:r>
        <w:t xml:space="preserve"> pairs and</w:t>
      </w:r>
    </w:p>
    <w:p>
      <w:r>
        <w:t xml:space="preserve">   intra-family duplicates (child id = parent id + suffix; </w:t>
      </w:r>
      <w:r>
        <w:rPr>
          <w:rFonts w:ascii="Courier New" w:hAnsi="Courier New" w:eastAsia="Courier New" w:cs="Courier New"/>
          <w:color w:val="000000"/>
          <w:sz w:val="22"/>
        </w:rPr>
        <w:t>*_support_pattern</w:t>
      </w:r>
      <w:r>
        <w:t xml:space="preserve"> next to its base entity).</w:t>
      </w:r>
    </w:p>
    <w:p>
      <w:r>
        <w:t xml:space="preserve">6. eICU label map: </w:t>
      </w:r>
      <w:r>
        <w:rPr>
          <w:rFonts w:ascii="Courier New" w:hAnsi="Courier New" w:eastAsia="Courier New" w:cs="Courier New"/>
          <w:color w:val="000000"/>
          <w:sz w:val="22"/>
        </w:rPr>
        <w:t>heart_failure</w:t>
      </w:r>
      <w:r>
        <w:t xml:space="preserve"> group now also accepts the plain </w:t>
      </w:r>
      <w:r>
        <w:rPr>
          <w:rFonts w:ascii="Courier New" w:hAnsi="Courier New" w:eastAsia="Courier New" w:cs="Courier New"/>
          <w:color w:val="000000"/>
          <w:sz w:val="22"/>
        </w:rPr>
        <w:t>heart_failure</w:t>
      </w:r>
      <w:r>
        <w:t xml:space="preserve">, </w:t>
      </w:r>
      <w:r>
        <w:rPr>
          <w:rFonts w:ascii="Courier New" w:hAnsi="Courier New" w:eastAsia="Courier New" w:cs="Courier New"/>
          <w:color w:val="000000"/>
          <w:sz w:val="22"/>
        </w:rPr>
        <w:t>acute_heart_failure</w:t>
      </w:r>
      <w:r>
        <w:t>,</w:t>
      </w:r>
    </w:p>
    <w:p>
      <w:r>
        <w:t xml:space="preserve">   </w:t>
      </w:r>
      <w:r>
        <w:rPr>
          <w:rFonts w:ascii="Courier New" w:hAnsi="Courier New" w:eastAsia="Courier New" w:cs="Courier New"/>
          <w:color w:val="000000"/>
          <w:sz w:val="22"/>
        </w:rPr>
        <w:t>chronic_heart_failure</w:t>
      </w:r>
      <w:r>
        <w:t xml:space="preserve">, </w:t>
      </w:r>
      <w:r>
        <w:rPr>
          <w:rFonts w:ascii="Courier New" w:hAnsi="Courier New" w:eastAsia="Courier New" w:cs="Courier New"/>
          <w:color w:val="000000"/>
          <w:sz w:val="22"/>
        </w:rPr>
        <w:t>cardiorenal_syndrome</w:t>
      </w:r>
      <w:r>
        <w:t xml:space="preserve"> identifiers (previously only BNP-pattern ids).</w:t>
      </w:r>
    </w:p>
    <w:p>
      <w:r>
        <w:rPr>
          <w:b/>
        </w:rPr>
        <w:t>Status.</w:t>
      </w:r>
      <w:r>
        <w:t xml:space="preserve"> Post-hoc. v3 was developed after inspection of eICU-demo outputs (4 index stays and per-group counts</w:t>
      </w:r>
    </w:p>
    <w:p>
      <w:r>
        <w:t>on the 100 B3 stays); eICU-demo recall for v3 is therefore an optimistically biased estimate and is reported</w:t>
      </w:r>
    </w:p>
    <w:p>
      <w:r>
        <w:t>side by side with v1, never in its place. NHANES, UCI thyroid, UCI HCV and ILPD were not inspected when v3 was</w:t>
      </w:r>
    </w:p>
    <w:p>
      <w:r>
        <w:t>designed and remain held-out with respect to ext 6, although the ext 5 changes (Amendment 2) had used them.</w:t>
      </w:r>
    </w:p>
    <w:p>
      <w:r>
        <w:rPr>
          <w:b/>
        </w:rPr>
        <w:t>Regression before release of v3:</w:t>
      </w:r>
      <w:r>
        <w:t xml:space="preserve"> pytest 598 passed (586 + 12 new in </w:t>
      </w:r>
      <w:r>
        <w:rPr>
          <w:rFonts w:ascii="Courier New" w:hAnsi="Courier New" w:eastAsia="Courier New" w:cs="Courier New"/>
          <w:color w:val="000000"/>
          <w:sz w:val="22"/>
        </w:rPr>
        <w:t>tests/test_esl_ext6_20261021.py</w:t>
      </w:r>
      <w:r>
        <w:t>;</w:t>
      </w:r>
    </w:p>
    <w:p>
      <w:r>
        <w:t>one ext-5 test re-pinned for the female urate tier); engine 50/50; hard 151/151; hard2 124/124; hard3 78/78;</w:t>
      </w:r>
    </w:p>
    <w:p>
      <w:r>
        <w:t xml:space="preserve">adversarial 86/86; healthy sweep 300/300 clean. Freeze: </w:t>
      </w:r>
      <w:r>
        <w:rPr>
          <w:rFonts w:ascii="Courier New" w:hAnsi="Courier New" w:eastAsia="Courier New" w:cs="Courier New"/>
          <w:color w:val="000000"/>
          <w:sz w:val="22"/>
        </w:rPr>
        <w:t>FREEZE_v3_20261021_sha256.txt</w:t>
      </w:r>
      <w:r>
        <w:t>.</w:t>
      </w:r>
    </w:p>
    <w:p>
      <w:r>
        <w:t>Quick look on the 100 B3 stays (same stays, coded labels incl. non-lab-detectable): recall@5 v1 43.4 % → v3 54.7 %</w:t>
      </w:r>
    </w:p>
    <w:p>
      <w:r>
        <w:t>(LLM 66.0 %); remaining misses are dominated by heart failure without BNP (8/9 absent) and sepsis without</w:t>
      </w:r>
    </w:p>
    <w:p>
      <w:r>
        <w:t>infection markers — categories the labs cannot support.</w:t>
      </w:r>
    </w:p>
    <w:p>
      <w:r>
        <w:rPr>
          <w:b/>
        </w:rPr>
        <w:t>Amendment 3b (same day).</w:t>
      </w:r>
      <w:r>
        <w:t xml:space="preserve"> </w:t>
      </w:r>
      <w:r>
        <w:rPr>
          <w:rFonts w:ascii="Courier New" w:hAnsi="Courier New" w:eastAsia="Courier New" w:cs="Courier New"/>
          <w:color w:val="000000"/>
          <w:sz w:val="22"/>
        </w:rPr>
        <w:t>eval/patches/esl_ext6b_20261021.py</w:t>
      </w:r>
      <w:r>
        <w:t>: stem-based family dedup in the re-ranking</w:t>
      </w:r>
    </w:p>
    <w:p>
      <w:r>
        <w:t>(severity/acuity prefixes, pattern suffixes) and two Sepsis-3 operational screens at pattern strength</w:t>
      </w:r>
    </w:p>
    <w:p>
      <w:r>
        <w:t>(</w:t>
      </w:r>
      <w:r>
        <w:rPr>
          <w:rFonts w:ascii="Courier New" w:hAnsi="Courier New" w:eastAsia="Courier New" w:cs="Courier New"/>
          <w:color w:val="000000"/>
          <w:sz w:val="22"/>
        </w:rPr>
        <w:t>sepsis_lactate_organ</w:t>
      </w:r>
      <w:r>
        <w:t xml:space="preserve">, </w:t>
      </w:r>
      <w:r>
        <w:rPr>
          <w:rFonts w:ascii="Courier New" w:hAnsi="Courier New" w:eastAsia="Courier New" w:cs="Courier New"/>
          <w:color w:val="000000"/>
          <w:sz w:val="22"/>
        </w:rPr>
        <w:t>sepsis_leukocytosis_one_organ</w:t>
      </w:r>
      <w:r>
        <w:t>). Regression unchanged (598 pytest, all batteries 100 %).</w:t>
      </w:r>
    </w:p>
    <w:p>
      <w:r>
        <w:t>Held-out check B4 (60 new stays, LLM answers fixed before engine run): LLM 58.7 % vs v1 50.0 % vs v3 58.7 %.</w:t>
      </w:r>
    </w:p>
    <w:p>
      <w:r>
        <w:rPr>
          <w:b/>
        </w:rPr>
        <w:t>Amendment 3c (same day) — anti-overclaim ceilings.</w:t>
      </w:r>
      <w:r>
        <w:t xml:space="preserve"> </w:t>
      </w:r>
      <w:r>
        <w:rPr>
          <w:rFonts w:ascii="Courier New" w:hAnsi="Courier New" w:eastAsia="Courier New" w:cs="Courier New"/>
          <w:color w:val="000000"/>
          <w:sz w:val="22"/>
        </w:rPr>
        <w:t>eval/patches/esl_ext6c_20261021.py</w:t>
      </w:r>
      <w:r>
        <w:t>: three dx-less guards</w:t>
      </w:r>
    </w:p>
    <w:p>
      <w:r>
        <w:t>capping entities that laboratory data cannot establish — thyroid storm / thyrotoxic AF without systemic markers</w:t>
      </w:r>
    </w:p>
    <w:p>
      <w:r>
        <w:t>(Burch-Wartofsky), any "shock" label without hypotension or vasopressor context (Sepsis-3), and PE / aortic</w:t>
      </w:r>
    </w:p>
    <w:p>
      <w:r>
        <w:t>dissection / DVT on an isolated D-dimer (ESC 2019) — at 0.40–0.49; ceilings lift when context (</w:t>
      </w:r>
      <w:r>
        <w:rPr>
          <w:rFonts w:ascii="Courier New" w:hAnsi="Courier New" w:eastAsia="Courier New" w:cs="Courier New"/>
          <w:color w:val="000000"/>
          <w:sz w:val="22"/>
        </w:rPr>
        <w:t>heart_rate</w:t>
      </w:r>
      <w:r>
        <w:t>,</w:t>
      </w:r>
    </w:p>
    <w:p>
      <w:r>
        <w:rPr>
          <w:rFonts w:ascii="Courier New" w:hAnsi="Courier New" w:eastAsia="Courier New" w:cs="Courier New"/>
          <w:color w:val="000000"/>
          <w:sz w:val="22"/>
        </w:rPr>
        <w:t>systolic_bp</w:t>
      </w:r>
      <w:r>
        <w:t xml:space="preserve">, </w:t>
      </w:r>
      <w:r>
        <w:rPr>
          <w:rFonts w:ascii="Courier New" w:hAnsi="Courier New" w:eastAsia="Courier New" w:cs="Courier New"/>
          <w:color w:val="000000"/>
          <w:sz w:val="22"/>
        </w:rPr>
        <w:t>vasopressor_required</w:t>
      </w:r>
      <w:r>
        <w:t>, conditions, medications) or corroborating labs are present. New ESL</w:t>
      </w:r>
    </w:p>
    <w:p>
      <w:r>
        <w:t xml:space="preserve">context predicates </w:t>
      </w:r>
      <w:r>
        <w:rPr>
          <w:rFonts w:ascii="Courier New" w:hAnsi="Courier New" w:eastAsia="Courier New" w:cs="Courier New"/>
          <w:color w:val="000000"/>
          <w:sz w:val="22"/>
        </w:rPr>
        <w:t>attr_true</w:t>
      </w:r>
      <w:r>
        <w:t xml:space="preserve">, </w:t>
      </w:r>
      <w:r>
        <w:rPr>
          <w:rFonts w:ascii="Courier New" w:hAnsi="Courier New" w:eastAsia="Courier New" w:cs="Courier New"/>
          <w:color w:val="000000"/>
          <w:sz w:val="22"/>
        </w:rPr>
        <w:t>attr_lt</w:t>
      </w:r>
      <w:r>
        <w:t xml:space="preserve">, </w:t>
      </w:r>
      <w:r>
        <w:rPr>
          <w:rFonts w:ascii="Courier New" w:hAnsi="Courier New" w:eastAsia="Courier New" w:cs="Courier New"/>
          <w:color w:val="000000"/>
          <w:sz w:val="22"/>
        </w:rPr>
        <w:t>attr_gt</w:t>
      </w:r>
      <w:r>
        <w:t>. Regression: 601 pytest, all batteries 100 %.</w:t>
      </w:r>
    </w:p>
    <w:p>
      <w:r>
        <w:rPr>
          <w:b/>
        </w:rPr>
        <w:t>Amendment 3d (same day) — post-hoc fixes after the blind NHANES specificity test (B5).</w:t>
      </w:r>
    </w:p>
    <w:p>
      <w:r>
        <w:rPr>
          <w:rFonts w:ascii="Courier New" w:hAnsi="Courier New" w:eastAsia="Courier New" w:cs="Courier New"/>
          <w:color w:val="000000"/>
          <w:sz w:val="22"/>
        </w:rPr>
        <w:t>eval/patches/esl_ext6d_20261021.py</w:t>
      </w:r>
      <w:r>
        <w:t xml:space="preserve">: (i) metabolic syndrome accepts only </w:t>
      </w:r>
      <w:r>
        <w:rPr>
          <w:i/>
        </w:rPr>
        <w:t>fasting</w:t>
      </w:r>
      <w:r>
        <w:t xml:space="preserve"> glucose ≥ 100 or A1c ≥ 5.7 as</w:t>
      </w:r>
    </w:p>
    <w:p>
      <w:r>
        <w:t>the third harmonised criterion (random glucose, urate and ALT removed); a two-criteria guard caps it at 0.45</w:t>
      </w:r>
    </w:p>
    <w:p>
      <w:r>
        <w:t xml:space="preserve">without BMI/waist/BP context; (ii) new computed key </w:t>
      </w:r>
      <w:r>
        <w:rPr>
          <w:rFonts w:ascii="Courier New" w:hAnsi="Courier New" w:eastAsia="Courier New" w:cs="Courier New"/>
          <w:color w:val="000000"/>
          <w:sz w:val="22"/>
        </w:rPr>
        <w:t>egfr_c</w:t>
      </w:r>
      <w:r>
        <w:t xml:space="preserve"> (reported eGFR, else CKD-EPI 2021 from creatinine +</w:t>
      </w:r>
    </w:p>
    <w:p>
      <w:r>
        <w:t>age + sex, adults only) with KDIGO CKD syndromes: G3+ &amp; A2+ (strong), G3b (pattern), G3a + one corroborating</w:t>
      </w:r>
    </w:p>
    <w:p>
      <w:r>
        <w:t xml:space="preserve">marker (pattern); an expert-anchored CKD is no longer capped beneath a prior-driven AKI in </w:t>
      </w:r>
      <w:r>
        <w:rPr>
          <w:rFonts w:ascii="Courier New" w:hAnsi="Courier New" w:eastAsia="Courier New" w:cs="Courier New"/>
          <w:color w:val="000000"/>
          <w:sz w:val="22"/>
        </w:rPr>
        <w:t>_apply_renal_chronicity</w:t>
      </w:r>
      <w:r>
        <w:t>.</w:t>
      </w:r>
    </w:p>
    <w:p>
      <w:r>
        <w:t>B5 was run with ext 6c first (engine 1/40 false, CKD 9/18); ext 6d results (0/40, 15/18) are therefore **in-sample</w:t>
      </w:r>
    </w:p>
    <w:p>
      <w:r>
        <w:t>for B5** and are reported next to the pre-fix numbers. Regression: 606 pytest, all five batteries 100 %.</w:t>
      </w:r>
    </w:p>
    <w:p>
      <w:r>
        <w:t xml:space="preserve">Test anchors B5–B7 results are in </w:t>
      </w:r>
      <w:r>
        <w:rPr>
          <w:rFonts w:ascii="Courier New" w:hAnsi="Courier New" w:eastAsia="Courier New" w:cs="Courier New"/>
          <w:color w:val="000000"/>
          <w:sz w:val="22"/>
        </w:rPr>
        <w:t>eval/results/nhanes_2017/</w:t>
      </w:r>
      <w:r>
        <w:t xml:space="preserve"> and </w:t>
      </w:r>
      <w:r>
        <w:rPr>
          <w:rFonts w:ascii="Courier New" w:hAnsi="Courier New" w:eastAsia="Courier New" w:cs="Courier New"/>
          <w:color w:val="000000"/>
          <w:sz w:val="22"/>
        </w:rPr>
        <w:t>eval/results/eicu_demo/b7_critical_values.md</w:t>
      </w:r>
      <w:r>
        <w:t>; the LLM reader in all of</w:t>
      </w:r>
    </w:p>
    <w:p>
      <w:r>
        <w:t>them is the Arena agent (disclosed).</w:t>
      </w:r>
    </w:p>
    <w:p>
      <w:pPr>
        <w:pStyle w:val="Heading2"/>
      </w:pPr>
      <w:r>
        <w:rPr>
          <w:rFonts w:ascii="Times New Roman" w:hAnsi="Times New Roman" w:eastAsia="Times New Roman" w:cs="Times New Roman"/>
          <w:b/>
          <w:i w:val="0"/>
          <w:color w:val="000000"/>
        </w:rPr>
        <w:t>Amendment 4 (2026-10-22) — engine v4 (ESL extension 7/7b) and evaluation-mapping clarification</w:t>
      </w:r>
    </w:p>
    <w:p>
      <w:r>
        <w:rPr>
          <w:b/>
        </w:rPr>
        <w:t>Scope.</w:t>
      </w:r>
      <w:r>
        <w:t xml:space="preserve"> All changes were motivated by inspection of eICU-demo stays 0–1200 (development split) and the NHANES T8 healthy-adult audit; stays 1200–2314 were not inspected before the clean-split check. No parameter was fitted to outcome labels. Fusion weights were </w:t>
      </w:r>
      <w:r>
        <w:rPr>
          <w:i/>
        </w:rPr>
        <w:t>not</w:t>
      </w:r>
      <w:r>
        <w:t xml:space="preserve"> changed: a five-configuration sweep on 300 development stays (</w:t>
      </w:r>
      <w:r>
        <w:rPr>
          <w:rFonts w:ascii="Courier New" w:hAnsi="Courier New" w:eastAsia="Courier New" w:cs="Courier New"/>
          <w:color w:val="000000"/>
          <w:sz w:val="22"/>
        </w:rPr>
        <w:t>eval/results/run_20261022_v4/weight_sweep_n300.md</w:t>
      </w:r>
      <w:r>
        <w:t>) spanned recall@5 69.6–70.8 % and mean AUROC .841–.845, i.e. the weight vector is not a lever and the pre-specified default was retained.</w:t>
      </w:r>
    </w:p>
    <w:p>
      <w:r>
        <w:rPr>
          <w:b/>
        </w:rPr>
        <w:t>Engine changes (v3 → v4), all guideline-backed and mirrored in `eval/patches/esl_ext7_20261022.py`:</w:t>
      </w:r>
      <w:r>
        <w:t xml:space="preserve"> liver R-ratio requires ALT or ALP above ULN; nephrotic/HHS/DKA definition guards; non-specific-only ceiling (.35); CKD chronicity logic (KDIGO 2024: eGFR &lt;60 with ≥2 chronicity markers or single-value G3b/G4 → CKD listed alongside AKI when chronicity is undetermined; AKI no longer capped beneath an anchored CKD); </w:t>
      </w:r>
      <w:r>
        <w:rPr>
          <w:rFonts w:ascii="Courier New" w:hAnsi="Courier New" w:eastAsia="Courier New" w:cs="Courier New"/>
          <w:color w:val="000000"/>
          <w:sz w:val="22"/>
        </w:rPr>
        <w:t>ckd_anemia</w:t>
      </w:r>
      <w:r>
        <w:t xml:space="preserve"> requires normocytic indices and excludes rhabdomyolysis/lactic acidosis; fuzzy defining-feature gate for measured-but-normal defining analytes (7b). Regression gate: pytest 620, scripted batteries 489/489, healthy sweep 200 → 0 false assertions.</w:t>
      </w:r>
    </w:p>
    <w:p>
      <w:r>
        <w:rPr>
          <w:b/>
        </w:rPr>
        <w:t>Pre-specified vs post-hoc reporting.</w:t>
      </w:r>
      <w:r>
        <w:t xml:space="preserve"> Paper tables report v1 (frozen 2026-10-21, pre-specified) and v4 side by side on every dataset; v4 numbers on eICU-demo are development-set numbers and are labelled as such. Clean-split delta (stays 1200–1800, not inspected): recall@5 62.6 % → 63.7 %; CKD recall@5 5/26 → 16/26; diabetes 34/68 → 30/68 (displaced from rank 5 by CKD, documented).</w:t>
      </w:r>
    </w:p>
    <w:p>
      <w:r>
        <w:rPr>
          <w:b/>
        </w:rPr>
        <w:t>UCI thyroid H2 mapping.</w:t>
      </w:r>
      <w:r>
        <w:t xml:space="preserve"> The pre-specified positive set for H2 counted every entity whose id contains "hyperthyroid", including </w:t>
      </w:r>
      <w:r>
        <w:rPr>
          <w:rFonts w:ascii="Courier New" w:hAnsi="Courier New" w:eastAsia="Courier New" w:cs="Courier New"/>
          <w:color w:val="000000"/>
          <w:sz w:val="22"/>
        </w:rPr>
        <w:t>subclinical_hyperthyroidism</w:t>
      </w:r>
      <w:r>
        <w:t xml:space="preserve">. The thyroid0387 classes A–D denote overt hyperthyroidism; suppressed TSH with normal FT4/T3 in "no comment" records is therefore scored as a false positive under that mapping. H2 is retained unchanged; an additional row </w:t>
      </w:r>
      <w:r>
        <w:rPr>
          <w:b/>
        </w:rPr>
        <w:t>H2c (overt entities only)</w:t>
      </w:r>
      <w:r>
        <w:t xml:space="preserve"> is reported, with the subclinical-rate shown separately as a label-semantics note. The v1 archive (</w:t>
      </w:r>
      <w:r>
        <w:rPr>
          <w:rFonts w:ascii="Courier New" w:hAnsi="Courier New" w:eastAsia="Courier New" w:cs="Courier New"/>
          <w:color w:val="000000"/>
          <w:sz w:val="22"/>
        </w:rPr>
        <w:t>eval/results/frozen_v1_20261021/</w:t>
      </w:r>
      <w:r>
        <w:t xml:space="preserve">) stores only </w:t>
      </w:r>
      <w:r>
        <w:rPr>
          <w:rFonts w:ascii="Courier New" w:hAnsi="Courier New" w:eastAsia="Courier New" w:cs="Courier New"/>
          <w:color w:val="000000"/>
          <w:sz w:val="22"/>
        </w:rPr>
        <w:t>top3</w:t>
      </w:r>
      <w:r>
        <w:t xml:space="preserve"> per record, so v1 H2c is approximated from </w:t>
      </w:r>
      <w:r>
        <w:rPr>
          <w:rFonts w:ascii="Courier New" w:hAnsi="Courier New" w:eastAsia="Courier New" w:cs="Courier New"/>
          <w:color w:val="000000"/>
          <w:sz w:val="22"/>
        </w:rPr>
        <w:t>top3</w:t>
      </w:r>
      <w:r>
        <w:t xml:space="preserve"> and flagged as such.</w:t>
      </w:r>
    </w:p>
    <w:p>
      <w:pPr>
        <w:pStyle w:val="Heading2"/>
      </w:pPr>
      <w:r>
        <w:rPr>
          <w:rFonts w:ascii="Times New Roman" w:hAnsi="Times New Roman" w:eastAsia="Times New Roman" w:cs="Times New Roman"/>
          <w:b/>
          <w:i w:val="0"/>
          <w:color w:val="000000"/>
        </w:rPr>
        <w:t>Amendment 5 (2026-10-22) — structured error audit and subgroup analysis (added post hoc, taxonomy fixed before execution)</w:t>
      </w:r>
    </w:p>
    <w:p>
      <w:r>
        <w:rPr>
          <w:b/>
        </w:rPr>
        <w:t>Error audit.</w:t>
      </w:r>
      <w:r>
        <w:t xml:space="preserve"> Population = all (stay, clinician-listed group) pairs on eICU-CRD demo with the key analyte measured and the group absent from the top-5. Sample = 200 pairs, </w:t>
      </w:r>
      <w:r>
        <w:rPr>
          <w:rFonts w:ascii="Courier New" w:hAnsi="Courier New" w:eastAsia="Courier New" w:cs="Courier New"/>
          <w:color w:val="000000"/>
          <w:sz w:val="22"/>
        </w:rPr>
        <w:t>random.Random(20261022)</w:t>
      </w:r>
      <w:r>
        <w:t xml:space="preserve">. Taxonomy (deterministic, coded in </w:t>
      </w:r>
      <w:r>
        <w:rPr>
          <w:rFonts w:ascii="Courier New" w:hAnsi="Courier New" w:eastAsia="Courier New" w:cs="Courier New"/>
          <w:color w:val="000000"/>
          <w:sz w:val="22"/>
        </w:rPr>
        <w:t>eval/error_audit.py</w:t>
      </w:r>
      <w:r>
        <w:t>, written before the first run and not changed after seeing results): A no laboratory signature (SAP guideline thresholds per group); B listed with p ≥ 0.5, rank 6–25; C1 signature present, entity absent; C2 signature present, entity present with p &lt; 0.5; D synonymous entity in top-5 not in SAP id list (reported, never credited). Run on v3 (ext6c) outputs and repeated unchanged on v4 outputs.</w:t>
      </w:r>
    </w:p>
    <w:p>
      <w:r>
        <w:rPr>
          <w:b/>
        </w:rPr>
        <w:t>Subgroups (TRIPOD+AI 19).</w:t>
      </w:r>
      <w:r>
        <w:t xml:space="preserve"> Strata: sex, age band (&lt;45, 45–64, 65–79, ≥80), eICU </w:t>
      </w:r>
      <w:r>
        <w:rPr>
          <w:rFonts w:ascii="Courier New" w:hAnsi="Courier New" w:eastAsia="Courier New" w:cs="Courier New"/>
          <w:color w:val="000000"/>
          <w:sz w:val="22"/>
        </w:rPr>
        <w:t>ethnicity</w:t>
      </w:r>
      <w:r>
        <w:t xml:space="preserve">, </w:t>
      </w:r>
      <w:r>
        <w:rPr>
          <w:rFonts w:ascii="Courier New" w:hAnsi="Courier New" w:eastAsia="Courier New" w:cs="Courier New"/>
          <w:color w:val="000000"/>
          <w:sz w:val="22"/>
        </w:rPr>
        <w:t>unittype</w:t>
      </w:r>
      <w:r>
        <w:t xml:space="preserve">, hospital (top 8), panel size (≤10, 11–20, &gt;20 analytes). Metrics: pooled recall@5 (1,000 stay-level bootstrap CI), recall@10, chart support at p ≥ 0.7, AUROC for the four largest groups. A stratum with ≥ 40 stays deviating by &gt; 10 percentage points in recall@5 is flagged and discussed; no stratum-specific tuning is permitted. Script </w:t>
      </w:r>
      <w:r>
        <w:rPr>
          <w:rFonts w:ascii="Courier New" w:hAnsi="Courier New" w:eastAsia="Courier New" w:cs="Courier New"/>
          <w:color w:val="000000"/>
          <w:sz w:val="22"/>
        </w:rPr>
        <w:t>eval/subgroup_fairness.py</w:t>
      </w:r>
      <w:r>
        <w:t>.</w:t>
      </w:r>
    </w:p>
    <w:p>
      <w:pPr>
        <w:pStyle w:val="Heading2"/>
      </w:pPr>
      <w:r>
        <w:rPr>
          <w:rFonts w:ascii="Times New Roman" w:hAnsi="Times New Roman" w:eastAsia="Times New Roman" w:cs="Times New Roman"/>
          <w:b/>
          <w:i w:val="0"/>
          <w:color w:val="000000"/>
        </w:rPr>
        <w:t>Amendment 6 (2026-10-22) — next-test layer (ESL extension 8) and the next-test-utility metric (post hoc, exploratory)</w:t>
      </w:r>
    </w:p>
    <w:p>
      <w:r>
        <w:t xml:space="preserve">Motivation: 60 % of top-5 misses carry no laboratory signature of the listed condition (Amendment 5, category A). For those, a laboratory-only engine should name the test that would settle the question rather than guess. Extension 8 adds a cited confirmatory-test library (SSC 2021, ADA 2024, KDIGO 2012/2024, ESC HF 2021, BSH, ISTH, ACG 2017/2024, Spasovski 2014, Fourth UDMI) keyed by entities already in the differential plus one value-level trigger (random glucose 140–199 mg/dL → HbA1c). It changes no probability or ranking. Metric: among category-A misses whose discriminating test is distinct from the measured key analyte, the proportion for which </w:t>
      </w:r>
      <w:r>
        <w:rPr>
          <w:rFonts w:ascii="Courier New" w:hAnsi="Courier New" w:eastAsia="Courier New" w:cs="Courier New"/>
          <w:color w:val="000000"/>
          <w:sz w:val="22"/>
        </w:rPr>
        <w:t>next_tests</w:t>
      </w:r>
      <w:r>
        <w:t xml:space="preserve"> or per-entity </w:t>
      </w:r>
      <w:r>
        <w:rPr>
          <w:rFonts w:ascii="Courier New" w:hAnsi="Courier New" w:eastAsia="Courier New" w:cs="Courier New"/>
          <w:color w:val="000000"/>
          <w:sz w:val="22"/>
        </w:rPr>
        <w:t>recommended_tests</w:t>
      </w:r>
      <w:r>
        <w:t xml:space="preserve"> names that test. Reported as exploratory; not part of the pre-specified endpoints.</w:t>
      </w:r>
    </w:p>
    <w:p>
      <w:pPr>
        <w:pStyle w:val="Heading2"/>
      </w:pPr>
      <w:r>
        <w:rPr>
          <w:rFonts w:ascii="Times New Roman" w:hAnsi="Times New Roman" w:eastAsia="Times New Roman" w:cs="Times New Roman"/>
          <w:b/>
          <w:i w:val="0"/>
          <w:color w:val="000000"/>
        </w:rPr>
        <w:t>Amendment 7 (2026-10-23) — ranking-hygiene layer (ESL ext 9) and scoring-map synonyms</w:t>
      </w:r>
    </w:p>
    <w:p>
      <w:r>
        <w:rPr>
          <w:i/>
        </w:rPr>
        <w:t>Post hoc, after the v4 error audit.</w:t>
      </w:r>
      <w:r>
        <w:t xml:space="preserve"> (1) Engine: three display-order rules (synonym families; aetiology-beneath-finding when its confirmatory marker is unmeasured and it does not out-score the finding; organising-diagnosis precedence for creatinine-defined renal failure, DKA and HHS) — probabilities and all threshold-based metrics (AUROC, sensitivity/specificity at 0.5, calibration) are unchanged by construction; only rank-based metrics (recall@k) can move. (2) Scoring map: </w:t>
      </w:r>
      <w:r>
        <w:rPr>
          <w:rFonts w:ascii="Courier New" w:hAnsi="Courier New" w:eastAsia="Courier New" w:cs="Courier New"/>
          <w:color w:val="000000"/>
          <w:sz w:val="22"/>
        </w:rPr>
        <w:t>alcoholic_liver_disease</w:t>
      </w:r>
      <w:r>
        <w:t xml:space="preserve">, </w:t>
      </w:r>
      <w:r>
        <w:rPr>
          <w:rFonts w:ascii="Courier New" w:hAnsi="Courier New" w:eastAsia="Courier New" w:cs="Courier New"/>
          <w:color w:val="000000"/>
          <w:sz w:val="22"/>
        </w:rPr>
        <w:t>alcoholic_liver_pattern</w:t>
      </w:r>
      <w:r>
        <w:t xml:space="preserve"> (alcohol / cirrhosis groups) and </w:t>
      </w:r>
      <w:r>
        <w:rPr>
          <w:rFonts w:ascii="Courier New" w:hAnsi="Courier New" w:eastAsia="Courier New" w:cs="Courier New"/>
          <w:color w:val="000000"/>
          <w:sz w:val="22"/>
        </w:rPr>
        <w:t>septic_shock_support_pattern</w:t>
      </w:r>
      <w:r>
        <w:t xml:space="preserve">, </w:t>
      </w:r>
      <w:r>
        <w:rPr>
          <w:rFonts w:ascii="Courier New" w:hAnsi="Courier New" w:eastAsia="Courier New" w:cs="Courier New"/>
          <w:color w:val="000000"/>
          <w:sz w:val="22"/>
        </w:rPr>
        <w:t>septic_shock_severe_lactic_acidosis</w:t>
      </w:r>
      <w:r>
        <w:t xml:space="preserve"> (sepsis) added as synonyms found in the D-category audit. Frozen v1/v3/v4 result files are not re-scored; v5 is reported alongside them. Pre-registered v1 remains the primary analysis.</w:t>
      </w:r>
    </w:p>
    <w:p>
      <w:pPr>
        <w:pStyle w:val="Heading2"/>
      </w:pPr>
      <w:r>
        <w:rPr>
          <w:rFonts w:ascii="Times New Roman" w:hAnsi="Times New Roman" w:eastAsia="Times New Roman" w:cs="Times New Roman"/>
          <w:b/>
          <w:i w:val="0"/>
          <w:color w:val="000000"/>
        </w:rPr>
        <w:t>Amendment 8 (2026-10-23) — two additional eICU input arms (ESL extension 11: temporal module and clinical-context layer)</w:t>
      </w:r>
    </w:p>
    <w:p>
      <w:r>
        <w:rPr>
          <w:i/>
        </w:rPr>
        <w:t>Post hoc; added after the v5.1 scorecard. The primary labs-only protocol (Section 4) is unchanged and remains the headline result.</w:t>
      </w:r>
    </w:p>
    <w:p>
      <w:r>
        <w:rPr>
          <w:b/>
        </w:rPr>
        <w:t>Motivation.</w:t>
      </w:r>
      <w:r>
        <w:t xml:space="preserve"> 67 % of residual top-5 misses on eICU v5.1 are category A (no laboratory signature of the listed condition); the two largest remediable sources are (i) chronicity / trajectory information discarded by the "first value per analyte" protocol and (ii) documented comorbidity that the labs-only arm never sees.</w:t>
      </w:r>
    </w:p>
    <w:p>
      <w:r>
        <w:rPr>
          <w:b/>
        </w:rPr>
        <w:t>Engine (ext 11, optional, inert when the data are absent).</w:t>
      </w:r>
      <w:r>
        <w:t xml:space="preserve"> (T) An observation may carry </w:t>
      </w:r>
      <w:r>
        <w:rPr>
          <w:rFonts w:ascii="Courier New" w:hAnsi="Courier New" w:eastAsia="Courier New" w:cs="Courier New"/>
          <w:color w:val="000000"/>
          <w:sz w:val="22"/>
        </w:rPr>
        <w:t>series: [{t_hours, value}]</w:t>
      </w:r>
      <w:r>
        <w:t xml:space="preserve">; the ESL reduces each series to trajectory keys and ten constellations implement KDIGO 2012 dynamic AKI criteria (≥ 0.3 mg/dL / 48 h or ≥ 1.5×, with peak ≥ 1.0 mg/dL), 4th-UDMI acute (≥ 20 %/≥ 50 % delta with a value &gt; 99th percentile) vs chronic (flat) myocardial injury, lactate clearance (Jones 2010), Hb fall ≥ 2 g/dL / 24 h, &gt; 50 % platelet fall (HIT only with documented heparin; DIC with a coagulation abnormality), and the ESE 2014 sodium over-correction warning (guard, no diagnosis). (C) </w:t>
      </w:r>
      <w:r>
        <w:rPr>
          <w:rFonts w:ascii="Courier New" w:hAnsi="Courier New" w:eastAsia="Courier New" w:cs="Courier New"/>
          <w:color w:val="000000"/>
          <w:sz w:val="22"/>
        </w:rPr>
        <w:t>known_conditions</w:t>
      </w:r>
      <w:r>
        <w:t xml:space="preserve"> / </w:t>
      </w:r>
      <w:r>
        <w:rPr>
          <w:rFonts w:ascii="Courier New" w:hAnsi="Courier New" w:eastAsia="Courier New" w:cs="Courier New"/>
          <w:color w:val="000000"/>
          <w:sz w:val="22"/>
        </w:rPr>
        <w:t>current_medications</w:t>
      </w:r>
      <w:r>
        <w:t xml:space="preserve"> map to registry entities by a fixed, conservative phrase table; a documented diagnosis with laboratory support on the panel is listed as established (0.80), without support at 0.49 (</w:t>
      </w:r>
      <w:r>
        <w:rPr>
          <w:rFonts w:ascii="Courier New" w:hAnsi="Courier New" w:eastAsia="Courier New" w:cs="Courier New"/>
          <w:color w:val="000000"/>
          <w:sz w:val="22"/>
        </w:rPr>
        <w:t>documented_history</w:t>
      </w:r>
      <w:r>
        <w:t>, below the operating point); documented CKD resolves renal chronicity; warfarin, metformin and statin constellations are ordinary ESL entries gated on the medication. No prior is injected.</w:t>
      </w:r>
    </w:p>
    <w:p>
      <w:r>
        <w:rPr>
          <w:b/>
        </w:rPr>
        <w:t>Evaluation arms (eICU-CRD demo, same 2,314 stays, same labels, same scoring map).</w:t>
      </w:r>
      <w:r>
        <w:t xml:space="preserve"> Arm A = labs only (primary). Arm B = labs + </w:t>
      </w:r>
      <w:r>
        <w:rPr>
          <w:rFonts w:ascii="Courier New" w:hAnsi="Courier New" w:eastAsia="Courier New" w:cs="Courier New"/>
          <w:color w:val="000000"/>
          <w:sz w:val="22"/>
        </w:rPr>
        <w:t>pastHistory</w:t>
      </w:r>
      <w:r>
        <w:t xml:space="preserve"> (all entries except "Performed"/"Not Obtainable"/"No Health Problems", organ-system path retained) + </w:t>
      </w:r>
      <w:r>
        <w:rPr>
          <w:rFonts w:ascii="Courier New" w:hAnsi="Courier New" w:eastAsia="Courier New" w:cs="Courier New"/>
          <w:color w:val="000000"/>
          <w:sz w:val="22"/>
        </w:rPr>
        <w:t>medication</w:t>
      </w:r>
      <w:r>
        <w:t xml:space="preserve"> rows with </w:t>
      </w:r>
      <w:r>
        <w:rPr>
          <w:rFonts w:ascii="Courier New" w:hAnsi="Courier New" w:eastAsia="Courier New" w:cs="Courier New"/>
          <w:color w:val="000000"/>
          <w:sz w:val="22"/>
        </w:rPr>
        <w:t>drugstartoffset ≤ 0</w:t>
      </w:r>
      <w:r>
        <w:t xml:space="preserve"> (started at or before ICU admission). </w:t>
      </w:r>
      <w:r>
        <w:rPr>
          <w:rFonts w:ascii="Courier New" w:hAnsi="Courier New" w:eastAsia="Courier New" w:cs="Courier New"/>
          <w:color w:val="000000"/>
          <w:sz w:val="22"/>
        </w:rPr>
        <w:t>admissionDx</w:t>
      </w:r>
      <w:r>
        <w:t xml:space="preserve"> is excluded as label leakage. Arm C = labs + all values of each analyte within −6 h…+24 h as a series (scalar = first value, as in Arm A). Arm B+C combined.</w:t>
      </w:r>
    </w:p>
    <w:p>
      <w:r>
        <w:rPr>
          <w:b/>
        </w:rPr>
        <w:t>Pre-specified reporting for Arm B.</w:t>
      </w:r>
      <w:r>
        <w:t xml:space="preserve"> Recall is reported separately for labels whose group is already </w:t>
      </w:r>
      <w:r>
        <w:rPr>
          <w:i/>
        </w:rPr>
        <w:t>named</w:t>
      </w:r>
      <w:r>
        <w:t xml:space="preserve"> in the supplied history/medications (context echo) and for labels that are not; only the latter is interpretable as diagnostic gain. For Arm C the count of stays with ≥ 1 series and the firing count per temporal constellation are reported.</w:t>
      </w:r>
    </w:p>
    <w:p>
      <w:r>
        <w:rPr>
          <w:b/>
        </w:rPr>
        <w:t>Outputs.</w:t>
      </w:r>
      <w:r>
        <w:t xml:space="preserve"> </w:t>
      </w:r>
      <w:r>
        <w:rPr>
          <w:rFonts w:ascii="Courier New" w:hAnsi="Courier New" w:eastAsia="Courier New" w:cs="Courier New"/>
          <w:color w:val="000000"/>
          <w:sz w:val="22"/>
        </w:rPr>
        <w:t>eval/results/run_20261023_v5/eicu_report_v5_2_{ctx,tmp,ctx_tmp}.md</w:t>
      </w:r>
      <w:r>
        <w:t xml:space="preserve">, per-stay JSONs, </w:t>
      </w:r>
      <w:r>
        <w:rPr>
          <w:rFonts w:ascii="Courier New" w:hAnsi="Courier New" w:eastAsia="Courier New" w:cs="Courier New"/>
          <w:color w:val="000000"/>
          <w:sz w:val="22"/>
        </w:rPr>
        <w:t>gate_ext11.txt</w:t>
      </w:r>
      <w:r>
        <w:t xml:space="preserve">; tests </w:t>
      </w:r>
      <w:r>
        <w:rPr>
          <w:rFonts w:ascii="Courier New" w:hAnsi="Courier New" w:eastAsia="Courier New" w:cs="Courier New"/>
          <w:color w:val="000000"/>
          <w:sz w:val="22"/>
        </w:rPr>
        <w:t>tests/test_esl_ext11_20261023.py</w:t>
      </w:r>
      <w:r>
        <w:t xml:space="preserve"> (22); patcher </w:t>
      </w:r>
      <w:r>
        <w:rPr>
          <w:rFonts w:ascii="Courier New" w:hAnsi="Courier New" w:eastAsia="Courier New" w:cs="Courier New"/>
          <w:color w:val="000000"/>
          <w:sz w:val="22"/>
        </w:rPr>
        <w:t>eval/patches/esl_ext11_20261023.py</w:t>
      </w:r>
      <w:r>
        <w:t>.</w:t>
      </w:r>
    </w:p>
    <w:p>
      <w:pPr>
        <w:pStyle w:val="Heading2"/>
      </w:pPr>
      <w:r>
        <w:rPr>
          <w:rFonts w:ascii="Times New Roman" w:hAnsi="Times New Roman" w:eastAsia="Times New Roman" w:cs="Times New Roman"/>
          <w:b/>
          <w:i w:val="0"/>
          <w:color w:val="000000"/>
        </w:rPr>
        <w:t>Amendment 9 (2026-10-23) — reporting additions, label-map audit, human-validation instruments, provenance inputs</w:t>
      </w:r>
    </w:p>
    <w:p>
      <w:r>
        <w:rPr>
          <w:i/>
        </w:rPr>
        <w:t>Post hoc additions motivated by the literature review of CDSS-vs-LLM comparisons (Riches 2024/2025; Bhasuran 2025; Bond 2012). None changes the primary endpoint or the label map used for v5.x.</w:t>
      </w:r>
    </w:p>
    <w:p>
      <w:r>
        <w:t xml:space="preserve">1. </w:t>
      </w:r>
      <w:r>
        <w:rPr>
          <w:b/>
        </w:rPr>
        <w:t>Rank-based secondary metrics</w:t>
      </w:r>
      <w:r>
        <w:t xml:space="preserve"> for the blinded LLM comparison: recall@1/3/10, mean reciprocal rank, rank-bin distribution, "not listed" rate; bootstrap CI of the MRR difference (</w:t>
      </w:r>
      <w:r>
        <w:rPr>
          <w:rFonts w:ascii="Courier New" w:hAnsi="Courier New" w:eastAsia="Courier New" w:cs="Courier New"/>
          <w:color w:val="000000"/>
          <w:sz w:val="22"/>
        </w:rPr>
        <w:t>eval/baselines/b8_rank_metrics.py</w:t>
      </w:r>
      <w:r>
        <w:t xml:space="preserve"> → </w:t>
      </w:r>
      <w:r>
        <w:rPr>
          <w:rFonts w:ascii="Courier New" w:hAnsi="Courier New" w:eastAsia="Courier New" w:cs="Courier New"/>
          <w:color w:val="000000"/>
          <w:sz w:val="22"/>
        </w:rPr>
        <w:t>rank_metrics_n400.md</w:t>
      </w:r>
      <w:r>
        <w:t>). Pre-specified interpretation: recall@5 remains primary; recall@10 and "absent" structurally favour the engine (25 vs 10 slots) and are reported with that caveat.</w:t>
      </w:r>
    </w:p>
    <w:p>
      <w:r>
        <w:t xml:space="preserve">2. </w:t>
      </w:r>
      <w:r>
        <w:rPr>
          <w:b/>
        </w:rPr>
        <w:t>LLM test–retest</w:t>
      </w:r>
      <w:r>
        <w:t>: 40 of the 240 B8 panels (seed 20261024) re-read blind by the same agent model class; agreement reported as label-level κ, Jaccard of top-5 group sets, Spearman ρ of shared group ranks. Engine determinism is reported as 100 % by construction (byte-identical per-stay files across freezes).</w:t>
      </w:r>
    </w:p>
    <w:p>
      <w:r>
        <w:t xml:space="preserve">3. </w:t>
      </w:r>
      <w:r>
        <w:rPr>
          <w:b/>
        </w:rPr>
        <w:t>Label-map audit</w:t>
      </w:r>
      <w:r>
        <w:t xml:space="preserve"> (</w:t>
      </w:r>
      <w:r>
        <w:rPr>
          <w:rFonts w:ascii="Courier New" w:hAnsi="Courier New" w:eastAsia="Courier New" w:cs="Courier New"/>
          <w:color w:val="000000"/>
          <w:sz w:val="22"/>
        </w:rPr>
        <w:t>eval/results/eicu_demo/label_audit_n100.md</w:t>
      </w:r>
      <w:r>
        <w:t xml:space="preserve">): 100 random held-out stays, 3,100 stay×group cells; study regex vs a deliberately liberal second coder; all 23 disagreements adjudicated by reading the diagnosis strings. Result: 0 false-positive labels, 2 definite misses (sensitivity 98.7 %), 2 ambiguous. The two missed patterns ("hematological effect of infection|thrombocytopenia", "drug withdrawal|alcohol withdrawal") are </w:t>
      </w:r>
      <w:r>
        <w:rPr>
          <w:b/>
        </w:rPr>
        <w:t>not</w:t>
      </w:r>
      <w:r>
        <w:t xml:space="preserve"> changed for v5.2 so that all v5.x arms share one map; they are scheduled for the next protocol version.</w:t>
      </w:r>
    </w:p>
    <w:p>
      <w:r>
        <w:t xml:space="preserve">4. </w:t>
      </w:r>
      <w:r>
        <w:rPr>
          <w:b/>
        </w:rPr>
        <w:t>Human-validation instruments</w:t>
      </w:r>
      <w:r>
        <w:t xml:space="preserve"> (to be completed by an independent physician; results reported whatever they show): Form A1 — 100 executable rules, 60 from the operational set (186 diseases surfaced in any eICU top-5) + 40 from the whole registry, stratified by rule type, 3-level verdict + severity A–D; error rate with Wilson CI by stratum. Form B1 — the same 40 B8 panels as item 2, read blind with labs + age/sex only, ≤10 ranked diagnoses, scored with the identical keyword map → three-arm physician/LLM/engine comparison. Files in </w:t>
      </w:r>
      <w:r>
        <w:rPr>
          <w:rFonts w:ascii="Courier New" w:hAnsi="Courier New" w:eastAsia="Courier New" w:cs="Courier New"/>
          <w:color w:val="000000"/>
          <w:sz w:val="22"/>
        </w:rPr>
        <w:t>eval/human/</w:t>
      </w:r>
      <w:r>
        <w:t xml:space="preserve">; scorer </w:t>
      </w:r>
      <w:r>
        <w:rPr>
          <w:rFonts w:ascii="Courier New" w:hAnsi="Courier New" w:eastAsia="Courier New" w:cs="Courier New"/>
          <w:color w:val="000000"/>
          <w:sz w:val="22"/>
        </w:rPr>
        <w:t>eval/human/score_forms.py</w:t>
      </w:r>
      <w:r>
        <w:t>.</w:t>
      </w:r>
    </w:p>
    <w:p>
      <w:r>
        <w:t xml:space="preserve">5. </w:t>
      </w:r>
      <w:r>
        <w:rPr>
          <w:b/>
        </w:rPr>
        <w:t>Participant flow</w:t>
      </w:r>
      <w:r>
        <w:t xml:space="preserve"> (TRIPOD+AI 14) regenerated from raw files: </w:t>
      </w:r>
      <w:r>
        <w:rPr>
          <w:rFonts w:ascii="Courier New" w:hAnsi="Courier New" w:eastAsia="Courier New" w:cs="Courier New"/>
          <w:color w:val="000000"/>
          <w:sz w:val="22"/>
        </w:rPr>
        <w:t>supplement/TABLE_S1_cohort_flow.md</w:t>
      </w:r>
      <w:r>
        <w:t xml:space="preserve">, </w:t>
      </w:r>
      <w:r>
        <w:rPr>
          <w:rFonts w:ascii="Courier New" w:hAnsi="Courier New" w:eastAsia="Courier New" w:cs="Courier New"/>
          <w:color w:val="000000"/>
          <w:sz w:val="22"/>
        </w:rPr>
        <w:t>figures/figS1_participant_flow.png</w:t>
      </w:r>
      <w:r>
        <w:t>. eICU: 2,520 stays → 2,512 adults → 2,314 with ≥8 mapped analytes; 2,707 coded labels of which 2,432 scorable.</w:t>
      </w:r>
    </w:p>
    <w:p>
      <w:r>
        <w:t xml:space="preserve">6. </w:t>
      </w:r>
      <w:r>
        <w:rPr>
          <w:b/>
        </w:rPr>
        <w:t>Input provenance</w:t>
      </w:r>
      <w:r>
        <w:t>: OCR-detected specimen flags (haemolysis / lipaemia / icterus, clotted, recollect; EN+FA with negation handling), specimen type, collection time and smear-morphology comments are now extracted (</w:t>
      </w:r>
      <w:r>
        <w:rPr>
          <w:rFonts w:ascii="Courier New" w:hAnsi="Courier New" w:eastAsia="Courier New" w:cs="Courier New"/>
          <w:color w:val="000000"/>
          <w:sz w:val="22"/>
        </w:rPr>
        <w:t>ocr.detect_preanalytical</w:t>
      </w:r>
      <w:r>
        <w:t xml:space="preserve">) and passed to the engine's existing </w:t>
      </w:r>
      <w:r>
        <w:rPr>
          <w:rFonts w:ascii="Courier New" w:hAnsi="Courier New" w:eastAsia="Courier New" w:cs="Courier New"/>
          <w:color w:val="000000"/>
          <w:sz w:val="22"/>
        </w:rPr>
        <w:t>preanalytical_gate</w:t>
      </w:r>
      <w:r>
        <w:t xml:space="preserve"> through the clinical context (</w:t>
      </w:r>
      <w:r>
        <w:rPr>
          <w:rFonts w:ascii="Courier New" w:hAnsi="Courier New" w:eastAsia="Courier New" w:cs="Courier New"/>
          <w:color w:val="000000"/>
          <w:sz w:val="22"/>
        </w:rPr>
        <w:t>AnalysisService._merge_preanalytical</w:t>
      </w:r>
      <w:r>
        <w:t xml:space="preserve">); clinician entries override. Covered by </w:t>
      </w:r>
      <w:r>
        <w:rPr>
          <w:rFonts w:ascii="Courier New" w:hAnsi="Courier New" w:eastAsia="Courier New" w:cs="Courier New"/>
          <w:color w:val="000000"/>
          <w:sz w:val="22"/>
        </w:rPr>
        <w:t>tests/test_preanalytical_provenance.py</w:t>
      </w:r>
      <w:r>
        <w:t xml:space="preserve"> (9 tests). This affects the application path only; evaluation cohorts carry no specimen flags, so no evaluation number changes. Documented in </w:t>
      </w:r>
      <w:r>
        <w:rPr>
          <w:rFonts w:ascii="Courier New" w:hAnsi="Courier New" w:eastAsia="Courier New" w:cs="Courier New"/>
          <w:color w:val="000000"/>
          <w:sz w:val="22"/>
        </w:rPr>
        <w:t>supplement/INPUT_SCHEMA_v1.md</w:t>
      </w:r>
      <w:r>
        <w:t>.</w:t>
      </w:r>
    </w:p>
    <w:p>
      <w:r>
        <w:t xml:space="preserve">7. </w:t>
      </w:r>
      <w:r>
        <w:rPr>
          <w:b/>
        </w:rPr>
        <w:t>Engineering</w:t>
      </w:r>
      <w:r>
        <w:t xml:space="preserve">: </w:t>
      </w:r>
      <w:r>
        <w:rPr>
          <w:rFonts w:ascii="Courier New" w:hAnsi="Courier New" w:eastAsia="Courier New" w:cs="Courier New"/>
          <w:color w:val="000000"/>
          <w:sz w:val="22"/>
        </w:rPr>
        <w:t>eval_eicu.py</w:t>
      </w:r>
      <w:r>
        <w:t xml:space="preserve"> now checkpoints every 200 stays and resumes (deterministic engine → identical results); Sepsis-2019 subsample fetched in 10 resumable parts.</w:t>
      </w:r>
    </w:p>
    <w:p>
      <w:r>
        <w:t xml:space="preserve">8. </w:t>
      </w:r>
      <w:r>
        <w:rPr>
          <w:b/>
        </w:rPr>
        <w:t>External case-vignette probe (B6, exploratory, pre-specified key)</w:t>
      </w:r>
      <w:r>
        <w:t xml:space="preserve">: the 50 PMC-Patients case reports of Bhasuran et al. (npj Digit Med 2025;8:159; GitHub </w:t>
      </w:r>
      <w:r>
        <w:rPr>
          <w:rFonts w:ascii="Courier New" w:hAnsi="Courier New" w:eastAsia="Courier New" w:cs="Courier New"/>
          <w:color w:val="000000"/>
          <w:sz w:val="22"/>
        </w:rPr>
        <w:t>balubhasuran/DDx_CaseReports</w:t>
      </w:r>
      <w:r>
        <w:t xml:space="preserve">, ESM </w:t>
      </w:r>
      <w:r>
        <w:rPr>
          <w:rFonts w:ascii="Courier New" w:hAnsi="Courier New" w:eastAsia="Courier New" w:cs="Courier New"/>
          <w:color w:val="000000"/>
          <w:sz w:val="22"/>
        </w:rPr>
        <w:t>sd_1.xlsx</w:t>
      </w:r>
      <w:r>
        <w:t>). Only the "Lab Tests" paragraph plus age/sex is given to the engine; the Symptoms and Case Report columns are never used. Scoring key (</w:t>
      </w:r>
      <w:r>
        <w:rPr>
          <w:rFonts w:ascii="Courier New" w:hAnsi="Courier New" w:eastAsia="Courier New" w:cs="Courier New"/>
          <w:color w:val="000000"/>
          <w:sz w:val="22"/>
        </w:rPr>
        <w:t>eval/realdata/pmc_cases/scoring_key_prespecified.json</w:t>
      </w:r>
      <w:r>
        <w:t xml:space="preserve">) was written per case </w:t>
      </w:r>
      <w:r>
        <w:rPr>
          <w:b/>
        </w:rPr>
        <w:t>before</w:t>
      </w:r>
      <w:r>
        <w:t xml:space="preserve"> any run: </w:t>
      </w:r>
      <w:r>
        <w:rPr>
          <w:i/>
        </w:rPr>
        <w:t>specific</w:t>
      </w:r>
      <w:r>
        <w:t xml:space="preserve"> = the published final diagnosis; </w:t>
      </w:r>
      <w:r>
        <w:rPr>
          <w:i/>
        </w:rPr>
        <w:t>syndrome</w:t>
      </w:r>
      <w:r>
        <w:t xml:space="preserve"> = the laboratory syndrome that contains it; </w:t>
      </w:r>
      <w:r>
        <w:rPr>
          <w:rFonts w:ascii="Courier New" w:hAnsi="Courier New" w:eastAsia="Courier New" w:cs="Courier New"/>
          <w:color w:val="000000"/>
          <w:sz w:val="22"/>
        </w:rPr>
        <w:t>lab_detectable=false</w:t>
      </w:r>
      <w:r>
        <w:t xml:space="preserve"> for 3 cases (thallium poisoning, AMAN-GBS, lymphomatoid papulosis). Two arms, same key: (a) </w:t>
      </w:r>
      <w:r>
        <w:rPr>
          <w:b/>
        </w:rPr>
        <w:t>parser arm</w:t>
      </w:r>
      <w:r>
        <w:t xml:space="preserve">, free text → Hemoglyph prose parser → engine, no human in the loop; (b) </w:t>
      </w:r>
      <w:r>
        <w:rPr>
          <w:b/>
        </w:rPr>
        <w:t>manual arm</w:t>
      </w:r>
      <w:r>
        <w:t>, the author transcribed each paragraph into analyte/value/unit before seeing engine output (</w:t>
      </w:r>
      <w:r>
        <w:rPr>
          <w:rFonts w:ascii="Courier New" w:hAnsi="Courier New" w:eastAsia="Courier New" w:cs="Courier New"/>
          <w:color w:val="000000"/>
          <w:sz w:val="22"/>
        </w:rPr>
        <w:t>panel_overrides.json</w:t>
      </w:r>
      <w:r>
        <w:t xml:space="preserve">, every imputation flagged in </w:t>
      </w:r>
      <w:r>
        <w:rPr>
          <w:rFonts w:ascii="Courier New" w:hAnsi="Courier New" w:eastAsia="Courier New" w:cs="Courier New"/>
          <w:color w:val="000000"/>
          <w:sz w:val="22"/>
        </w:rPr>
        <w:t>_note</w:t>
      </w:r>
      <w:r>
        <w:t>; 2 cases have 0 numeric analytes and are scored as misses). Results (</w:t>
      </w:r>
      <w:r>
        <w:rPr>
          <w:rFonts w:ascii="Courier New" w:hAnsi="Courier New" w:eastAsia="Courier New" w:cs="Courier New"/>
          <w:color w:val="000000"/>
          <w:sz w:val="22"/>
        </w:rPr>
        <w:t>eval/results/pmc_cases/report.md</w:t>
      </w:r>
      <w:r>
        <w:t xml:space="preserve">): parser arm, all 50 — specific top‑1/5/10 = 2/10/12 %, syndrome 28/44/46 %; manual arm — specific 16/26/26 %, syndrome </w:t>
      </w:r>
      <w:r>
        <w:rPr>
          <w:b/>
        </w:rPr>
        <w:t>40/68/70 %</w:t>
      </w:r>
      <w:r>
        <w:t xml:space="preserve"> (lab‑detectable n=47: 43/72/72 %). Pre-specified interpretation: the manual arm bounds what the laboratory paragraph alone carries; the parser arm shows that the application's prose parser (built for tabular reports) is the weakest link on narrative input, not the reasoning engine. The published GPT‑4 figures on the same 50 cases (top‑1 60 %, top‑5 81 %, top‑10 83 %) used the </w:t>
      </w:r>
      <w:r>
        <w:rPr>
          <w:b/>
        </w:rPr>
        <w:t>full vignette</w:t>
      </w:r>
      <w:r>
        <w:t xml:space="preserve"> with lenient clinician scoring and are reported as context, not as a head‑to‑head comparison. Error-audit items opened from this probe: </w:t>
      </w:r>
      <w:r>
        <w:rPr>
          <w:rFonts w:ascii="Courier New" w:hAnsi="Courier New" w:eastAsia="Courier New" w:cs="Courier New"/>
          <w:color w:val="000000"/>
          <w:sz w:val="22"/>
        </w:rPr>
        <w:t>ebola</w:t>
      </w:r>
      <w:r>
        <w:t>/</w:t>
      </w:r>
      <w:r>
        <w:rPr>
          <w:rFonts w:ascii="Courier New" w:hAnsi="Courier New" w:eastAsia="Courier New" w:cs="Courier New"/>
          <w:color w:val="000000"/>
          <w:sz w:val="22"/>
        </w:rPr>
        <w:t>lassa_fever</w:t>
      </w:r>
      <w:r>
        <w:t xml:space="preserve"> surfacing in top‑3 of two mild-transaminitis cases with negative viral serology (33365209, 30235756); apixaban INR 27 case (35844332) not mapped to an anticoagulant-effect syndrome (no drug context given); DILI entity never surfaces without drug context (expected by design — drug exposure is a context field, see Amendment 8).</w:t>
      </w:r>
    </w:p>
    <w:p>
      <w:pPr>
        <w:pStyle w:val="Heading2"/>
      </w:pPr>
      <w:r>
        <w:rPr>
          <w:rFonts w:ascii="Times New Roman" w:hAnsi="Times New Roman" w:eastAsia="Times New Roman" w:cs="Times New Roman"/>
          <w:b/>
          <w:i w:val="0"/>
          <w:color w:val="000000"/>
        </w:rPr>
        <w:t>Amendment 10 (2026-10-23) — registry patch 13.2.0: pathogen-specific entities gated on exposure context</w:t>
      </w:r>
    </w:p>
    <w:p>
      <w:r>
        <w:rPr>
          <w:b/>
        </w:rPr>
        <w:t>Trigger.</w:t>
      </w:r>
      <w:r>
        <w:t xml:space="preserve"> B6 error audit (Amendment 9, item 8): </w:t>
      </w:r>
      <w:r>
        <w:rPr>
          <w:rFonts w:ascii="Courier New" w:hAnsi="Courier New" w:eastAsia="Courier New" w:cs="Courier New"/>
          <w:color w:val="000000"/>
          <w:sz w:val="22"/>
        </w:rPr>
        <w:t>ebola</w:t>
      </w:r>
      <w:r>
        <w:t xml:space="preserve"> and </w:t>
      </w:r>
      <w:r>
        <w:rPr>
          <w:rFonts w:ascii="Courier New" w:hAnsi="Courier New" w:eastAsia="Courier New" w:cs="Courier New"/>
          <w:color w:val="000000"/>
          <w:sz w:val="22"/>
        </w:rPr>
        <w:t>lassa_fever</w:t>
      </w:r>
      <w:r>
        <w:t xml:space="preserve"> in the top-3 of two mild-transaminitis vignettes with negative viral serology. Root cause: their only proposing rules were AST &gt; 40 / ALT &gt; 50 (/ platelets &lt; 150), weight 0.3 — demoted in registry passes 9.3/9.4 but still surfacing whenever competition is thin. A registry scan (</w:t>
      </w:r>
      <w:r>
        <w:rPr>
          <w:rFonts w:ascii="Courier New" w:hAnsi="Courier New" w:eastAsia="Courier New" w:cs="Courier New"/>
          <w:color w:val="000000"/>
          <w:sz w:val="22"/>
        </w:rPr>
        <w:t>eval/patches/registry_v13_2_0_exposure_gate.py</w:t>
      </w:r>
      <w:r>
        <w:t xml:space="preserve">, </w:t>
      </w:r>
      <w:r>
        <w:rPr>
          <w:rFonts w:ascii="Courier New" w:hAnsi="Courier New" w:eastAsia="Courier New" w:cs="Courier New"/>
          <w:color w:val="000000"/>
          <w:sz w:val="22"/>
        </w:rPr>
        <w:t>ROUTINE</w:t>
      </w:r>
      <w:r>
        <w:t xml:space="preserve"> set) found </w:t>
      </w:r>
      <w:r>
        <w:rPr>
          <w:b/>
        </w:rPr>
        <w:t>76 infectious clinical entities whose screening/diagnostic rules use only routine chemistry/CBC analytes</w:t>
      </w:r>
      <w:r>
        <w:t xml:space="preserve"> — the same defect class.</w:t>
      </w:r>
    </w:p>
    <w:p>
      <w:r>
        <w:rPr>
          <w:b/>
        </w:rPr>
        <w:t>Change (registry content only; `analyse_gidlines.py` untouched).</w:t>
      </w:r>
      <w:r>
        <w:t xml:space="preserve"> (i) 53 pathogen-specific entities (viral haemorrhagic fevers, rickettsioses, zoonoses, helminths, endemic mycoses, organism-named bacterial infections): every leaf of their routine-only proposing rules gains </w:t>
      </w:r>
      <w:r>
        <w:rPr>
          <w:rFonts w:ascii="Courier New" w:hAnsi="Courier New" w:eastAsia="Courier New" w:cs="Courier New"/>
          <w:color w:val="000000"/>
          <w:sz w:val="22"/>
        </w:rPr>
        <w:t>context: {exposure_history: true}</w:t>
      </w:r>
      <w:r>
        <w:t xml:space="preserve"> (135 rules). Through the engine's existing context mechanism the rule is </w:t>
      </w:r>
      <w:r>
        <w:rPr>
          <w:i/>
        </w:rPr>
        <w:t>unknown</w:t>
      </w:r>
      <w:r>
        <w:t xml:space="preserve"> (not proposing) unless the clinician supplies </w:t>
      </w:r>
      <w:r>
        <w:rPr>
          <w:rFonts w:ascii="Courier New" w:hAnsi="Courier New" w:eastAsia="Courier New" w:cs="Courier New"/>
          <w:color w:val="000000"/>
          <w:sz w:val="22"/>
        </w:rPr>
        <w:t>exposure_history: true</w:t>
      </w:r>
      <w:r>
        <w:t xml:space="preserve"> (travel / vector / animal / outbreak / occupational exposure) — a new optional context field documented in </w:t>
      </w:r>
      <w:r>
        <w:rPr>
          <w:rFonts w:ascii="Courier New" w:hAnsi="Courier New" w:eastAsia="Courier New" w:cs="Courier New"/>
          <w:color w:val="000000"/>
          <w:sz w:val="22"/>
        </w:rPr>
        <w:t>INPUT_SCHEMA_v1.md</w:t>
      </w:r>
      <w:r>
        <w:t>. (ii) 9 "*_pattern" entities whose only rule was CRP: rule retired (</w:t>
      </w:r>
      <w:r>
        <w:rPr>
          <w:rFonts w:ascii="Courier New" w:hAnsi="Courier New" w:eastAsia="Courier New" w:cs="Courier New"/>
          <w:color w:val="000000"/>
          <w:sz w:val="22"/>
        </w:rPr>
        <w:t>retired_v13_2_nonspecific_single_marker</w:t>
      </w:r>
      <w:r>
        <w:t xml:space="preserve">). (iii) 23 qualitative-positive specific-marker rules added where the feature registry already had an unambiguous test (PCR / antigen / IgM / culture → diagnostic_criterion weight 6; IgG-only serology or KOH → screening weight 3, </w:t>
      </w:r>
      <w:r>
        <w:rPr>
          <w:rFonts w:ascii="Courier New" w:hAnsi="Courier New" w:eastAsia="Courier New" w:cs="Courier New"/>
          <w:color w:val="000000"/>
          <w:sz w:val="22"/>
        </w:rPr>
        <w:t>diagnosis_allowed: false</w:t>
      </w:r>
      <w:r>
        <w:t>); no numeric threshold invented. Syndromic entities (sepsis patterns, pneumonia, cellulitis, osteomyelitis, cholangitis, gastroenteritis, tuberculosis) and ESL-driven, engine-guarded entities (leptospirosis, scrub typhus, PCP) are not gated.</w:t>
      </w:r>
    </w:p>
    <w:p>
      <w:r>
        <w:rPr>
          <w:b/>
        </w:rPr>
        <w:t>Pre-activation verification</w:t>
      </w:r>
      <w:r>
        <w:t xml:space="preserve"> (</w:t>
      </w:r>
      <w:r>
        <w:rPr>
          <w:rFonts w:ascii="Courier New" w:hAnsi="Courier New" w:eastAsia="Courier New" w:cs="Courier New"/>
          <w:color w:val="000000"/>
          <w:sz w:val="22"/>
        </w:rPr>
        <w:t>eval/patches/test_registry_v13_2_0.py</w:t>
      </w:r>
      <w:r>
        <w:t xml:space="preserve"> → </w:t>
      </w:r>
      <w:r>
        <w:rPr>
          <w:rFonts w:ascii="Courier New" w:hAnsi="Courier New" w:eastAsia="Courier New" w:cs="Courier New"/>
          <w:color w:val="000000"/>
          <w:sz w:val="22"/>
        </w:rPr>
        <w:t>eval/patches/cand/test_registry_v13_2_0.md</w:t>
      </w:r>
      <w:r>
        <w:t xml:space="preserve">; </w:t>
      </w:r>
      <w:r>
        <w:rPr>
          <w:rFonts w:ascii="Courier New" w:hAnsi="Courier New" w:eastAsia="Courier New" w:cs="Courier New"/>
          <w:color w:val="000000"/>
          <w:sz w:val="22"/>
        </w:rPr>
        <w:t>tests/test_registry_v13_2_exposure_gate.py</w:t>
      </w:r>
      <w:r>
        <w:t xml:space="preserve">, 5 tests): target vignettes clean; gate opens with </w:t>
      </w:r>
      <w:r>
        <w:rPr>
          <w:rFonts w:ascii="Courier New" w:hAnsi="Courier New" w:eastAsia="Courier New" w:cs="Courier New"/>
          <w:color w:val="000000"/>
          <w:sz w:val="22"/>
        </w:rPr>
        <w:t>exposure_history: true</w:t>
      </w:r>
      <w:r>
        <w:t xml:space="preserve">; hantavirus IgM still proposes hantavirus at rank 2; healthy panel empty; </w:t>
      </w:r>
      <w:r>
        <w:rPr>
          <w:b/>
        </w:rPr>
        <w:t>B8 240 blind panels: recall@5 293/456 before and after, 0 label-level changes</w:t>
      </w:r>
      <w:r>
        <w:t>; PMC manual arm 34/50 before and after, 0 rank changes; pathogen entities in any eICU/PMC top-10 after patch: 0 (one legitimate strongyloidiasis with IgE 3770 + eosinophilia remains).</w:t>
      </w:r>
    </w:p>
    <w:p>
      <w:r>
        <w:rPr>
          <w:b/>
        </w:rPr>
        <w:t>Activation rule.</w:t>
      </w:r>
      <w:r>
        <w:t xml:space="preserve"> The patch is </w:t>
      </w:r>
      <w:r>
        <w:rPr>
          <w:b/>
        </w:rPr>
        <w:t>not</w:t>
      </w:r>
      <w:r>
        <w:t xml:space="preserve"> applied while the v5.2 three-arm eICU chain is running (all v5.x arms must share registry 13.1.0). It is applied immediately after </w:t>
      </w:r>
      <w:r>
        <w:rPr>
          <w:rFonts w:ascii="Courier New" w:hAnsi="Courier New" w:eastAsia="Courier New" w:cs="Courier New"/>
          <w:color w:val="000000"/>
          <w:sz w:val="22"/>
        </w:rPr>
        <w:t>FREEZE_v5.2</w:t>
      </w:r>
      <w:r>
        <w:t xml:space="preserve"> is written, becomes registry 13.2.0, and the affected evaluations are re-run as v5.3 with the 13.2.0 hash in a separate freeze file; the paper reports v5.2 (13.1.0) as primary and v5.3 as the post-audit correction, with this amendment cited. This is the first worked example of the "errors found by audit are corrected in the next registry release with a changelog" policy stated in the Limitations.</w:t>
      </w:r>
    </w:p>
    <w:p>
      <w:pPr>
        <w:pStyle w:val="Heading2"/>
      </w:pPr>
      <w:r>
        <w:rPr>
          <w:rFonts w:ascii="Times New Roman" w:hAnsi="Times New Roman" w:eastAsia="Times New Roman" w:cs="Times New Roman"/>
          <w:b/>
          <w:i w:val="0"/>
          <w:color w:val="000000"/>
        </w:rPr>
        <w:t>Amendment 11 (2026-10-23) — pre-registered findings from the v5.2 context-arm review and sex-gap anatomy</w:t>
      </w:r>
    </w:p>
    <w:p>
      <w:r>
        <w:t xml:space="preserve">Source: </w:t>
      </w:r>
      <w:r>
        <w:rPr>
          <w:rFonts w:ascii="Courier New" w:hAnsi="Courier New" w:eastAsia="Courier New" w:cs="Courier New"/>
          <w:color w:val="000000"/>
          <w:sz w:val="22"/>
        </w:rPr>
        <w:t>eval/results/eicu_demo/deep_review_20261023.md</w:t>
      </w:r>
      <w:r>
        <w:t>, written before the v5.2 freeze; no code or registry changed.</w:t>
      </w:r>
    </w:p>
    <w:p>
      <w:r>
        <w:t xml:space="preserve">1. </w:t>
      </w:r>
      <w:r>
        <w:rPr>
          <w:b/>
        </w:rPr>
        <w:t>Context arm is largely a context echo.</w:t>
      </w:r>
      <w:r>
        <w:t xml:space="preserve"> Same labels, ctx vs labs-only: NOT named in history (n=2,467) +0.9 points recall@5; named in history (n=240) +23.3 points. Documented-only entries consume ranking slots and reduce recall for AKI (−5.0), hyperkalaemia (−6.1), coagulopathy (−6.1). </w:t>
      </w:r>
      <w:r>
        <w:rPr>
          <w:b/>
        </w:rPr>
        <w:t>Reporting rule:</w:t>
      </w:r>
      <w:r>
        <w:t xml:space="preserve"> the context arm's headline number in the paper is recall@5 on NOT-named labels; the all-label number is given with the echo decomposition. </w:t>
      </w:r>
      <w:r>
        <w:rPr>
          <w:b/>
        </w:rPr>
        <w:t>v5.3 design change (pre-registered):</w:t>
      </w:r>
      <w:r>
        <w:t xml:space="preserve"> </w:t>
      </w:r>
      <w:r>
        <w:rPr>
          <w:rFonts w:ascii="Courier New" w:hAnsi="Courier New" w:eastAsia="Courier New" w:cs="Courier New"/>
          <w:color w:val="000000"/>
          <w:sz w:val="22"/>
        </w:rPr>
        <w:t>listed_documented</w:t>
      </w:r>
      <w:r>
        <w:t xml:space="preserve"> entities are shown in a separate "documented problems" block and excluded from the ranked differential that recall@k is computed on.</w:t>
      </w:r>
    </w:p>
    <w:p>
      <w:r>
        <w:t xml:space="preserve">2. </w:t>
      </w:r>
      <w:r>
        <w:rPr>
          <w:b/>
        </w:rPr>
        <w:t>Sex gap is within-group, not case-mix.</w:t>
      </w:r>
      <w:r>
        <w:t xml:space="preserve"> Direct standardisation: female label mix at male per-group rates = 57.9 % vs observed 55.7 % (male 58.5 %). Largest female deficits: AKI −14, GI bleeding −13, AMI −12, renal impairment −9 points. Root cause located in the registry: AKI screening uses creatinine &gt; 1.3 mg/dL for all sexes while the feature registry carries sex-specific ranges (F 0.5–1.1); troponin I has a single cut-off (0.04 ng/mL) without sex-specific 99th percentiles. </w:t>
      </w:r>
      <w:r>
        <w:rPr>
          <w:b/>
        </w:rPr>
        <w:t>v13.3 corrections (pre-registered):</w:t>
      </w:r>
      <w:r>
        <w:t xml:space="preserve"> sex-specific creatinine thresholds in AKI/CKD screening rules; sex-specific troponin limits for hs-assays (ESC 2020 / 4th UDMI); before/after reported on the same frozen cohorts and in the fairness table.</w:t>
      </w:r>
    </w:p>
    <w:p>
      <w:r>
        <w:t xml:space="preserve">3. </w:t>
      </w:r>
      <w:r>
        <w:rPr>
          <w:b/>
        </w:rPr>
        <w:t>Mislabelled rule class:</w:t>
      </w:r>
      <w:r>
        <w:t xml:space="preserve"> </w:t>
      </w:r>
      <w:r>
        <w:rPr>
          <w:rFonts w:ascii="Courier New" w:hAnsi="Courier New" w:eastAsia="Courier New" w:cs="Courier New"/>
          <w:color w:val="000000"/>
          <w:sz w:val="22"/>
        </w:rPr>
        <w:t>acute_myocardial_infarction</w:t>
      </w:r>
      <w:r>
        <w:t xml:space="preserve"> carries risk-factor rules (total cholesterol ≥ 200, LDL ≥ 115, hs-CRP &gt; 3) typed as screening for an acute event. These will be re-homed to risk entities in v13.3 and are added to the A1 physician audit sample as a "wrong entity" exemplar.</w:t>
      </w:r>
    </w:p>
    <w:p>
      <w:pPr>
        <w:pStyle w:val="Heading2"/>
      </w:pPr>
      <w:r>
        <w:rPr>
          <w:rFonts w:ascii="Times New Roman" w:hAnsi="Times New Roman" w:eastAsia="Times New Roman" w:cs="Times New Roman"/>
          <w:b/>
          <w:i w:val="0"/>
          <w:color w:val="000000"/>
        </w:rPr>
        <w:t>Amendment 12 (2026-10-23) — registry patch 13.3.0: systematic defect-class repair (pre-registered before any evaluation on the patched registry)</w:t>
      </w:r>
    </w:p>
    <w:p>
      <w:r>
        <w:rPr>
          <w:b/>
        </w:rPr>
        <w:t>Trigger.</w:t>
      </w:r>
      <w:r>
        <w:t xml:space="preserve"> A read-only defect scanner (</w:t>
      </w:r>
      <w:r>
        <w:rPr>
          <w:rFonts w:ascii="Courier New" w:hAnsi="Courier New" w:eastAsia="Courier New" w:cs="Courier New"/>
          <w:color w:val="000000"/>
          <w:sz w:val="22"/>
        </w:rPr>
        <w:t>eval/registry_defect_scan.py</w:t>
      </w:r>
      <w:r>
        <w:t xml:space="preserve">, ten classes D1–D10) was run on registry 13.1.0 (34,005 executable rules, 6,750 entities) after the Amendment-11 review. Output: </w:t>
      </w:r>
      <w:r>
        <w:rPr>
          <w:rFonts w:ascii="Courier New" w:hAnsi="Courier New" w:eastAsia="Courier New" w:cs="Courier New"/>
          <w:color w:val="000000"/>
          <w:sz w:val="22"/>
        </w:rPr>
        <w:t>eval/results/registry_defect_scan_13.1.0.md/.json</w:t>
      </w:r>
      <w:r>
        <w:t>.</w:t>
      </w:r>
    </w:p>
    <w:p>
      <w:r>
        <w:rPr>
          <w:b/>
        </w:rPr>
        <w:t>Findings (13.1.0, after manual triage of scanner output).</w:t>
      </w:r>
      <w:r>
        <w:t xml:space="preserve"> D1 sex-blind thresholds on sex-dimorphic analytes: 800 flagged, of which 197 rules carried </w:t>
      </w:r>
      <w:r>
        <w:rPr>
          <w:rFonts w:ascii="Courier New" w:hAnsi="Courier New" w:eastAsia="Courier New" w:cs="Courier New"/>
          <w:color w:val="000000"/>
          <w:sz w:val="22"/>
        </w:rPr>
        <w:t>_male_</w:t>
      </w:r>
      <w:r>
        <w:t>/</w:t>
      </w:r>
      <w:r>
        <w:rPr>
          <w:rFonts w:ascii="Courier New" w:hAnsi="Courier New" w:eastAsia="Courier New" w:cs="Courier New"/>
          <w:color w:val="000000"/>
          <w:sz w:val="22"/>
        </w:rPr>
        <w:t>_female_</w:t>
      </w:r>
      <w:r>
        <w:t xml:space="preserve"> in their id but </w:t>
      </w:r>
      <w:r>
        <w:rPr>
          <w:rFonts w:ascii="Courier New" w:hAnsi="Courier New" w:eastAsia="Courier New" w:cs="Courier New"/>
          <w:color w:val="000000"/>
          <w:sz w:val="22"/>
        </w:rPr>
        <w:t>population.sex = all</w:t>
      </w:r>
      <w:r>
        <w:t xml:space="preserve">, and ≈350 proposing rules on creatinine/Hb/Hct/RBC/ALT/AST/urate used the male or mixed limit for both sexes (ferritin and serum iron flags are false positives: WHO cut-offs are sex-independent). D2 unit/scale: hs-troponin I/T leaves declared in ng/mL with values 14–50 (ng/L values mislabelled; 67 leaves) and 13 sperm-morphology leaves &gt; 100 %. D3: six risk-factor rules (lipids, hs-CRP) typed as screening for acute entities (AMI ×3, ischaemic stroke, acute pericarditis ×2). D5: 100 etiologic clinical entities proposable from routine analytes alone, of which 63 are non-syndromic (sarcomas, lymphomas, vasculitides, ALS, aortic dissection, upper-respiratory infections, 30+ infections not covered by 13.2.0) and 18 are genuine laboratory syndromes kept unchanged (DIC, TMA, warfarin over-anticoagulation, biliary obstruction, cholecystitis, contrast nephropathy, kwashiorkor, NEC, GSD-1, hypophosphatasia, lymphangiectasia, chylomicronaemia, pyloric stenosis, PROM, biliary atresia, hypothermia, heat stroke, pattern 026). D7: 511 rules applied adult thresholds (creatinine ≥ 1.0, Hb ≤ 11, ALP ≥ 130, bilirubin ≥ 1.2, eGFR ≤ 60, urate ≥ 6) to neonates/infants. D8: 57 single-routine-analyte diagnostic rules on clinical entities claimed </w:t>
      </w:r>
      <w:r>
        <w:rPr>
          <w:rFonts w:ascii="Courier New" w:hAnsi="Courier New" w:eastAsia="Courier New" w:cs="Courier New"/>
          <w:color w:val="000000"/>
          <w:sz w:val="22"/>
        </w:rPr>
        <w:t>specificity: specific</w:t>
      </w:r>
      <w:r>
        <w:t xml:space="preserve"> (e.g. procalcitonin → appendicitis). D4/D6/D9/D10 (impossible values, undefined features, dangling sources, single-analyte diagnosis_allowed): 0.</w:t>
      </w:r>
    </w:p>
    <w:p>
      <w:r>
        <w:rPr>
          <w:b/>
        </w:rPr>
        <w:t>Repair (`eval/patches/registry_v13_3_0_quality.py`, stacked on the 13.2.0 candidate; registry content only, engine untouched).</w:t>
      </w:r>
      <w:r>
        <w:t xml:space="preserve"> D1a: </w:t>
      </w:r>
      <w:r>
        <w:rPr>
          <w:rFonts w:ascii="Courier New" w:hAnsi="Courier New" w:eastAsia="Courier New" w:cs="Courier New"/>
          <w:color w:val="000000"/>
          <w:sz w:val="22"/>
        </w:rPr>
        <w:t>population.sex</w:t>
      </w:r>
      <w:r>
        <w:t xml:space="preserve"> set from the rule id (197). D1b: 350 rules split into a male rule (original threshold) and a female rule </w:t>
      </w:r>
      <w:r>
        <w:rPr>
          <w:rFonts w:ascii="Courier New" w:hAnsi="Courier New" w:eastAsia="Courier New" w:cs="Courier New"/>
          <w:color w:val="000000"/>
          <w:sz w:val="22"/>
        </w:rPr>
        <w:t>&lt;id&gt;_f13_3</w:t>
      </w:r>
      <w:r>
        <w:t xml:space="preserve"> whose threshold is the female reference limit from the feature registry (Tietz/KDIGO/WHO) when the original equalled the male limit, otherwise scaled by the limit ratio; urate thresholds &lt; 7.0 (solubility limit 6.8) are not split; with sex unknown both variants are evaluated (the more sensitive one governs — documented behaviour). D2: 67 troponin leaves relabelled ng/L; 13 sperm-morphology rules retired. D3: six rules re-homed to </w:t>
      </w:r>
      <w:r>
        <w:rPr>
          <w:rFonts w:ascii="Courier New" w:hAnsi="Courier New" w:eastAsia="Courier New" w:cs="Courier New"/>
          <w:color w:val="000000"/>
          <w:sz w:val="22"/>
        </w:rPr>
        <w:t>atherosclerotic_cardiovascular_risk_lipid_pattern</w:t>
      </w:r>
      <w:r>
        <w:t xml:space="preserve"> as non-specific screening, </w:t>
      </w:r>
      <w:r>
        <w:rPr>
          <w:rFonts w:ascii="Courier New" w:hAnsi="Courier New" w:eastAsia="Courier New" w:cs="Courier New"/>
          <w:color w:val="000000"/>
          <w:sz w:val="22"/>
        </w:rPr>
        <w:t>diagnosis_allowed: false</w:t>
      </w:r>
      <w:r>
        <w:t xml:space="preserve">. D5: 63 entities gated — infectious ones on </w:t>
      </w:r>
      <w:r>
        <w:rPr>
          <w:rFonts w:ascii="Courier New" w:hAnsi="Courier New" w:eastAsia="Courier New" w:cs="Courier New"/>
          <w:color w:val="000000"/>
          <w:sz w:val="22"/>
        </w:rPr>
        <w:t>exposure_history: true</w:t>
      </w:r>
      <w:r>
        <w:t xml:space="preserve">, all others on a new optional context key </w:t>
      </w:r>
      <w:r>
        <w:rPr>
          <w:rFonts w:ascii="Courier New" w:hAnsi="Courier New" w:eastAsia="Courier New" w:cs="Courier New"/>
          <w:color w:val="000000"/>
          <w:sz w:val="22"/>
        </w:rPr>
        <w:t>clinical_suspicion: true</w:t>
      </w:r>
      <w:r>
        <w:t xml:space="preserve"> (same engine mechanism; entity is never proposed from routine analytes without it). D7: neonate/infant (and child for ALP) removed from the population of 511 rules; no paediatric thresholds invented; neonatal entities untouched. D8: 57 rules downgraded to </w:t>
      </w:r>
      <w:r>
        <w:rPr>
          <w:rFonts w:ascii="Courier New" w:hAnsi="Courier New" w:eastAsia="Courier New" w:cs="Courier New"/>
          <w:color w:val="000000"/>
          <w:sz w:val="22"/>
        </w:rPr>
        <w:t>non_specific</w:t>
      </w:r>
      <w:r>
        <w:t xml:space="preserve">, </w:t>
      </w:r>
      <w:r>
        <w:rPr>
          <w:rFonts w:ascii="Courier New" w:hAnsi="Courier New" w:eastAsia="Courier New" w:cs="Courier New"/>
          <w:color w:val="000000"/>
          <w:sz w:val="22"/>
        </w:rPr>
        <w:t>diagnosis_allowed: false</w:t>
      </w:r>
      <w:r>
        <w:t>. Executable rules after patch: 34,356 (+350 female variants, −13 retired).</w:t>
      </w:r>
    </w:p>
    <w:p>
      <w:r>
        <w:rPr>
          <w:b/>
        </w:rPr>
        <w:t>Verification.</w:t>
      </w:r>
      <w:r>
        <w:t xml:space="preserve"> Scanner re-run on the candidate: D3/D4/D6/D7/D8/D9/D10 = 0; D1 residue = ferritin/iron (documented), staging/component rules and one dengue Hct warning-sign rule; D5 residue = the KEEP list exactly. Structural tests </w:t>
      </w:r>
      <w:r>
        <w:rPr>
          <w:rFonts w:ascii="Courier New" w:hAnsi="Courier New" w:eastAsia="Courier New" w:cs="Courier New"/>
          <w:color w:val="000000"/>
          <w:sz w:val="22"/>
        </w:rPr>
        <w:t>tests/test_registry_v13_3_quality.py</w:t>
      </w:r>
      <w:r>
        <w:t xml:space="preserve"> (9) pass. Functional regression (</w:t>
      </w:r>
      <w:r>
        <w:rPr>
          <w:rFonts w:ascii="Courier New" w:hAnsi="Courier New" w:eastAsia="Courier New" w:cs="Courier New"/>
          <w:color w:val="000000"/>
          <w:sz w:val="22"/>
        </w:rPr>
        <w:t>eval/patches/test_registry_v13_3_0.py</w:t>
      </w:r>
      <w:r>
        <w:t xml:space="preserve">, B8 240 panels and PMC manual arm, plus sex-specific probes) is reported in </w:t>
      </w:r>
      <w:r>
        <w:rPr>
          <w:rFonts w:ascii="Courier New" w:hAnsi="Courier New" w:eastAsia="Courier New" w:cs="Courier New"/>
          <w:color w:val="000000"/>
          <w:sz w:val="22"/>
        </w:rPr>
        <w:t>eval/patches/cand/test_registry_v13_3_0.md</w:t>
      </w:r>
      <w:r>
        <w:t>.</w:t>
      </w:r>
    </w:p>
    <w:p>
      <w:r>
        <w:rPr>
          <w:b/>
        </w:rPr>
        <w:t>Pre-registered expectations and reporting rule.</w:t>
      </w:r>
      <w:r>
        <w:t xml:space="preserve"> 13.2.0 + 13.3.0 are activated together after the v5.2 freeze and produce v5.3. Primary pre-registered hypotheses: (H1) female−male recall@5 gap on the eICU held-out cohort narrows from −2.8 points (v5.1) to within ±1.5; (H2) no decrease &gt; 1 point in overall recall@5; (H3) B8 recall@5 ≥ 293/456 − 5. v5.3 is reported next to v5.2 on the same cohort with per-group deltas; failure of H2/H3 leads to reverting the specific class responsible, not to silent re-tuning. The residual limitation stands: the repair was AI-executed from reference-range tables, logged per rule, and remains subject to the A1 physician audit.</w:t>
      </w:r>
    </w:p>
    <w:p>
      <w:r>
        <w:rPr>
          <w:b/>
        </w:rPr>
        <w:t>Amendment 12, addendum (same day, second scanner wave, before any v5.3 evaluation).</w:t>
      </w:r>
      <w:r>
        <w:t xml:space="preserve"> Four further classes were found and folded into the same 13.3.0 candidate: D12 — 282 rules applied adult creatinine/eGFR/ALP thresholds to the </w:t>
      </w:r>
      <w:r>
        <w:rPr>
          <w:i/>
        </w:rPr>
        <w:t>child</w:t>
      </w:r>
      <w:r>
        <w:t xml:space="preserve"> age group (child creatinine ULN ≈ 0.3–0.7 mg/dL; CKD-EPI is adult-only): child removed from their population. D13 — 6 exact duplicate executable rules (same entity, type and expression; evidence counted twice): older copy retired. </w:t>
      </w:r>
      <w:r>
        <w:rPr>
          <w:b/>
        </w:rPr>
        <w:t>D17 — domain-template broadcast:</w:t>
      </w:r>
      <w:r>
        <w:t xml:space="preserve"> five haematology screening rules (platelets ≥ 450, Hb &lt; 13, platelets &lt; 100, ferritin &lt; 15, TSAT &lt; 20) had been attached to </w:t>
      </w:r>
      <w:r>
        <w:rPr>
          <w:i/>
        </w:rPr>
        <w:t>every</w:t>
      </w:r>
      <w:r>
        <w:t xml:space="preserve"> haematology entity (195 entities, including thrombophilias, haemophilia, PE/DVT, ITP, polycythaemia), six endocrine screens (low/high fT4, hypo/hyper-TSH, glucose &lt; 55, morning cortisol) to all 31 endocrine entities (e.g. PCOS, Paget's, pheochromocytoma) and three renal screens to 24–36 renal entities; 940 of these 1,192 rules were retired using a per-template compatibility pattern recorded in </w:t>
      </w:r>
      <w:r>
        <w:rPr>
          <w:rFonts w:ascii="Courier New" w:hAnsi="Courier New" w:eastAsia="Courier New" w:cs="Courier New"/>
          <w:color w:val="000000"/>
          <w:sz w:val="22"/>
        </w:rPr>
        <w:t>TEMPLATE_COMPAT</w:t>
      </w:r>
      <w:r>
        <w:t xml:space="preserve"> (kept only where the analyte change is part of the entity's known laboratory picture). </w:t>
      </w:r>
      <w:r>
        <w:rPr>
          <w:b/>
        </w:rPr>
        <w:t>D18 — placeholder entities:</w:t>
      </w:r>
      <w:r>
        <w:t xml:space="preserve"> 90 entities named "Expanded laboratory pattern 001–090" carry no clinical identity (templated rules plus one "analyte &gt; 0" rule); all their rules were retired and the entities flagged </w:t>
      </w:r>
      <w:r>
        <w:rPr>
          <w:rFonts w:ascii="Courier New" w:hAnsi="Courier New" w:eastAsia="Courier New" w:cs="Courier New"/>
          <w:color w:val="000000"/>
          <w:sz w:val="22"/>
        </w:rPr>
        <w:t>placeholder_retired_v13_3_0</w:t>
      </w:r>
      <w:r>
        <w:t xml:space="preserve">. Consequently the registry entity count quoted in the manuscript (6,750) must be reported as 6,660 clinically named entities (+90 retired placeholders), and a number of alias entities (e.g. </w:t>
      </w:r>
      <w:r>
        <w:rPr>
          <w:rFonts w:ascii="Courier New" w:hAnsi="Courier New" w:eastAsia="Courier New" w:cs="Courier New"/>
          <w:color w:val="000000"/>
          <w:sz w:val="22"/>
        </w:rPr>
        <w:t>acute_myeloid_leukemia</w:t>
      </w:r>
      <w:r>
        <w:t xml:space="preserve"> / </w:t>
      </w:r>
      <w:r>
        <w:rPr>
          <w:rFonts w:ascii="Courier New" w:hAnsi="Courier New" w:eastAsia="Courier New" w:cs="Courier New"/>
          <w:color w:val="000000"/>
          <w:sz w:val="22"/>
        </w:rPr>
        <w:t>acute_myeloid_leukemia_aml</w:t>
      </w:r>
      <w:r>
        <w:t xml:space="preserve">) are now gated on </w:t>
      </w:r>
      <w:r>
        <w:rPr>
          <w:rFonts w:ascii="Courier New" w:hAnsi="Courier New" w:eastAsia="Courier New" w:cs="Courier New"/>
          <w:color w:val="000000"/>
          <w:sz w:val="22"/>
        </w:rPr>
        <w:t>clinical_suspicion</w:t>
      </w:r>
      <w:r>
        <w:t xml:space="preserve"> because their only remaining rules are routine-analyte templates (D5 re-run after D17: 87 entities gated in total). Executable rules after the full patch: 33,230 (from 34,005). The pre-registered hypotheses H1–H3 above apply unchanged; D17 is the class most likely to move overall recall and is therefore reported separately (ablation: 13.3.0 with and without D17) if H2 fails.</w:t>
      </w:r>
    </w:p>
    <w:p>
      <w:r>
        <w:rPr>
          <w:b/>
        </w:rPr>
        <w:t>Amendment 12, activation record (2026-10-23 21:03–21:25 UTC).</w:t>
      </w:r>
      <w:r>
        <w:t xml:space="preserve"> Activation requires copying the candidate to </w:t>
      </w:r>
      <w:r>
        <w:rPr>
          <w:i/>
        </w:rPr>
        <w:t>both</w:t>
      </w:r>
      <w:r>
        <w:t xml:space="preserve"> </w:t>
      </w:r>
      <w:r>
        <w:rPr>
          <w:rFonts w:ascii="Courier New" w:hAnsi="Courier New" w:eastAsia="Courier New" w:cs="Courier New"/>
          <w:color w:val="000000"/>
          <w:sz w:val="22"/>
        </w:rPr>
        <w:t>HEMOGLYPH_GUIDELINE_REGISTRY.json.br</w:t>
      </w:r>
      <w:r>
        <w:t xml:space="preserve"> and the engine default </w:t>
      </w:r>
      <w:r>
        <w:rPr>
          <w:rFonts w:ascii="Courier New" w:hAnsi="Courier New" w:eastAsia="Courier New" w:cs="Courier New"/>
          <w:color w:val="000000"/>
          <w:sz w:val="22"/>
        </w:rPr>
        <w:t>HEMOGLYPH_DISEASE_GUIDELINE_REGISTRY.json.br</w:t>
      </w:r>
      <w:r>
        <w:t>; the first attempt updated only the former, so the runs produced 19:43–21:00 UTC are void (</w:t>
      </w:r>
      <w:r>
        <w:rPr>
          <w:rFonts w:ascii="Courier New" w:hAnsi="Courier New" w:eastAsia="Courier New" w:cs="Courier New"/>
          <w:color w:val="000000"/>
          <w:sz w:val="22"/>
        </w:rPr>
        <w:t>run_20261023_v53/invalid_ran_on_13_1_0/</w:t>
      </w:r>
      <w:r>
        <w:t>). Two corrections were made on the real 13.3.0 gate, both recorded here before any held-out result was examined: (i) D8 had wrongly downgraded single-analyte diagnostic rules of laboratory-finding entities (</w:t>
      </w:r>
      <w:r>
        <w:rPr>
          <w:rFonts w:ascii="Courier New" w:hAnsi="Courier New" w:eastAsia="Courier New" w:cs="Courier New"/>
          <w:color w:val="000000"/>
          <w:sz w:val="22"/>
        </w:rPr>
        <w:t>*_pattern</w:t>
      </w:r>
      <w:r>
        <w:t xml:space="preserve">, -emia/-penia/-cytosis/-uria) — e.g. </w:t>
      </w:r>
      <w:r>
        <w:rPr>
          <w:rFonts w:ascii="Courier New" w:hAnsi="Courier New" w:eastAsia="Courier New" w:cs="Courier New"/>
          <w:color w:val="000000"/>
          <w:sz w:val="22"/>
        </w:rPr>
        <w:t>hypertriglyceridemia_pattern</w:t>
      </w:r>
      <w:r>
        <w:t xml:space="preserve"> — which the engine merges into the parent entity; D8 now excludes finding entities (57 → 12 downgrades) and the engine battery returned to 50/50. (ii) </w:t>
      </w:r>
      <w:r>
        <w:rPr>
          <w:rFonts w:ascii="Courier New" w:hAnsi="Courier New" w:eastAsia="Courier New" w:cs="Courier New"/>
          <w:color w:val="000000"/>
          <w:sz w:val="22"/>
        </w:rPr>
        <w:t>test_profound_neutropenia_named_and_cultures_requested</w:t>
      </w:r>
      <w:r>
        <w:t xml:space="preserve"> previously required </w:t>
      </w:r>
      <w:r>
        <w:rPr>
          <w:rFonts w:ascii="Courier New" w:hAnsi="Courier New" w:eastAsia="Courier New" w:cs="Courier New"/>
          <w:color w:val="000000"/>
          <w:sz w:val="22"/>
        </w:rPr>
        <w:t>severe_neutropenia</w:t>
      </w:r>
      <w:r>
        <w:t xml:space="preserve"> at rank 1 for a pancytopenic panel (WBC 0.2, platelets 19, Hb 6.7); that rank depended on the D17 template rules (Hb &lt; 13, platelets &lt; 100 voting for neutropenia entities), which are clinically unjustified. The test now requires severe_neutropenia within the top 4 with p ≥ 0.6 plus cultures/lactate in next tests; the ranking among three co-true findings is reported as a known behavioural change, not corrected by re-adding rules.</w:t>
      </w:r>
    </w:p>
    <w:p>
      <w:pPr>
        <w:pStyle w:val="Heading2"/>
      </w:pPr>
      <w:r>
        <w:rPr>
          <w:rFonts w:ascii="Times New Roman" w:hAnsi="Times New Roman" w:eastAsia="Times New Roman" w:cs="Times New Roman"/>
          <w:b/>
          <w:i w:val="0"/>
          <w:color w:val="000000"/>
        </w:rPr>
        <w:t>Amendment 13 (2026-10-24, 11:40 UTC) — POST-HOC concurrent-diagnosis analysis of Sepsis-2019 (declared after the pre-registered result was known)</w:t>
      </w:r>
    </w:p>
    <w:p>
      <w:r>
        <w:rPr>
          <w:b/>
        </w:rPr>
        <w:t>Status.</w:t>
      </w:r>
      <w:r>
        <w:t xml:space="preserve"> Exploratory. The pre-registered Sepsis-2019 analysis (prediction of Sepsis-3 onset at any hour from the first-24-h laboratory panel; </w:t>
      </w:r>
      <w:r>
        <w:rPr>
          <w:rFonts w:ascii="Courier New" w:hAnsi="Courier New" w:eastAsia="Courier New" w:cs="Courier New"/>
          <w:color w:val="000000"/>
          <w:sz w:val="22"/>
        </w:rPr>
        <w:t>eval/realdata/eval_sepsis2019.py</w:t>
      </w:r>
      <w:r>
        <w:t xml:space="preserve">) was run on registry 13.3.0 and gave AUROC 0.593 (0.570–0.617) against a supervised logistic baseline of 0.689. </w:t>
      </w:r>
      <w:r>
        <w:rPr>
          <w:b/>
        </w:rPr>
        <w:t>That result is final and is reported unchanged in the main text.</w:t>
      </w:r>
      <w:r>
        <w:t xml:space="preserve"> This amendment adds a second analysis of the same file that matches the task the engine was designed for (recognition of a concurrent diagnosis, as in eICU) and tests the optional vital-signs context; it was written and dated </w:t>
      </w:r>
      <w:r>
        <w:rPr>
          <w:i/>
        </w:rPr>
        <w:t>before</w:t>
      </w:r>
      <w:r>
        <w:t xml:space="preserve"> the new analysis was run, but </w:t>
      </w:r>
      <w:r>
        <w:rPr>
          <w:i/>
        </w:rPr>
        <w:t>after</w:t>
      </w:r>
      <w:r>
        <w:t xml:space="preserve"> the pre-registered result was known, and is therefore labelled post-hoc wherever it is reported.</w:t>
      </w:r>
    </w:p>
    <w:p>
      <w:r>
        <w:rPr>
          <w:b/>
        </w:rPr>
        <w:t>Design (fixed; engine and registry unchanged — registry 13.3.0 is loaded explicitly although 13.4.2 is live).</w:t>
      </w:r>
      <w:r>
        <w:t xml:space="preserve"> Cases: all sepsis patients; window ICULOS ∈ [t_L, t_L + 12] where t_L is the first labelled hour (the challenge label precedes clinical onset by 6 h, so the window is ≈ onset − 6 … + 6 h). Controls: 1,500 non-sepsis patients drawn with seed 20261024, each given a 12-h window whose start is drawn (same seed) from the empirical distribution of case t_L and clipped to the stay, so ICU dwell time is matched. Inclusion ≥ 3 laboratory analytes in the window (vitals and temperature do not count). Arm A: labs + temperature (as pre-registered). Arm B: labs + HR, SBP, MAP, respiratory rate, temperature as observations and as patient context. Score, metrics, bootstrap and supervised baseline exactly as in the pre-registered analysis; baseline B adds the vitals.</w:t>
      </w:r>
    </w:p>
    <w:p>
      <w:r>
        <w:rPr>
          <w:b/>
        </w:rPr>
        <w:t>Pre-stated interpretation rules.</w:t>
      </w:r>
      <w:r>
        <w:t xml:space="preserve"> (i) Neither arm replaces the pre-registered number; both are tabulated with it. (ii) An engine AUROC in arm A of ≥ 0.70 would support the claim that the 0.59 reflects the prediction framing rather than an inability to recognise the septic panel; &lt; 0.65 would indicate the engine's sepsis group is genuinely weak and this is stated in Limitations. (iii) Arm B − arm A is reported as the contribution of vital signs; no threshold is attached because the context module is optional. (iv) Known biases stated with the result: label-anchored windows are not operational; cases are sampled more densely around onset (the ≥ 3-lab filter retains a larger share of cases than controls); Sepsis-3 labels are themselves algorithmic.</w:t>
      </w:r>
    </w:p>
    <w:p>
      <w:r>
        <w:rPr>
          <w:b/>
        </w:rPr>
        <w:t>Outputs.</w:t>
      </w:r>
      <w:r>
        <w:t xml:space="preserve"> </w:t>
      </w:r>
      <w:r>
        <w:rPr>
          <w:rFonts w:ascii="Courier New" w:hAnsi="Courier New" w:eastAsia="Courier New" w:cs="Courier New"/>
          <w:color w:val="000000"/>
          <w:sz w:val="22"/>
        </w:rPr>
        <w:t>eval/results/sepsis2019/concurrent_report.md</w:t>
      </w:r>
      <w:r>
        <w:t xml:space="preserve">, </w:t>
      </w:r>
      <w:r>
        <w:rPr>
          <w:rFonts w:ascii="Courier New" w:hAnsi="Courier New" w:eastAsia="Courier New" w:cs="Courier New"/>
          <w:color w:val="000000"/>
          <w:sz w:val="22"/>
        </w:rPr>
        <w:t>concurrent_summary.json</w:t>
      </w:r>
      <w:r>
        <w:t xml:space="preserve">, </w:t>
      </w:r>
      <w:r>
        <w:rPr>
          <w:rFonts w:ascii="Courier New" w:hAnsi="Courier New" w:eastAsia="Courier New" w:cs="Courier New"/>
          <w:color w:val="000000"/>
          <w:sz w:val="22"/>
        </w:rPr>
        <w:t>concurrent_per_patient.json</w:t>
      </w:r>
      <w:r>
        <w:t>; reported in the Supplement (Table S-Sepsis) and one sentence of the Results paragraph, flagged post-hoc.</w:t>
      </w:r>
    </w:p>
    <w:p>
      <w:r>
        <w:rPr>
          <w:b/>
        </w:rPr>
        <w:t>Outcome (recorded 2026-10-24 after execution).</w:t>
      </w:r>
      <w:r>
        <w:t xml:space="preserve"> 388 cases / 772 controls. Arm A AUROC 0.534 (0.508–0.561); arm B 0.534 (identical in all 1,160 windows — no 13.3.0 sepsis rule consumes vital signs); logistic baseline 0.667 / 0.703; recall@5 21.6 %; flag rate 14.8 %. Rule (iii) applies: &lt; 0.65 → the laboratory-only sepsis group is genuinely weak on real ICU data; stated in Results and Limitations; Supplementary Table S12. Mechanism: no PCT/CRP in the file, lactate in 37 % / 22 % of windows, sepsis probability 0 in 74 % of cases. No rule or weight changed.</w:t>
      </w:r>
    </w:p>
    <w:p>
      <w:r>
        <w:t>---</w:t>
      </w:r>
    </w:p>
    <w:p>
      <w:pPr>
        <w:pStyle w:val="Heading2"/>
      </w:pPr>
      <w:r>
        <w:rPr>
          <w:rFonts w:ascii="Times New Roman" w:hAnsi="Times New Roman" w:eastAsia="Times New Roman" w:cs="Times New Roman"/>
          <w:b/>
          <w:i w:val="0"/>
          <w:color w:val="000000"/>
        </w:rPr>
        <w:t>Amendment 14 — Registry 14.0 / engine v6 development with a quarantined external validation (dated 2026-10-24, written BEFORE any change)</w:t>
      </w:r>
    </w:p>
    <w:p>
      <w:r>
        <w:rPr>
          <w:b/>
        </w:rPr>
        <w:t>Why.</w:t>
      </w:r>
      <w:r>
        <w:t xml:space="preserve"> Pre-registered and post-hoc analyses (Amendments 1–13) exposed four mechanistic weaknesses: (a) laboratory findings displace causal diagnoses from the top ranks; (b) the sepsis group is anchored on PCT/CRP and ignores clinical signs; (c) CKD is asserted from a single creatinine (KDIGO requires chronicity); (d) </w:t>
      </w:r>
      <w:r>
        <w:rPr>
          <w:rFonts w:ascii="Courier New" w:hAnsi="Courier New" w:eastAsia="Courier New" w:cs="Courier New"/>
          <w:color w:val="000000"/>
          <w:sz w:val="22"/>
        </w:rPr>
        <w:t>all</w:t>
      </w:r>
      <w:r>
        <w:t xml:space="preserve">-type criteria are silenced by one unmeasured analyte. We now fix these </w:t>
      </w:r>
      <w:r>
        <w:rPr>
          <w:b/>
        </w:rPr>
        <w:t>by design, from guideline sources</w:t>
      </w:r>
      <w:r>
        <w:t>, not by fitting to outcomes.</w:t>
      </w:r>
    </w:p>
    <w:p>
      <w:r>
        <w:rPr>
          <w:b/>
        </w:rPr>
        <w:t>Data roles (fixed now).</w:t>
      </w:r>
      <w:r>
        <w:t xml:space="preserve"> </w:t>
      </w:r>
      <w:r>
        <w:rPr>
          <w:i/>
        </w:rPr>
        <w:t>Development (may be inspected freely):</w:t>
      </w:r>
      <w:r>
        <w:t xml:space="preserve"> eICU-CRD demo, Sepsis-2019 set A, NHANES 2017–18 (J), the existing PMC case set, UCI/ILPD. </w:t>
      </w:r>
      <w:r>
        <w:rPr>
          <w:i/>
        </w:rPr>
        <w:t>Quarantined validation (`eval/quarantine/`, not opened by any script or person until FREEZE_v14):</w:t>
      </w:r>
      <w:r>
        <w:t xml:space="preserve"> Sepsis-2019 </w:t>
      </w:r>
      <w:r>
        <w:rPr>
          <w:b/>
        </w:rPr>
        <w:t>set B (hospital B)</w:t>
      </w:r>
      <w:r>
        <w:t xml:space="preserve">, NHANES </w:t>
      </w:r>
      <w:r>
        <w:rPr>
          <w:b/>
        </w:rPr>
        <w:t>2013–14 (H)</w:t>
      </w:r>
      <w:r>
        <w:t xml:space="preserve">, </w:t>
      </w:r>
      <w:r>
        <w:rPr>
          <w:b/>
        </w:rPr>
        <w:t>MIMIC-IV demo (all admissions)</w:t>
      </w:r>
      <w:r>
        <w:t xml:space="preserve">, and </w:t>
      </w:r>
      <w:r>
        <w:rPr>
          <w:b/>
        </w:rPr>
        <w:t>50 new PMC case reports</w:t>
      </w:r>
      <w:r>
        <w:t xml:space="preserve"> collected after the freeze by the fixed query recorded in </w:t>
      </w:r>
      <w:r>
        <w:rPr>
          <w:rFonts w:ascii="Courier New" w:hAnsi="Courier New" w:eastAsia="Courier New" w:cs="Courier New"/>
          <w:color w:val="000000"/>
          <w:sz w:val="22"/>
        </w:rPr>
        <w:t>eval/realdata/eval_pmc_cases.py</w:t>
      </w:r>
      <w:r>
        <w:t>. Caveat: 30 MIMIC-IV demo admissions were used in a 2026-10-21 smoke test (</w:t>
      </w:r>
      <w:r>
        <w:rPr>
          <w:rFonts w:ascii="Courier New" w:hAnsi="Courier New" w:eastAsia="Courier New" w:cs="Courier New"/>
          <w:color w:val="000000"/>
          <w:sz w:val="22"/>
        </w:rPr>
        <w:t>eval/results/mimic_demo/</w:t>
      </w:r>
      <w:r>
        <w:t>); no 14.0 change is derived from them.</w:t>
      </w:r>
    </w:p>
    <w:p>
      <w:r>
        <w:rPr>
          <w:b/>
        </w:rPr>
        <w:t>Changes allowed (closed list).</w:t>
      </w:r>
      <w:r>
        <w:t xml:space="preserve"> C1 two-tier output (</w:t>
      </w:r>
      <w:r>
        <w:rPr>
          <w:rFonts w:ascii="Courier New" w:hAnsi="Courier New" w:eastAsia="Courier New" w:cs="Courier New"/>
          <w:color w:val="000000"/>
          <w:sz w:val="22"/>
        </w:rPr>
        <w:t>kind ∈ diagnosis | laboratory_finding | syndrome</w:t>
      </w:r>
      <w:r>
        <w:t xml:space="preserve">; top-k scored on diagnoses; findings always reported). C2 syndrome layer: SIRS, qSOFA, SOFA sub-scores from Sepsis-3 (Singer 2016) and SSC 2021, as </w:t>
      </w:r>
      <w:r>
        <w:rPr>
          <w:rFonts w:ascii="Courier New" w:hAnsi="Courier New" w:eastAsia="Courier New" w:cs="Courier New"/>
          <w:color w:val="000000"/>
          <w:sz w:val="22"/>
        </w:rPr>
        <w:t>syndrome</w:t>
      </w:r>
      <w:r>
        <w:t xml:space="preserve"> rules; sepsis asserted only as syndrome + lab support, otherwise </w:t>
      </w:r>
      <w:r>
        <w:rPr>
          <w:rFonts w:ascii="Courier New" w:hAnsi="Courier New" w:eastAsia="Courier New" w:cs="Courier New"/>
          <w:color w:val="000000"/>
          <w:sz w:val="22"/>
        </w:rPr>
        <w:t>hyperlactataemia, cause undetermined</w:t>
      </w:r>
      <w:r>
        <w:t xml:space="preserve">; </w:t>
      </w:r>
      <w:r>
        <w:rPr>
          <w:rFonts w:ascii="Courier New" w:hAnsi="Courier New" w:eastAsia="Courier New" w:cs="Courier New"/>
          <w:color w:val="000000"/>
          <w:sz w:val="22"/>
        </w:rPr>
        <w:t>not_assessable</w:t>
      </w:r>
      <w:r>
        <w:t xml:space="preserve"> status when a group's anchor analytes are absent. C3 KDIGO chronicity: single creatinine → </w:t>
      </w:r>
      <w:r>
        <w:rPr>
          <w:rFonts w:ascii="Courier New" w:hAnsi="Courier New" w:eastAsia="Courier New" w:cs="Courier New"/>
          <w:color w:val="000000"/>
          <w:sz w:val="22"/>
        </w:rPr>
        <w:t>renal_impairment (chronicity undetermined)</w:t>
      </w:r>
      <w:r>
        <w:t xml:space="preserve">; CKD requires &gt;90-day persistence or chronicity markers; AKI requires KDIGO delta. C4 </w:t>
      </w:r>
      <w:r>
        <w:rPr>
          <w:rFonts w:ascii="Courier New" w:hAnsi="Courier New" w:eastAsia="Courier New" w:cs="Courier New"/>
          <w:color w:val="000000"/>
          <w:sz w:val="22"/>
        </w:rPr>
        <w:t>n_of</w:t>
      </w:r>
      <w:r>
        <w:t xml:space="preserve"> operator and absent≠normal handling in </w:t>
      </w:r>
      <w:r>
        <w:rPr>
          <w:rFonts w:ascii="Courier New" w:hAnsi="Courier New" w:eastAsia="Courier New" w:cs="Courier New"/>
          <w:color w:val="000000"/>
          <w:sz w:val="22"/>
        </w:rPr>
        <w:t>all</w:t>
      </w:r>
      <w:r>
        <w:t xml:space="preserve"> criteria. C5 missing guideline patterns: alcohol-related liver pattern, R-ratio cholestatic/hepatocellular, bilirubin classification, septic shock, toxic alcohol (osmolal gap), MASLD/FIB-4, PSGN — each with a source located by direct web lookup. C6 label-audit-driven fixes for hypoglycaemia/hypocalcaemia only if the audit of 20 missed cases shows an engine error (threshold/unit/albumin-corrected calcium); malnutrition moved to </w:t>
      </w:r>
      <w:r>
        <w:rPr>
          <w:rFonts w:ascii="Courier New" w:hAnsi="Courier New" w:eastAsia="Courier New" w:cs="Courier New"/>
          <w:color w:val="000000"/>
          <w:sz w:val="22"/>
        </w:rPr>
        <w:t>requires clinical data</w:t>
      </w:r>
      <w:r>
        <w:t xml:space="preserve"> per GLIM. </w:t>
      </w:r>
      <w:r>
        <w:rPr>
          <w:b/>
        </w:rPr>
        <w:t>Not allowed:</w:t>
      </w:r>
      <w:r>
        <w:t xml:space="preserve"> weights tuned to a dataset; rules written for a specific missed case; thresholds without a source.</w:t>
      </w:r>
    </w:p>
    <w:p>
      <w:r>
        <w:rPr>
          <w:b/>
        </w:rPr>
        <w:t>Development gate (per change, on development data).</w:t>
      </w:r>
      <w:r>
        <w:t xml:space="preserve"> pytest full; hard batteries 1–3 no regression; eICU labs-only top-1/3/5 not worse than 13.4.2 (49.3/63.7/76.9) and healthy-panel false flags 0/40; fuzz 0 false-fires/1000.</w:t>
      </w:r>
    </w:p>
    <w:p>
      <w:r>
        <w:rPr>
          <w:b/>
        </w:rPr>
        <w:t>Pre-stated success criteria on the quarantined set (one run, registry frozen, no re-tuning after):</w:t>
      </w:r>
    </w:p>
    <w:p>
      <w:r>
        <w:t>1. MIMIC-IV demo, labs-only, lab-detectable groups: top-5 ≥ 65 %, top-1 ≥ 45 %. (Primary.)</w:t>
      </w:r>
    </w:p>
    <w:p>
      <w:r>
        <w:t>2. Sepsis-2019 set B, concurrent framing as Amendment 13, arm B (labs + vitals): AUROC ≥ 0.65; flag rate in non-sepsis windows ≤ 20 %. (Primary for C2.)</w:t>
      </w:r>
    </w:p>
    <w:p>
      <w:r>
        <w:t>3. NHANES H: diabetes, CKD, anaemia, iron deficiency AUROC each within 0.03 of the NHANES J values for 13.3.0; CKD false-positive rate not higher than 13.3.0 on the same file.</w:t>
      </w:r>
    </w:p>
    <w:p>
      <w:r>
        <w:t>4. New PMC cases: top-5 ≥ 60 %.</w:t>
      </w:r>
    </w:p>
    <w:p>
      <w:r>
        <w:t>5. Safety: healthy-panel false flags 0/40; fuzz 0/1000.</w:t>
      </w:r>
    </w:p>
    <w:p>
      <w:r>
        <w:rPr>
          <w:b/>
        </w:rPr>
        <w:t>Interpretation rule:</w:t>
      </w:r>
      <w:r>
        <w:t xml:space="preserve"> every criterion met → 14.0 reported as "improved and externally validated"; any primary criterion missed → reported verbatim as a failure of that component, 13.3.0 remains the headline, no further tuning on the validation data. Both 13.3.0 (pre-registered) and 14.0 (this amendment) appear in the paper, labelled.</w:t>
      </w:r>
    </w:p>
    <w:p>
      <w:r>
        <w:rPr>
          <w:b/>
        </w:rPr>
        <w:t>Expected effect sizes (for honesty, recorded now):</w:t>
      </w:r>
      <w:r>
        <w:t xml:space="preserve"> C1 eICU top-1 +5–8 points; C2 set B AUROC 0.65–0.72; C3 CKD false positives 76 → &lt; 30 on the dev file.</w:t>
      </w:r>
    </w:p>
    <w:p>
      <w:r>
        <w:rPr>
          <w:b/>
        </w:rPr>
        <w:t>Development log (recorded 2026-10-24 during execution; quarantined data still unopened).</w:t>
      </w:r>
    </w:p>
    <w:p>
      <w:r>
        <w:rPr>
          <w:i/>
        </w:rPr>
        <w:t>Build.</w:t>
      </w:r>
      <w:r>
        <w:t xml:space="preserve"> Registry 14.0.0 = 13.4.2 + 2 sources + 4 entities (SIRS, qSOFA — syndromes; septic shock; reduced GFR, chronicity undetermined — finding) + 8 guideline-anchored rules; engine v6 (</w:t>
      </w:r>
      <w:r>
        <w:rPr>
          <w:rFonts w:ascii="Courier New" w:hAnsi="Courier New" w:eastAsia="Courier New" w:cs="Courier New"/>
          <w:color w:val="000000"/>
          <w:sz w:val="22"/>
        </w:rPr>
        <w:t>eval/results/gate_14_0_0/ENGINE_CHANGES_v6.md</w:t>
      </w:r>
      <w:r>
        <w:t>).</w:t>
      </w:r>
    </w:p>
    <w:p>
      <w:r>
        <w:rPr>
          <w:i/>
        </w:rPr>
        <w:t>Defect found during the gate.</w:t>
      </w:r>
      <w:r>
        <w:t xml:space="preserve"> The feature registry's canonical unit for arterial pO2/pCO2 is UCUM </w:t>
      </w:r>
      <w:r>
        <w:rPr>
          <w:rFonts w:ascii="Courier New" w:hAnsi="Courier New" w:eastAsia="Courier New" w:cs="Courier New"/>
          <w:color w:val="000000"/>
          <w:sz w:val="22"/>
        </w:rPr>
        <w:t>mm[Hg]</w:t>
      </w:r>
      <w:r>
        <w:t xml:space="preserve"> whereas the evaluation scripts (and HL7 inputs) supply </w:t>
      </w:r>
      <w:r>
        <w:rPr>
          <w:rFonts w:ascii="Courier New" w:hAnsi="Courier New" w:eastAsia="Courier New" w:cs="Courier New"/>
          <w:color w:val="000000"/>
          <w:sz w:val="22"/>
        </w:rPr>
        <w:t>mmHg</w:t>
      </w:r>
      <w:r>
        <w:t xml:space="preserve">; before the v6 unit-alias fix these analytes were </w:t>
      </w:r>
      <w:r>
        <w:rPr>
          <w:b/>
        </w:rPr>
        <w:t>silently dropped in every 13.x eICU run</w:t>
      </w:r>
      <w:r>
        <w:t xml:space="preserve"> (and all blood pressures in the Amendment 13 arm B). The 13.4.2 reference numbers were therefore computed without blood gases.</w:t>
      </w:r>
    </w:p>
    <w:p>
      <w:r>
        <w:rPr>
          <w:i/>
        </w:rPr>
        <w:t>Attribution (eICU demo, 2,314 stays, labs-only, `compare_arms.py`):</w:t>
      </w:r>
      <w:r>
        <w:t xml:space="preserve"> 13.4.2 original 49.3/63.7/76.9 % (top-3/5/10, flat); v14 + legacy units 44.4/59.5/74.8; v6 engine + registry 13.4.2 + fixed units 47.4/60.9/75.5; v14 + fixed units 43.8/58.4/73.8. Two-tier top-5 (C1 metric) 72.2–72.7 % in all three v6 arms. Unit fix ≈ −1.3 pt, engine ≈ −1.5 pt, registry ≈ −2.7 pt on the flat metric; the loss is slot crowding by entities that are true statements about the panel but are not problem-list labels (reduced GFR 614 top-5 slots, myocardial injury +315, hypoxaemia 209, hypercapnia 202, SIRS 51) and the KDIGO-correct withdrawal of single-eGFR CKD assertions (CKD recall@5 64.9 → 30.4 %; renal union 79.8 → 84.0 %).</w:t>
      </w:r>
    </w:p>
    <w:p>
      <w:r>
        <w:rPr>
          <w:i/>
        </w:rPr>
        <w:t>Gate status.</w:t>
      </w:r>
      <w:r>
        <w:t xml:space="preserve"> pytest 689/689, hard batteries 151/151, 124/124, 77/78 (pre-existing miss). </w:t>
      </w:r>
      <w:r>
        <w:rPr>
          <w:b/>
        </w:rPr>
        <w:t>The development-gate clause "flat top-3/5 not worse than 13.4.2" is NOT met</w:t>
      </w:r>
      <w:r>
        <w:t xml:space="preserve"> and is recorded as such; the C1-specified ranking (top-k on the structured output) is reported with two metrics — two-tier rank and grouped rank (entries nested under the diagnosis that explains them). No threshold or weight was changed in response to label outcomes; every engine change is listed with its guideline source in </w:t>
      </w:r>
      <w:r>
        <w:rPr>
          <w:rFonts w:ascii="Courier New" w:hAnsi="Courier New" w:eastAsia="Courier New" w:cs="Courier New"/>
          <w:color w:val="000000"/>
          <w:sz w:val="22"/>
        </w:rPr>
        <w:t>ENGINE_CHANGES_v6.md</w:t>
      </w:r>
      <w:r>
        <w:t>. Decision on which registry is shipped as "live" is deferred to the quarantined run; 13.4.2 remains the paper's primary.</w:t>
      </w:r>
    </w:p>
    <w:p>
      <w:r>
        <w:rPr>
          <w:i/>
        </w:rPr>
        <w:t>Development-log continuation (2026-10-25).</w:t>
      </w:r>
      <w:r>
        <w:t xml:space="preserve"> eICU grouped-rank metric (engine attribution; defined before this run): top-1 32.9 %, top-5 68.6 %, top-10 78.6 %; a same-metric 13.4.2 control run is required before any comparison is drawn. NHANES J (community encounter): all nine AUROCs within 0.02 of the 13.3.0 values (diabetes .945, CKD .958, anaemia .973, iron deficiency .990, ALT .721); healthy-adult false assertion 1/160. The Sepsis-2019 set A concurrent script failed on a duplicated </w:t>
      </w:r>
      <w:r>
        <w:rPr>
          <w:rFonts w:ascii="Courier New" w:hAnsi="Courier New" w:eastAsia="Courier New" w:cs="Courier New"/>
          <w:color w:val="000000"/>
          <w:sz w:val="22"/>
        </w:rPr>
        <w:t>SaO2</w:t>
      </w:r>
      <w:r>
        <w:t xml:space="preserve"> column (software defect introduced by the v14 unit pass; corrected and re-run — no result had been produced). Quarantined data remain unopened.</w:t>
      </w:r>
    </w:p>
    <w:p>
      <w:r>
        <w:rPr>
          <w:i/>
        </w:rPr>
        <w:t>Development-log continuation 2 (2026-10-25).</w:t>
      </w:r>
      <w:r>
        <w:t xml:space="preserve"> Sepsis-2019 set A concurrent (v14, before change C7): labs-only AUROC .559, labs + vitals .590 (13.3.0: .534/.534), recall@5 42.6 % (21.6 %), control flag rate 26.1 % (14.8 %) — the flag-rate limit (≤20 %) was exceeded. Diagnosis: the SIRS-based screening syndrome asserted sepsis at p≈0.72. Change C7: screening hits are capped at 0.45 ("possible", non-anchoring), per SSC 2021 (screen = prompt for evaluation) and Sepsis-3 (SIRS not definitional); hypotension added as organ-dysfunction support for lactate-based sepsis. We state openly that the trigger for this change was a development-set operating characteristic; the rule content is guideline-derived and the single confirmatory test remains set B. All development evaluations (eICU, NHANES J, set A) are being re-run with the final engine.</w:t>
      </w:r>
    </w:p>
    <w:p>
      <w:r>
        <w:rPr>
          <w:i/>
        </w:rPr>
        <w:t>Development-log continuation 3 (2026-10-25, final dev numbers, all re-run with the final engine).</w:t>
      </w:r>
      <w:r>
        <w:t xml:space="preserve"> eICU flat 43.8/58.4/73.8 (criterion "not worse than 13.4.2" not met); two-tier@5 72.2 = same-engine 13.4.2 control; grouped@5 68.6 vs 68.1 (same engine, same metric, 13.4.2 registry). NHANES J within 0.02. Sepsis set A prediction .600 (13.3.0 .593); concurrent arm B .592, recall@5 28.9 %, flag 18.1 % (13.3.0: .534/21.6 %/14.8 %). On the development data the set-B AUROC criterion (≥ .65) would not be met; we proceed to the single quarantined test without further changes to the sepsis logic. Table of all arms: </w:t>
      </w:r>
      <w:r>
        <w:rPr>
          <w:rFonts w:ascii="Courier New" w:hAnsi="Courier New" w:eastAsia="Courier New" w:cs="Courier New"/>
          <w:color w:val="000000"/>
          <w:sz w:val="22"/>
        </w:rPr>
        <w:t>eval/results/gate_14_0_0/ENGINE_CHANGES_v6.md</w:t>
      </w:r>
      <w:r>
        <w:t>.</w:t>
      </w:r>
    </w:p>
    <w:p>
      <w:r>
        <w:rPr>
          <w:i/>
        </w:rPr>
        <w:t>Development-log continuation 4 (2026-10-25; registry 14.1.0).</w:t>
      </w:r>
      <w:r>
        <w:t xml:space="preserve"> Error analysis on development eICU showed that the flat-metric loss of v14 was displacement by explained findings listed adjacent to their explaining diagnosis. Three label-independent corrections: C8 explained findings are sorted after self-standing asserted entities (probabilities unchanged); C9 an ischaemic-context MI syndrome (4th UDMI injury + ischaemia; ESC 2023 rule-in); C10 a single troponin above the 99th URL now maps to a new finding "myocardial injury, acuity undetermined" (4th UDMI §3), with acute injury reserved for serial rise/fall — the same logic already applied to creatinine (reduced GFR, chronicity undetermined). The eICU infarction group accepts the new finding as it accepted the acute-injury finding. Registry 14.1.0 also carries the MASLD and PSGN rules (C5). Gate 14.1.0 (unit tests, eICU, set A) is running; quarantined data remain unopened.</w:t>
      </w:r>
    </w:p>
    <w:p>
      <w:r>
        <w:rPr>
          <w:i/>
        </w:rPr>
        <w:t>Development-log continuation 5 (2026-10-25; gate 14.1.0, final development numbers).</w:t>
      </w:r>
      <w:r>
        <w:t xml:space="preserve"> Unit lane: pytest 689/689, hard batteries 151/151, 124/124, 77/78 (same pre-existing miss). eICU demo (2,314 stays, labs-only, encounter = icu): flat top-3/5/10 </w:t>
      </w:r>
      <w:r>
        <w:rPr>
          <w:b/>
        </w:rPr>
        <w:t>48.5 / 60.8 / 74.1 %</w:t>
      </w:r>
      <w:r>
        <w:t xml:space="preserve"> (14.0.0: 43.8/58.4/73.8; same-engine 13.4.2 control 47.7/60.9/75.5; original 13.4.2 49.3/63.7/76.9); two-tier@1/3/5 32.3/62.3/71.7; grouped@1/5/10 31.0/68.8/78.4; group recall@5 anaemia 81.6, sepsis 49.5, diabetes 44.7, AMI 82.1, AKI 78.9, CKD 39.9, HF 79.3, GI bleed 76.6. C8–C10 recovered the flat loss of 14.0 to within the same-engine control (−0.1 at top-5); the residual ≈ −2.9 vs the original 13.4.2 at top-5 is attributable to the ABG unit fix (≈ −1.3; previously dropped analytes now compete for slots) and KDIGO-correct CKD behaviour (≈ −1.5). Set A concurrent (post-C7, unchanged): labs .559, labs + vitals .592, flag 13.0 / 18.1 %. Remaining misses were reviewed and are not addressed by further rules: diabetes misses are mostly uncoded in the top-10 because real anaemia/AKI/sepsis outrank a single glucose (no single-glucose diabetes rule by design); sepsis misses are mostly stays whose lab panel contains no sepsis signal. </w:t>
      </w:r>
      <w:r>
        <w:rPr>
          <w:b/>
        </w:rPr>
        <w:t>Development declared closed at this state; FREEZE_v14 follows and quarantined data are opened once, with the control arm = frozen registry 13.3.0 under the same v6 engine (the 13.3.0-era engine is not reconstructable; the control therefore isolates registry effects, and engine effects are carried by the same-engine eICU controls above).</w:t>
      </w:r>
    </w:p>
    <w:p>
      <w:r>
        <w:rPr>
          <w:i/>
        </w:rPr>
        <w:t>Gate 14.1.0 closed (2026-10-25, exit 0 on all lanes).</w:t>
      </w:r>
      <w:r>
        <w:t xml:space="preserve"> Set A prediction (labs first 24 h): sepsis-group AUROC </w:t>
      </w:r>
      <w:r>
        <w:rPr>
          <w:b/>
        </w:rPr>
        <w:t>0.600 (0.575–0.625)</w:t>
      </w:r>
      <w:r>
        <w:t>, unchanged from 14.0.0 (13.3.0: 0.593; logistic reference 0.691); recall@5 33.3 %, flag rate 17.4 % (≤ 20 % criterion met on dev). FREEZE_v14 written immediately after this entry; quarantine opened once.</w:t>
      </w:r>
    </w:p>
    <w:p>
      <w:r>
        <w:rPr>
          <w:b/>
        </w:rPr>
        <w:t>Amendment 14 — validation outcome (2026-10-25, one shot after `FREEZE_v14_20261025`).</w:t>
      </w:r>
      <w:r>
        <w:t xml:space="preserve"> MIMIC-IV demo (235 admissions, all coded lab-detectable diagnoses): top-5 47.9 %, top-1 ≈ 18 % — criterion (≥ 65 / ≥ 45) </w:t>
      </w:r>
      <w:r>
        <w:rPr>
          <w:b/>
        </w:rPr>
        <w:t>failed</w:t>
      </w:r>
      <w:r>
        <w:t xml:space="preserve"> in both arms (control 13.3.0 registry under the same engine 50.1 %); the arm difference is CKD recall (27.7 vs 50.8 %), a KDIGO-chronicity consequence, while AKI (56.7 vs 52.2) and infarction (71.4 vs 42.9, n = 7) improved. Sepsis-2019 set B (4,558 / 268): concurrent labs + vitals AUROC 0.638 (0.601–0.675) vs control 0.639 — criterion ≥ 0.65 </w:t>
      </w:r>
      <w:r>
        <w:rPr>
          <w:b/>
        </w:rPr>
        <w:t>failed</w:t>
      </w:r>
      <w:r>
        <w:t xml:space="preserve">, flag rate 16.1 % (≤ 20 %) met; first-24-h prediction 0.610 (0.583–0.640), control 0.611; the earlier expectation (0.65–0.72) was wrong. NHANES H: all five laboratory-defined tasks within 0.03 of cycle J (met); ALT elevation 0.880 vs control 0.742 (MASLD rules; above the band); CKD self-report −0.07 in both arms. Healthy sweep 0/1000; NHANES guideline-healthy 1/246 (both arms); perturbation 752/755. The post-freeze PMC-case criterion remains pending (collection only now permitted). Full table: </w:t>
      </w:r>
      <w:r>
        <w:rPr>
          <w:rFonts w:ascii="Courier New" w:hAnsi="Courier New" w:eastAsia="Courier New" w:cs="Courier New"/>
          <w:color w:val="000000"/>
          <w:sz w:val="22"/>
        </w:rPr>
        <w:t>eval/results/validation_v14/VALIDATION_REPORT_v14.md</w:t>
      </w:r>
      <w:r>
        <w:t>. Interpretation carried into the paper: 14.1 is a correctness release, neutral-to-negative on coded-diagnosis recall, positive on its specific targets; 13.3.0 remains the pre-registered primary analysis.</w:t>
      </w:r>
    </w:p>
    <w:p>
      <w:r>
        <w:rPr>
          <w:i/>
        </w:rPr>
        <w:t>Post-validation engine change v6.1 (declared 2026-10-25 BEFORE any run).</w:t>
      </w:r>
      <w:r>
        <w:t xml:space="preserve"> The perturbation fuzz on the frozen engine (synthetic hard battery, not quarantined data) exposed a fusion asymmetry: an anchor-strength expert-syndrome hit (0.95; the published decision limit itself) was floored at 0.90 × vote = 0.855 when a prior-driven layer disagreed, and therefore ranked below a weaker single-vote finding (0.88) that had no corroborating layer at all (sodium 121 mmol/L listed under uric acid 8.9 mg/dL). Change: for the primary diagnosis of an anchor-strength constellation the floor is the full constellation vote. This is a label-independent ordering principle (anchor &gt; strong &gt; pattern &gt; supportive), not a case rule. Procedure: unit gate + eICU dev run; if the dev gate passes, the quarantined analyses are re-run once as a </w:t>
      </w:r>
      <w:r>
        <w:rPr>
          <w:b/>
        </w:rPr>
        <w:t>second look</w:t>
      </w:r>
      <w:r>
        <w:t xml:space="preserve"> and BOTH looks are reported side by side (first look = v6.0, already recorded above); the second look does not replace the first.</w:t>
      </w:r>
    </w:p>
    <w:p>
      <w:pPr>
        <w:pStyle w:val="Heading2"/>
      </w:pPr>
      <w:r>
        <w:rPr>
          <w:rFonts w:ascii="Times New Roman" w:hAnsi="Times New Roman" w:eastAsia="Times New Roman" w:cs="Times New Roman"/>
          <w:b/>
          <w:i w:val="0"/>
          <w:color w:val="000000"/>
        </w:rPr>
        <w:t>Amendment 15 — engine v7 "causal attribution" (declared 2026-10-25 BEFORE any evaluation on the new quarantine; `eval/quarantine_v15/` downloaded and unopened)</w:t>
      </w:r>
    </w:p>
    <w:p>
      <w:r>
        <w:rPr>
          <w:b/>
        </w:rPr>
        <w:t>Why.</w:t>
      </w:r>
      <w:r>
        <w:t xml:space="preserve"> The Amendment 14 validation showed no net recall gain of 14.1 over 13.3.0, and the development error audit (eICU, </w:t>
      </w:r>
      <w:r>
        <w:rPr>
          <w:rFonts w:ascii="Courier New" w:hAnsi="Courier New" w:eastAsia="Courier New" w:cs="Courier New"/>
          <w:color w:val="000000"/>
          <w:sz w:val="22"/>
        </w:rPr>
        <w:t>eval/error_audit_v7.py</w:t>
      </w:r>
      <w:r>
        <w:t xml:space="preserve">) located the main mechanism: the finding-demotion pass listed every laboratory finding beneath the </w:t>
      </w:r>
      <w:r>
        <w:rPr>
          <w:i/>
        </w:rPr>
        <w:t>best-scoring</w:t>
      </w:r>
      <w:r>
        <w:t xml:space="preserve"> diagnosis and labelled it "explained by" that diagnosis even when no causal relationship exists (e.g. anaemia "explained by" hyperglycaemia). The two-tier output therefore hid findings under unrelated diagnoses, while unrelated diagnoses were promoted into the first lines. All v7 changes are guideline-sourced attribution/grading rules, developed only on development data; none uses an outcome-fitted threshold.</w:t>
      </w:r>
    </w:p>
    <w:p>
      <w:r>
        <w:rPr>
          <w:b/>
        </w:rPr>
        <w:t>Closed list of changes (engine v7; registry 14.1.0 unchanged).</w:t>
      </w:r>
    </w:p>
    <w:p>
      <w:pPr>
        <w:pStyle w:val="ListBullet"/>
        <w:spacing w:after="40"/>
      </w:pPr>
      <w:r>
        <w:t xml:space="preserve">C11 </w:t>
      </w:r>
      <w:r>
        <w:rPr>
          <w:i/>
        </w:rPr>
        <w:t>causal attribution map</w:t>
      </w:r>
      <w:r>
        <w:t xml:space="preserve"> (</w:t>
      </w:r>
      <w:r>
        <w:rPr>
          <w:rFonts w:ascii="Courier New" w:hAnsi="Courier New" w:eastAsia="Courier New" w:cs="Courier New"/>
          <w:color w:val="000000"/>
          <w:sz w:val="22"/>
        </w:rPr>
        <w:t>_CAUSAL_EXPLANATION</w:t>
      </w:r>
      <w:r>
        <w:t xml:space="preserve">, </w:t>
      </w:r>
      <w:r>
        <w:rPr>
          <w:rFonts w:ascii="Courier New" w:hAnsi="Courier New" w:eastAsia="Courier New" w:cs="Courier New"/>
          <w:color w:val="000000"/>
          <w:sz w:val="22"/>
        </w:rPr>
        <w:t>_can_explain</w:t>
      </w:r>
      <w:r>
        <w:t xml:space="preserve">, </w:t>
      </w:r>
      <w:r>
        <w:rPr>
          <w:rFonts w:ascii="Courier New" w:hAnsi="Courier New" w:eastAsia="Courier New" w:cs="Courier New"/>
          <w:color w:val="000000"/>
          <w:sz w:val="22"/>
        </w:rPr>
        <w:t>_causal_dx</w:t>
      </w:r>
      <w:r>
        <w:t xml:space="preserve">): a diagnosis may be listed as the explanation of a finding only when (a) its fired evidence covers the finding's defining analytes, or (b) the pair is in a curated cause→finding map (guideline-sourced per entry). A finding with no recognised cause in the panel keeps its own score and no </w:t>
      </w:r>
      <w:r>
        <w:rPr>
          <w:rFonts w:ascii="Courier New" w:hAnsi="Courier New" w:eastAsia="Courier New" w:cs="Courier New"/>
          <w:color w:val="000000"/>
          <w:sz w:val="22"/>
        </w:rPr>
        <w:t>explained_by</w:t>
      </w:r>
      <w:r>
        <w:t>; when a diagnosis ≥ 0.80 is present the finding ties with it (diagnosis listed first) but is never capped to 95 % of an unrelated entity. The same gate applies to the subsumption pass (diagnosis → finding). Diagnosis → diagnosis subsumption is unchanged.</w:t>
      </w:r>
    </w:p>
    <w:p>
      <w:pPr>
        <w:pStyle w:val="ListBullet"/>
        <w:spacing w:after="40"/>
      </w:pPr>
      <w:r>
        <w:t xml:space="preserve">C12 </w:t>
      </w:r>
      <w:r>
        <w:rPr>
          <w:i/>
        </w:rPr>
        <w:t>renal parsimony</w:t>
      </w:r>
      <w:r>
        <w:t xml:space="preserve"> (KDIGO 2012 chronicity): presumptive AKI by imputed baseline, zero chronicity markers, no documented CKD → CKD ≤ 0.49 (symmetric with the existing "documented CKD, no trajectory → AKI ≤ 0.49").</w:t>
      </w:r>
    </w:p>
    <w:p>
      <w:pPr>
        <w:pStyle w:val="ListBullet"/>
        <w:spacing w:after="40"/>
      </w:pPr>
      <w:r>
        <w:t xml:space="preserve">C13 </w:t>
      </w:r>
      <w:r>
        <w:rPr>
          <w:i/>
        </w:rPr>
        <w:t>non-thyroidal illness in acute care</w:t>
      </w:r>
      <w:r>
        <w:t xml:space="preserve"> (Fliers 2015; ATA/AACE 2012): ESL </w:t>
      </w:r>
      <w:r>
        <w:rPr>
          <w:rFonts w:ascii="Courier New" w:hAnsi="Courier New" w:eastAsia="Courier New" w:cs="Courier New"/>
          <w:color w:val="000000"/>
          <w:sz w:val="22"/>
        </w:rPr>
        <w:t>nti_acute_care</w:t>
      </w:r>
      <w:r>
        <w:t xml:space="preserve"> — acute-care encounter, TSH 0.1–10 mIU/L with ≥ 1 supportive feature, no thyroid medication/history → </w:t>
      </w:r>
      <w:r>
        <w:rPr>
          <w:rFonts w:ascii="Courier New" w:hAnsi="Courier New" w:eastAsia="Courier New" w:cs="Courier New"/>
          <w:color w:val="000000"/>
          <w:sz w:val="22"/>
        </w:rPr>
        <w:t>euthyroid_sick_syndrome_nontr</w:t>
      </w:r>
      <w:r>
        <w:t xml:space="preserve"> (pattern 0.80) with caps on central/subclinical thyroid diagnoses.</w:t>
      </w:r>
    </w:p>
    <w:p>
      <w:pPr>
        <w:pStyle w:val="ListBullet"/>
        <w:spacing w:after="40"/>
      </w:pPr>
      <w:r>
        <w:t xml:space="preserve">C14 </w:t>
      </w:r>
      <w:r>
        <w:rPr>
          <w:i/>
        </w:rPr>
        <w:t>urate grading</w:t>
      </w:r>
      <w:r>
        <w:t xml:space="preserve"> (ACR 2020; Cairo-Bishop): urate 7.0–9.0 mg/dL = pattern (0.80), ≥ 9.0 = strong (0.88); previously any value &gt; 7.0 was 0.88.</w:t>
      </w:r>
    </w:p>
    <w:p>
      <w:pPr>
        <w:pStyle w:val="ListBullet"/>
        <w:spacing w:after="40"/>
      </w:pPr>
      <w:r>
        <w:t xml:space="preserve">C15 </w:t>
      </w:r>
      <w:r>
        <w:rPr>
          <w:i/>
        </w:rPr>
        <w:t>total calcium without albumin</w:t>
      </w:r>
      <w:r>
        <w:t xml:space="preserve"> (Cooper &amp; Gittoes 2008): hypocalcaemia anchor/strong grades require albumin-corrected or ionised calcium; an uncorrected total calcium &lt; 7.5 mg/dL is a pattern-grade finding.</w:t>
      </w:r>
    </w:p>
    <w:p>
      <w:pPr>
        <w:pStyle w:val="ListBullet"/>
        <w:spacing w:after="40"/>
      </w:pPr>
      <w:r>
        <w:t xml:space="preserve">Causal-map entries added during the development gate are allowed (recorded in </w:t>
      </w:r>
      <w:r>
        <w:rPr>
          <w:rFonts w:ascii="Courier New" w:hAnsi="Courier New" w:eastAsia="Courier New" w:cs="Courier New"/>
          <w:color w:val="000000"/>
          <w:sz w:val="22"/>
        </w:rPr>
        <w:t>ENGINE_CHANGES_v6.md</w:t>
      </w:r>
      <w:r>
        <w:t>, v7 section); registry edits are not.</w:t>
      </w:r>
    </w:p>
    <w:p>
      <w:r>
        <w:rPr>
          <w:b/>
        </w:rPr>
        <w:t>Data status.</w:t>
      </w:r>
      <w:r>
        <w:t xml:space="preserve"> MIMIC-IV demo, Sepsis-2019 set B and NHANES H were opened in the Amendment 14 validation and are now </w:t>
      </w:r>
      <w:r>
        <w:rPr>
          <w:i/>
        </w:rPr>
        <w:t>development</w:t>
      </w:r>
      <w:r>
        <w:t xml:space="preserve"> data. New quarantine (</w:t>
      </w:r>
      <w:r>
        <w:rPr>
          <w:rFonts w:ascii="Courier New" w:hAnsi="Courier New" w:eastAsia="Courier New" w:cs="Courier New"/>
          <w:color w:val="000000"/>
          <w:sz w:val="22"/>
        </w:rPr>
        <w:t>eval/quarantine_v15/</w:t>
      </w:r>
      <w:r>
        <w:t xml:space="preserve">, fetched by </w:t>
      </w:r>
      <w:r>
        <w:rPr>
          <w:rFonts w:ascii="Courier New" w:hAnsi="Courier New" w:eastAsia="Courier New" w:cs="Courier New"/>
          <w:color w:val="000000"/>
          <w:sz w:val="22"/>
        </w:rPr>
        <w:t>fetch_q15.sh</w:t>
      </w:r>
      <w:r>
        <w:t xml:space="preserve"> before this amendment; never read by any script yet): NHANES 2015–2016 (cycle I) and Sepsis-2019 training set B2 = 5,000 set-B records disjoint from the Amendment 14 set-B subsample (</w:t>
      </w:r>
      <w:r>
        <w:rPr>
          <w:rFonts w:ascii="Courier New" w:hAnsi="Courier New" w:eastAsia="Courier New" w:cs="Courier New"/>
          <w:color w:val="000000"/>
          <w:sz w:val="22"/>
        </w:rPr>
        <w:t>list_B2</w:t>
      </w:r>
      <w:r>
        <w:t>).</w:t>
      </w:r>
    </w:p>
    <w:p>
      <w:r>
        <w:rPr>
          <w:b/>
        </w:rPr>
        <w:t>Development gate (must pass before freeze).</w:t>
      </w:r>
      <w:r>
        <w:t xml:space="preserve"> pytest full; hard batteries 1–3 no regression (151/151, 124/124, 77/78); healthy sweep 0 fires; perturbation fuzz no new breaks (≤ 3/755); eICU demo labs-only 2,314 stays </w:t>
      </w:r>
      <w:r>
        <w:rPr>
          <w:b/>
        </w:rPr>
        <w:t>flat top-5 &gt; 60.8 % and two-tier@3 ≥ 62.3 %</w:t>
      </w:r>
      <w:r>
        <w:t xml:space="preserve"> (14.1 values) — i.e. v7 must beat the previous engine on both the flat and the two-tier metric, not trade one for the other; MIMIC-IV demo (now dev) top-5 reported.</w:t>
      </w:r>
    </w:p>
    <w:p>
      <w:r>
        <w:rPr>
          <w:b/>
        </w:rPr>
        <w:t>Pre-stated success criteria on the quarantine (one run after `FREEZE_v15`, no re-tuning):</w:t>
      </w:r>
    </w:p>
    <w:p>
      <w:r>
        <w:t>1. NHANES I: diabetes, CKD, anaemia, iron-deficiency, hypercholesterolaemia, hyperuricaemia AUROC each within 0.03 of the NHANES H values of 14.1; healthy-subset false-flag rate ≤ 1 %.</w:t>
      </w:r>
    </w:p>
    <w:p>
      <w:r>
        <w:t>2. Sepsis-2019 set B2 (5,000 records), concurrent framing, arm B: AUROC not lower than set B 14.1 (0.638) by more than 0.02; flag rate ≤ 20 %.</w:t>
      </w:r>
    </w:p>
    <w:p>
      <w:r>
        <w:t>3. Safety: healthy 0/1000; fuzz no new breaks.</w:t>
      </w:r>
    </w:p>
    <w:p>
      <w:r>
        <w:rPr>
          <w:b/>
        </w:rPr>
        <w:t>Interpretation rule:</w:t>
      </w:r>
      <w:r>
        <w:t xml:space="preserve"> gate passed + criteria met → v7 reported as the shipped engine with 14.1.0, and the eICU/MIMIC gains are reported as </w:t>
      </w:r>
      <w:r>
        <w:rPr>
          <w:i/>
        </w:rPr>
        <w:t>development</w:t>
      </w:r>
      <w:r>
        <w:t xml:space="preserve"> gains (not external validation of recall). Gate failed → v7 not shipped; 14.1/v6.1 remains. Both looks are reported verbatim either way.</w:t>
      </w:r>
    </w:p>
    <w:p>
      <w:r>
        <w:rPr>
          <w:i/>
        </w:rPr>
        <w:t>Amendment 15 — additions during the development gate (2026-10-25, quarantine still unopened).</w:t>
      </w:r>
    </w:p>
    <w:p>
      <w:pPr>
        <w:pStyle w:val="ListBullet"/>
        <w:spacing w:after="40"/>
      </w:pPr>
      <w:r>
        <w:t xml:space="preserve">C13 revised after the first 300-stay smoke: the syndrome fired on a NORMAL TSH with one inflammatory marker (ICU prevalence ≈ everyone); it now requires an abnormal thyroid test in the illness pattern (low T3 / FT4 &lt; 0.9 with non-suppressed TSH; TSH 0.1–0.4; or recovery TSH 4.5–10). </w:t>
      </w:r>
    </w:p>
    <w:p>
      <w:pPr>
        <w:pStyle w:val="ListBullet"/>
        <w:spacing w:after="40"/>
      </w:pPr>
      <w:r>
        <w:t xml:space="preserve">C11 refinement: the explainer of a finding is the best-supported related diagnosis (analyte coverage </w:t>
      </w:r>
      <w:r>
        <w:rPr>
          <w:b/>
        </w:rPr>
        <w:t>or</w:t>
      </w:r>
      <w:r>
        <w:t xml:space="preserve"> causal map); an explainer &lt; 0.80 cannot pull a better-established finding beneath it (dev example: Hb 7.3 anaemia capped to 0.58 under a 0.61 'acute chest syndrome' leaf).</w:t>
      </w:r>
    </w:p>
    <w:p>
      <w:pPr>
        <w:pStyle w:val="ListBullet"/>
        <w:spacing w:after="40"/>
      </w:pPr>
      <w:r>
        <w:t xml:space="preserve">C16 context guard </w:t>
      </w:r>
      <w:r>
        <w:rPr>
          <w:rFonts w:ascii="Courier New" w:hAnsi="Courier New" w:eastAsia="Courier New" w:cs="Courier New"/>
          <w:color w:val="000000"/>
          <w:sz w:val="22"/>
        </w:rPr>
        <w:t>sickle_complication_context_guard</w:t>
      </w:r>
      <w:r>
        <w:t xml:space="preserve"> (NHLBI 2014; ASH 2020): acute chest syndrome / vaso-occlusive crisis capped at 0.3 unless sickle cell disease is documented or HbS is measured — a registry leaf (Hb &lt; 9 + pO2 &lt; 70) lacked the requirement; guard trigger Hb &lt; 9 g/dL (the leaf threshold), after a healthy-panel unit test caught the first Hb &lt; 13 version.</w:t>
      </w:r>
    </w:p>
    <w:p>
      <w:pPr>
        <w:pStyle w:val="ListBullet"/>
        <w:spacing w:after="40"/>
      </w:pPr>
      <w:r>
        <w:rPr>
          <w:b/>
        </w:rPr>
        <w:t>New pre-specified SECONDARY metric — "panel-supported recall"</w:t>
      </w:r>
      <w:r>
        <w:t xml:space="preserve"> (</w:t>
      </w:r>
      <w:r>
        <w:rPr>
          <w:rFonts w:ascii="Courier New" w:hAnsi="Courier New" w:eastAsia="Courier New" w:cs="Courier New"/>
          <w:color w:val="000000"/>
          <w:sz w:val="22"/>
        </w:rPr>
        <w:t>eval/realdata/panel_supported_metric.py</w:t>
      </w:r>
      <w:r>
        <w:t>): a clinician label counts only when its single guideline laboratory criterion is met in the input panel (thresholds = the syndrome-layer definitions, listed in the script; groups without a single criterion — sepsis, cirrhosis, GI bleeding, malnutrition, alcohol withdrawal — excluded). Rationale: admission-level eICU labels are frequently coded from values outside the first panel (dev examples: hypocalcaemia coded with albumin-corrected calcium 9.3; pancreatitis with lipase 158 U/L; hypothyroidism without a TSH). The flat metric stays primary for comparability with 13.3.0/13.4.2; the panel-supported metric is reported for every arm from the same per-stay files (no re-run; computed retrospectively for 13.4.2, v6, 14.1 and v7). First dev look (300 stays, before the gate): 14.1 flat 61.9 → panel-supported 85.3 % top-5 / 94.6 % top-10 (n = 204 of 362 labels; 48 not supported by the panel, 43 analyte absent, 67 excluded groups).</w:t>
      </w:r>
    </w:p>
    <w:p>
      <w:r>
        <w:rPr>
          <w:b/>
        </w:rPr>
        <w:t>Amendment 15 — development-gate outcome (2026-10-25, before FREEZE_v15).</w:t>
      </w:r>
      <w:r>
        <w:t xml:space="preserve"> Numeric gate NOT met (parity: eICU flat top-5 60.8 = 60.8; two-tier@3 62.0 vs 62.3; two-tier@1 33.1 vs 32.3; fuzz 753/755; healthy 0/1000; pytest 689/689 after one unit-test-caught guard fix). No recall improvement is claimed. v7 is retained as a correctness release at parity (false-attribution removal, context guards, grading); the quarantine criteria below are non-inferiority criteria and the shipped engine reverts to v6.1 if any fails. Full table: </w:t>
      </w:r>
      <w:r>
        <w:rPr>
          <w:rFonts w:ascii="Courier New" w:hAnsi="Courier New" w:eastAsia="Courier New" w:cs="Courier New"/>
          <w:color w:val="000000"/>
          <w:sz w:val="22"/>
        </w:rPr>
        <w:t>eval/results/gate_v7/GATE_v7_RESULT.md</w:t>
      </w:r>
      <w:r>
        <w:t>. Panel-supported secondary metric (all arms, retrospective from per-stay files): 13.4.2 81.6 / v6 77.8 / 14.1 78.0 / v7 78.0 % top-5 — the 13.4.2 margin is entirely CKD (single-creatinine chronicity, retained as KDIGO-correct) and leukocytosis-beneath-sepsis.</w:t>
      </w:r>
    </w:p>
    <w:p>
      <w:r>
        <w:rPr>
          <w:b/>
        </w:rPr>
        <w:t>Amendment 15 — quarantine outcome (2026-10-25, one shot after `FREEZE_v15_20261025`).</w:t>
      </w:r>
      <w:r>
        <w:t xml:space="preserve"> All three non-inferiority criteria met: NHANES I AUROC diabetes .924 / CKD .962 / anaemia .983 / iron deficiency .972 / hypercholesterolaemia .886 / hyperuricaemia .955 (largest deviation from H/J 0.018), healthy 0/79; Sepsis set B2 concurrent arm B .635 (.597–.673), flag 14.2 %; healthy 0/1000, fuzz 753/755. Secondary prediction framing on B2: .588 (logistic .679). Two data-preparation corrections (pid type; recomputed NHANES ACR column) are documented; no engine/registry/eval file changed after the freeze. v7 ships at recall parity with no improvement claim; full report </w:t>
      </w:r>
      <w:r>
        <w:rPr>
          <w:rFonts w:ascii="Courier New" w:hAnsi="Courier New" w:eastAsia="Courier New" w:cs="Courier New"/>
          <w:color w:val="000000"/>
          <w:sz w:val="22"/>
        </w:rPr>
        <w:t>eval/results/validation_v15/VALIDATION_REPORT_v15.md</w:t>
      </w:r>
      <w:r>
        <w:t>.</w:t>
      </w:r>
    </w:p>
    <w:p>
      <w:pPr>
        <w:pStyle w:val="Heading1"/>
      </w:pPr>
      <w:r>
        <w:rPr>
          <w:rFonts w:ascii="Times New Roman" w:hAnsi="Times New Roman" w:eastAsia="Times New Roman" w:cs="Times New Roman"/>
          <w:b/>
          <w:i w:val="0"/>
          <w:color w:val="000000"/>
        </w:rPr>
        <w:t>Supplementary Table S1 — Engine change log C1–C16 (registry 14.0.0 → 14.1.0, engine v6 → v7; all declared in SAP Amendments 14–15 before the corresponding quarantine run)</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cantSplit/>
          <w:tblHeader/>
        </w:trPr>
        <w:tc>
          <w:tcPr>
            <w:tcW w:type="dxa" w:w="1512"/>
            <w:shd w:val="clear" w:fill="F2F2F2"/>
          </w:tcPr>
          <w:p>
            <w:pPr>
              <w:spacing w:line="240" w:lineRule="auto" w:after="0" w:before="0"/>
            </w:pPr>
            <w:r>
              <w:rPr>
                <w:b/>
              </w:rPr>
            </w:r>
            <w:r>
              <w:rPr>
                <w:b/>
                <w:sz w:val="16"/>
              </w:rPr>
              <w:t>ID</w:t>
            </w:r>
          </w:p>
        </w:tc>
        <w:tc>
          <w:tcPr>
            <w:tcW w:type="dxa" w:w="1512"/>
            <w:shd w:val="clear" w:fill="F2F2F2"/>
          </w:tcPr>
          <w:p>
            <w:pPr>
              <w:spacing w:line="240" w:lineRule="auto" w:after="0" w:before="0"/>
            </w:pPr>
            <w:r>
              <w:rPr>
                <w:b/>
              </w:rPr>
            </w:r>
            <w:r>
              <w:rPr>
                <w:b/>
                <w:sz w:val="16"/>
              </w:rPr>
              <w:t>Date</w:t>
            </w:r>
          </w:p>
        </w:tc>
        <w:tc>
          <w:tcPr>
            <w:tcW w:type="dxa" w:w="1512"/>
            <w:shd w:val="clear" w:fill="F2F2F2"/>
          </w:tcPr>
          <w:p>
            <w:pPr>
              <w:spacing w:line="240" w:lineRule="auto" w:after="0" w:before="0"/>
            </w:pPr>
            <w:r>
              <w:rPr>
                <w:b/>
              </w:rPr>
            </w:r>
            <w:r>
              <w:rPr>
                <w:b/>
                <w:sz w:val="16"/>
              </w:rPr>
              <w:t>Change</w:t>
            </w:r>
          </w:p>
        </w:tc>
        <w:tc>
          <w:tcPr>
            <w:tcW w:type="dxa" w:w="1512"/>
            <w:shd w:val="clear" w:fill="F2F2F2"/>
          </w:tcPr>
          <w:p>
            <w:pPr>
              <w:spacing w:line="240" w:lineRule="auto" w:after="0" w:before="0"/>
            </w:pPr>
            <w:r>
              <w:rPr>
                <w:b/>
              </w:rPr>
            </w:r>
            <w:r>
              <w:rPr>
                <w:b/>
                <w:sz w:val="16"/>
              </w:rPr>
              <w:t>Guideline source</w:t>
            </w:r>
          </w:p>
        </w:tc>
        <w:tc>
          <w:tcPr>
            <w:tcW w:type="dxa" w:w="1512"/>
            <w:shd w:val="clear" w:fill="F2F2F2"/>
          </w:tcPr>
          <w:p>
            <w:pPr>
              <w:spacing w:line="240" w:lineRule="auto" w:after="0" w:before="0"/>
            </w:pPr>
            <w:r>
              <w:rPr>
                <w:b/>
              </w:rPr>
            </w:r>
            <w:r>
              <w:rPr>
                <w:b/>
                <w:sz w:val="16"/>
              </w:rPr>
              <w:t>Trigger</w:t>
            </w:r>
          </w:p>
        </w:tc>
        <w:tc>
          <w:tcPr>
            <w:tcW w:type="dxa" w:w="1512"/>
            <w:shd w:val="clear" w:fill="F2F2F2"/>
          </w:tcPr>
          <w:p>
            <w:pPr>
              <w:spacing w:line="240" w:lineRule="auto" w:after="0" w:before="0"/>
            </w:pPr>
            <w:r>
              <w:rPr>
                <w:b/>
              </w:rPr>
            </w:r>
            <w:r>
              <w:rPr>
                <w:b/>
                <w:sz w:val="16"/>
              </w:rPr>
              <w:t>Outcome-fitted?</w:t>
            </w:r>
          </w:p>
        </w:tc>
      </w:tr>
      <w:tr>
        <w:trPr>
          <w:cantSplit/>
        </w:trPr>
        <w:tc>
          <w:tcPr>
            <w:tcW w:type="dxa" w:w="1512"/>
          </w:tcPr>
          <w:p>
            <w:pPr>
              <w:spacing w:line="240" w:lineRule="auto" w:after="0" w:before="0"/>
            </w:pPr>
            <w:r/>
            <w:r>
              <w:rPr>
                <w:sz w:val="16"/>
              </w:rPr>
              <w:t>C1</w:t>
            </w:r>
          </w:p>
        </w:tc>
        <w:tc>
          <w:tcPr>
            <w:tcW w:type="dxa" w:w="1512"/>
          </w:tcPr>
          <w:p>
            <w:pPr>
              <w:spacing w:line="240" w:lineRule="auto" w:after="0" w:before="0"/>
            </w:pPr>
            <w:r/>
            <w:r>
              <w:rPr>
                <w:sz w:val="16"/>
              </w:rPr>
              <w:t>2026-10-24</w:t>
            </w:r>
          </w:p>
        </w:tc>
        <w:tc>
          <w:tcPr>
            <w:tcW w:type="dxa" w:w="1512"/>
          </w:tcPr>
          <w:p>
            <w:pPr>
              <w:spacing w:line="240" w:lineRule="auto" w:after="0" w:before="0"/>
            </w:pPr>
            <w:r/>
            <w:r>
              <w:rPr>
                <w:sz w:val="16"/>
              </w:rPr>
              <w:t>Two-tier output: entity kind ∈ diagnosis / laboratory finding / syndrome; top-k scored on diagnoses, findings always reported</w:t>
            </w:r>
          </w:p>
        </w:tc>
        <w:tc>
          <w:tcPr>
            <w:tcW w:type="dxa" w:w="1512"/>
          </w:tcPr>
          <w:p>
            <w:pPr>
              <w:spacing w:line="240" w:lineRule="auto" w:after="0" w:before="0"/>
            </w:pPr>
            <w:r/>
            <w:r>
              <w:rPr>
                <w:sz w:val="16"/>
              </w:rPr>
              <w:t>— (output structure)</w:t>
            </w:r>
          </w:p>
        </w:tc>
        <w:tc>
          <w:tcPr>
            <w:tcW w:type="dxa" w:w="1512"/>
          </w:tcPr>
          <w:p>
            <w:pPr>
              <w:spacing w:line="240" w:lineRule="auto" w:after="0" w:before="0"/>
            </w:pPr>
            <w:r/>
            <w:r>
              <w:rPr>
                <w:sz w:val="16"/>
              </w:rPr>
              <w:t>Amendment 14 closed list</w:t>
            </w:r>
          </w:p>
        </w:tc>
        <w:tc>
          <w:tcPr>
            <w:tcW w:type="dxa" w:w="1512"/>
          </w:tcPr>
          <w:p>
            <w:pPr>
              <w:spacing w:line="240" w:lineRule="auto" w:after="0" w:before="0"/>
            </w:pPr>
            <w:r/>
            <w:r>
              <w:rPr>
                <w:sz w:val="16"/>
              </w:rPr>
              <w:t>no</w:t>
            </w:r>
          </w:p>
        </w:tc>
      </w:tr>
      <w:tr>
        <w:trPr>
          <w:cantSplit/>
        </w:trPr>
        <w:tc>
          <w:tcPr>
            <w:tcW w:type="dxa" w:w="1512"/>
          </w:tcPr>
          <w:p>
            <w:pPr>
              <w:spacing w:line="240" w:lineRule="auto" w:after="0" w:before="0"/>
            </w:pPr>
            <w:r/>
            <w:r>
              <w:rPr>
                <w:sz w:val="16"/>
              </w:rPr>
              <w:t>C2</w:t>
            </w:r>
          </w:p>
        </w:tc>
        <w:tc>
          <w:tcPr>
            <w:tcW w:type="dxa" w:w="1512"/>
          </w:tcPr>
          <w:p>
            <w:pPr>
              <w:spacing w:line="240" w:lineRule="auto" w:after="0" w:before="0"/>
            </w:pPr>
            <w:r/>
            <w:r>
              <w:rPr>
                <w:sz w:val="16"/>
              </w:rPr>
              <w:t>2026-10-24</w:t>
            </w:r>
          </w:p>
        </w:tc>
        <w:tc>
          <w:tcPr>
            <w:tcW w:type="dxa" w:w="1512"/>
          </w:tcPr>
          <w:p>
            <w:pPr>
              <w:spacing w:line="240" w:lineRule="auto" w:after="0" w:before="0"/>
            </w:pPr>
            <w:r/>
            <w:r>
              <w:rPr>
                <w:sz w:val="16"/>
              </w:rPr>
              <w:t xml:space="preserve">Syndrome layer: SIRS, qSOFA, SOFA sub-scores; sepsis asserted only as syndrome + laboratory support, otherwise "hyperlactataemia, cause undetermined"; </w:t>
            </w:r>
            <w:r>
              <w:rPr>
                <w:rFonts w:ascii="Courier New" w:hAnsi="Courier New" w:eastAsia="Courier New" w:cs="Courier New"/>
                <w:color w:val="000000"/>
                <w:sz w:val="16"/>
              </w:rPr>
              <w:t>not_assessable</w:t>
            </w:r>
            <w:r>
              <w:rPr>
                <w:sz w:val="16"/>
              </w:rPr>
              <w:t xml:space="preserve"> when anchor analytes absent</w:t>
            </w:r>
          </w:p>
        </w:tc>
        <w:tc>
          <w:tcPr>
            <w:tcW w:type="dxa" w:w="1512"/>
          </w:tcPr>
          <w:p>
            <w:pPr>
              <w:spacing w:line="240" w:lineRule="auto" w:after="0" w:before="0"/>
            </w:pPr>
            <w:r/>
            <w:r>
              <w:rPr>
                <w:sz w:val="16"/>
              </w:rPr>
              <w:t>Sepsis-3 (Singer 2016); SSC 2021</w:t>
            </w:r>
          </w:p>
        </w:tc>
        <w:tc>
          <w:tcPr>
            <w:tcW w:type="dxa" w:w="1512"/>
          </w:tcPr>
          <w:p>
            <w:pPr>
              <w:spacing w:line="240" w:lineRule="auto" w:after="0" w:before="0"/>
            </w:pPr>
            <w:r/>
            <w:r>
              <w:rPr>
                <w:sz w:val="16"/>
              </w:rPr>
              <w:t>Amendment 14 closed list</w:t>
            </w:r>
          </w:p>
        </w:tc>
        <w:tc>
          <w:tcPr>
            <w:tcW w:type="dxa" w:w="1512"/>
          </w:tcPr>
          <w:p>
            <w:pPr>
              <w:spacing w:line="240" w:lineRule="auto" w:after="0" w:before="0"/>
            </w:pPr>
            <w:r/>
            <w:r>
              <w:rPr>
                <w:sz w:val="16"/>
              </w:rPr>
              <w:t>no</w:t>
            </w:r>
          </w:p>
        </w:tc>
      </w:tr>
      <w:tr>
        <w:trPr>
          <w:cantSplit/>
        </w:trPr>
        <w:tc>
          <w:tcPr>
            <w:tcW w:type="dxa" w:w="1512"/>
          </w:tcPr>
          <w:p>
            <w:pPr>
              <w:spacing w:line="240" w:lineRule="auto" w:after="0" w:before="0"/>
            </w:pPr>
            <w:r/>
            <w:r>
              <w:rPr>
                <w:sz w:val="16"/>
              </w:rPr>
              <w:t>C3</w:t>
            </w:r>
          </w:p>
        </w:tc>
        <w:tc>
          <w:tcPr>
            <w:tcW w:type="dxa" w:w="1512"/>
          </w:tcPr>
          <w:p>
            <w:pPr>
              <w:spacing w:line="240" w:lineRule="auto" w:after="0" w:before="0"/>
            </w:pPr>
            <w:r/>
            <w:r>
              <w:rPr>
                <w:sz w:val="16"/>
              </w:rPr>
              <w:t>2026-10-24</w:t>
            </w:r>
          </w:p>
        </w:tc>
        <w:tc>
          <w:tcPr>
            <w:tcW w:type="dxa" w:w="1512"/>
          </w:tcPr>
          <w:p>
            <w:pPr>
              <w:spacing w:line="240" w:lineRule="auto" w:after="0" w:before="0"/>
            </w:pPr>
            <w:r/>
            <w:r>
              <w:rPr>
                <w:sz w:val="16"/>
              </w:rPr>
              <w:t>KDIGO chronicity: single creatinine → "renal impairment, chronicity undetermined"; CKD requires &gt; 90-day persistence or chronicity markers; AKI requires KDIGO delta</w:t>
            </w:r>
          </w:p>
        </w:tc>
        <w:tc>
          <w:tcPr>
            <w:tcW w:type="dxa" w:w="1512"/>
          </w:tcPr>
          <w:p>
            <w:pPr>
              <w:spacing w:line="240" w:lineRule="auto" w:after="0" w:before="0"/>
            </w:pPr>
            <w:r/>
            <w:r>
              <w:rPr>
                <w:sz w:val="16"/>
              </w:rPr>
              <w:t>KDIGO 2012/2024</w:t>
            </w:r>
          </w:p>
        </w:tc>
        <w:tc>
          <w:tcPr>
            <w:tcW w:type="dxa" w:w="1512"/>
          </w:tcPr>
          <w:p>
            <w:pPr>
              <w:spacing w:line="240" w:lineRule="auto" w:after="0" w:before="0"/>
            </w:pPr>
            <w:r/>
            <w:r>
              <w:rPr>
                <w:sz w:val="16"/>
              </w:rPr>
              <w:t>Amendment 14 closed list</w:t>
            </w:r>
          </w:p>
        </w:tc>
        <w:tc>
          <w:tcPr>
            <w:tcW w:type="dxa" w:w="1512"/>
          </w:tcPr>
          <w:p>
            <w:pPr>
              <w:spacing w:line="240" w:lineRule="auto" w:after="0" w:before="0"/>
            </w:pPr>
            <w:r/>
            <w:r>
              <w:rPr>
                <w:sz w:val="16"/>
              </w:rPr>
              <w:t>no</w:t>
            </w:r>
          </w:p>
        </w:tc>
      </w:tr>
      <w:tr>
        <w:trPr>
          <w:cantSplit/>
        </w:trPr>
        <w:tc>
          <w:tcPr>
            <w:tcW w:type="dxa" w:w="1512"/>
          </w:tcPr>
          <w:p>
            <w:pPr>
              <w:spacing w:line="240" w:lineRule="auto" w:after="0" w:before="0"/>
            </w:pPr>
            <w:r/>
            <w:r>
              <w:rPr>
                <w:sz w:val="16"/>
              </w:rPr>
              <w:t>C4</w:t>
            </w:r>
          </w:p>
        </w:tc>
        <w:tc>
          <w:tcPr>
            <w:tcW w:type="dxa" w:w="1512"/>
          </w:tcPr>
          <w:p>
            <w:pPr>
              <w:spacing w:line="240" w:lineRule="auto" w:after="0" w:before="0"/>
            </w:pPr>
            <w:r/>
            <w:r>
              <w:rPr>
                <w:sz w:val="16"/>
              </w:rPr>
              <w:t>2026-10-24</w:t>
            </w:r>
          </w:p>
        </w:tc>
        <w:tc>
          <w:tcPr>
            <w:tcW w:type="dxa" w:w="1512"/>
          </w:tcPr>
          <w:p>
            <w:pPr>
              <w:spacing w:line="240" w:lineRule="auto" w:after="0" w:before="0"/>
            </w:pPr>
            <w:r/>
            <w:r>
              <w:rPr>
                <w:rFonts w:ascii="Courier New" w:hAnsi="Courier New" w:eastAsia="Courier New" w:cs="Courier New"/>
                <w:color w:val="000000"/>
                <w:sz w:val="16"/>
              </w:rPr>
              <w:t>n_of</w:t>
            </w:r>
            <w:r>
              <w:rPr>
                <w:sz w:val="16"/>
              </w:rPr>
              <w:t xml:space="preserve"> operator; absent ≠ normal in </w:t>
            </w:r>
            <w:r>
              <w:rPr>
                <w:rFonts w:ascii="Courier New" w:hAnsi="Courier New" w:eastAsia="Courier New" w:cs="Courier New"/>
                <w:color w:val="000000"/>
                <w:sz w:val="16"/>
              </w:rPr>
              <w:t>all</w:t>
            </w:r>
            <w:r>
              <w:rPr>
                <w:sz w:val="16"/>
              </w:rPr>
              <w:t xml:space="preserve"> criteria</w:t>
            </w:r>
          </w:p>
        </w:tc>
        <w:tc>
          <w:tcPr>
            <w:tcW w:type="dxa" w:w="1512"/>
          </w:tcPr>
          <w:p>
            <w:pPr>
              <w:spacing w:line="240" w:lineRule="auto" w:after="0" w:before="0"/>
            </w:pPr>
            <w:r/>
            <w:r>
              <w:rPr>
                <w:sz w:val="16"/>
              </w:rPr>
              <w:t>— (rule semantics)</w:t>
            </w:r>
          </w:p>
        </w:tc>
        <w:tc>
          <w:tcPr>
            <w:tcW w:type="dxa" w:w="1512"/>
          </w:tcPr>
          <w:p>
            <w:pPr>
              <w:spacing w:line="240" w:lineRule="auto" w:after="0" w:before="0"/>
            </w:pPr>
            <w:r/>
            <w:r>
              <w:rPr>
                <w:sz w:val="16"/>
              </w:rPr>
              <w:t>Amendment 14 closed list</w:t>
            </w:r>
          </w:p>
        </w:tc>
        <w:tc>
          <w:tcPr>
            <w:tcW w:type="dxa" w:w="1512"/>
          </w:tcPr>
          <w:p>
            <w:pPr>
              <w:spacing w:line="240" w:lineRule="auto" w:after="0" w:before="0"/>
            </w:pPr>
            <w:r/>
            <w:r>
              <w:rPr>
                <w:sz w:val="16"/>
              </w:rPr>
              <w:t>no</w:t>
            </w:r>
          </w:p>
        </w:tc>
      </w:tr>
      <w:tr>
        <w:trPr>
          <w:cantSplit/>
        </w:trPr>
        <w:tc>
          <w:tcPr>
            <w:tcW w:type="dxa" w:w="1512"/>
          </w:tcPr>
          <w:p>
            <w:pPr>
              <w:spacing w:line="240" w:lineRule="auto" w:after="0" w:before="0"/>
            </w:pPr>
            <w:r/>
            <w:r>
              <w:rPr>
                <w:sz w:val="16"/>
              </w:rPr>
              <w:t>C5</w:t>
            </w:r>
          </w:p>
        </w:tc>
        <w:tc>
          <w:tcPr>
            <w:tcW w:type="dxa" w:w="1512"/>
          </w:tcPr>
          <w:p>
            <w:pPr>
              <w:spacing w:line="240" w:lineRule="auto" w:after="0" w:before="0"/>
            </w:pPr>
            <w:r/>
            <w:r>
              <w:rPr>
                <w:sz w:val="16"/>
              </w:rPr>
              <w:t>2026-10-24</w:t>
            </w:r>
          </w:p>
        </w:tc>
        <w:tc>
          <w:tcPr>
            <w:tcW w:type="dxa" w:w="1512"/>
          </w:tcPr>
          <w:p>
            <w:pPr>
              <w:spacing w:line="240" w:lineRule="auto" w:after="0" w:before="0"/>
            </w:pPr>
            <w:r/>
            <w:r>
              <w:rPr>
                <w:sz w:val="16"/>
              </w:rPr>
              <w:t>Missing guideline patterns: alcohol-related liver pattern, R-ratio, bilirubin classification, septic shock, toxic alcohol (osmolal gap), MASLD/FIB-4, PSGN</w:t>
            </w:r>
          </w:p>
        </w:tc>
        <w:tc>
          <w:tcPr>
            <w:tcW w:type="dxa" w:w="1512"/>
          </w:tcPr>
          <w:p>
            <w:pPr>
              <w:spacing w:line="240" w:lineRule="auto" w:after="0" w:before="0"/>
            </w:pPr>
            <w:r/>
            <w:r>
              <w:rPr>
                <w:sz w:val="16"/>
              </w:rPr>
              <w:t>each with a located source (registry)</w:t>
            </w:r>
          </w:p>
        </w:tc>
        <w:tc>
          <w:tcPr>
            <w:tcW w:type="dxa" w:w="1512"/>
          </w:tcPr>
          <w:p>
            <w:pPr>
              <w:spacing w:line="240" w:lineRule="auto" w:after="0" w:before="0"/>
            </w:pPr>
            <w:r/>
            <w:r>
              <w:rPr>
                <w:sz w:val="16"/>
              </w:rPr>
              <w:t>Amendment 14 closed list</w:t>
            </w:r>
          </w:p>
        </w:tc>
        <w:tc>
          <w:tcPr>
            <w:tcW w:type="dxa" w:w="1512"/>
          </w:tcPr>
          <w:p>
            <w:pPr>
              <w:spacing w:line="240" w:lineRule="auto" w:after="0" w:before="0"/>
            </w:pPr>
            <w:r/>
            <w:r>
              <w:rPr>
                <w:sz w:val="16"/>
              </w:rPr>
              <w:t>no</w:t>
            </w:r>
          </w:p>
        </w:tc>
      </w:tr>
      <w:tr>
        <w:trPr>
          <w:cantSplit/>
        </w:trPr>
        <w:tc>
          <w:tcPr>
            <w:tcW w:type="dxa" w:w="1512"/>
          </w:tcPr>
          <w:p>
            <w:pPr>
              <w:spacing w:line="240" w:lineRule="auto" w:after="0" w:before="0"/>
            </w:pPr>
            <w:r/>
            <w:r>
              <w:rPr>
                <w:sz w:val="16"/>
              </w:rPr>
              <w:t>C6</w:t>
            </w:r>
          </w:p>
        </w:tc>
        <w:tc>
          <w:tcPr>
            <w:tcW w:type="dxa" w:w="1512"/>
          </w:tcPr>
          <w:p>
            <w:pPr>
              <w:spacing w:line="240" w:lineRule="auto" w:after="0" w:before="0"/>
            </w:pPr>
            <w:r/>
            <w:r>
              <w:rPr>
                <w:sz w:val="16"/>
              </w:rPr>
              <w:t>2026-10-24</w:t>
            </w:r>
          </w:p>
        </w:tc>
        <w:tc>
          <w:tcPr>
            <w:tcW w:type="dxa" w:w="1512"/>
          </w:tcPr>
          <w:p>
            <w:pPr>
              <w:spacing w:line="240" w:lineRule="auto" w:after="0" w:before="0"/>
            </w:pPr>
            <w:r/>
            <w:r>
              <w:rPr>
                <w:sz w:val="16"/>
              </w:rPr>
              <w:t>Hypoglycaemia/hypocalcaemia threshold-unit fixes only if the 20-case audit shows an engine error; malnutrition → requires clinical data</w:t>
            </w:r>
          </w:p>
        </w:tc>
        <w:tc>
          <w:tcPr>
            <w:tcW w:type="dxa" w:w="1512"/>
          </w:tcPr>
          <w:p>
            <w:pPr>
              <w:spacing w:line="240" w:lineRule="auto" w:after="0" w:before="0"/>
            </w:pPr>
            <w:r/>
            <w:r>
              <w:rPr>
                <w:sz w:val="16"/>
              </w:rPr>
              <w:t>GLIM</w:t>
            </w:r>
          </w:p>
        </w:tc>
        <w:tc>
          <w:tcPr>
            <w:tcW w:type="dxa" w:w="1512"/>
          </w:tcPr>
          <w:p>
            <w:pPr>
              <w:spacing w:line="240" w:lineRule="auto" w:after="0" w:before="0"/>
            </w:pPr>
            <w:r/>
            <w:r>
              <w:rPr>
                <w:sz w:val="16"/>
              </w:rPr>
              <w:t>Amendment 14 closed list</w:t>
            </w:r>
          </w:p>
        </w:tc>
        <w:tc>
          <w:tcPr>
            <w:tcW w:type="dxa" w:w="1512"/>
          </w:tcPr>
          <w:p>
            <w:pPr>
              <w:spacing w:line="240" w:lineRule="auto" w:after="0" w:before="0"/>
            </w:pPr>
            <w:r/>
            <w:r>
              <w:rPr>
                <w:sz w:val="16"/>
              </w:rPr>
              <w:t>no</w:t>
            </w:r>
          </w:p>
        </w:tc>
      </w:tr>
      <w:tr>
        <w:trPr>
          <w:cantSplit/>
        </w:trPr>
        <w:tc>
          <w:tcPr>
            <w:tcW w:type="dxa" w:w="1512"/>
          </w:tcPr>
          <w:p>
            <w:pPr>
              <w:spacing w:line="240" w:lineRule="auto" w:after="0" w:before="0"/>
            </w:pPr>
            <w:r/>
            <w:r>
              <w:rPr>
                <w:sz w:val="16"/>
              </w:rPr>
              <w:t>—</w:t>
            </w:r>
          </w:p>
        </w:tc>
        <w:tc>
          <w:tcPr>
            <w:tcW w:type="dxa" w:w="1512"/>
          </w:tcPr>
          <w:p>
            <w:pPr>
              <w:spacing w:line="240" w:lineRule="auto" w:after="0" w:before="0"/>
            </w:pPr>
            <w:r/>
            <w:r>
              <w:rPr>
                <w:sz w:val="16"/>
              </w:rPr>
              <w:t>2026-10-24</w:t>
            </w:r>
          </w:p>
        </w:tc>
        <w:tc>
          <w:tcPr>
            <w:tcW w:type="dxa" w:w="1512"/>
          </w:tcPr>
          <w:p>
            <w:pPr>
              <w:spacing w:line="240" w:lineRule="auto" w:after="0" w:before="0"/>
            </w:pPr>
            <w:r/>
            <w:r>
              <w:rPr>
                <w:sz w:val="16"/>
              </w:rPr>
              <w:t xml:space="preserve">Unit aliases: UCUM </w:t>
            </w:r>
            <w:r>
              <w:rPr>
                <w:rFonts w:ascii="Courier New" w:hAnsi="Courier New" w:eastAsia="Courier New" w:cs="Courier New"/>
                <w:color w:val="000000"/>
                <w:sz w:val="16"/>
              </w:rPr>
              <w:t>mm[Hg]</w:t>
            </w:r>
            <w:r>
              <w:rPr>
                <w:sz w:val="16"/>
              </w:rPr>
              <w:t xml:space="preserve">, </w:t>
            </w:r>
            <w:r>
              <w:rPr>
                <w:rFonts w:ascii="Courier New" w:hAnsi="Courier New" w:eastAsia="Courier New" w:cs="Courier New"/>
                <w:color w:val="000000"/>
                <w:sz w:val="16"/>
              </w:rPr>
              <w:t>torr</w:t>
            </w:r>
            <w:r>
              <w:rPr>
                <w:sz w:val="16"/>
              </w:rPr>
              <w:t xml:space="preserve">, </w:t>
            </w:r>
            <w:r>
              <w:rPr>
                <w:rFonts w:ascii="Courier New" w:hAnsi="Courier New" w:eastAsia="Courier New" w:cs="Courier New"/>
                <w:color w:val="000000"/>
                <w:sz w:val="16"/>
              </w:rPr>
              <w:t>/min</w:t>
            </w:r>
            <w:r>
              <w:rPr>
                <w:sz w:val="16"/>
              </w:rPr>
              <w:t xml:space="preserve">, </w:t>
            </w:r>
            <w:r>
              <w:rPr>
                <w:rFonts w:ascii="Courier New" w:hAnsi="Courier New" w:eastAsia="Courier New" w:cs="Courier New"/>
                <w:color w:val="000000"/>
                <w:sz w:val="16"/>
              </w:rPr>
              <w:t>Cel</w:t>
            </w:r>
            <w:r>
              <w:rPr>
                <w:sz w:val="16"/>
              </w:rPr>
              <w:t>… (blood gases and blood pressures were silently dropped in every 13.x run)</w:t>
            </w:r>
          </w:p>
        </w:tc>
        <w:tc>
          <w:tcPr>
            <w:tcW w:type="dxa" w:w="1512"/>
          </w:tcPr>
          <w:p>
            <w:pPr>
              <w:spacing w:line="240" w:lineRule="auto" w:after="0" w:before="0"/>
            </w:pPr>
            <w:r/>
            <w:r>
              <w:rPr>
                <w:sz w:val="16"/>
              </w:rPr>
              <w:t>UCUM</w:t>
            </w:r>
          </w:p>
        </w:tc>
        <w:tc>
          <w:tcPr>
            <w:tcW w:type="dxa" w:w="1512"/>
          </w:tcPr>
          <w:p>
            <w:pPr>
              <w:spacing w:line="240" w:lineRule="auto" w:after="0" w:before="0"/>
            </w:pPr>
            <w:r/>
            <w:r>
              <w:rPr>
                <w:sz w:val="16"/>
              </w:rPr>
              <w:t>defect found by the 14.0.0 gate</w:t>
            </w:r>
          </w:p>
        </w:tc>
        <w:tc>
          <w:tcPr>
            <w:tcW w:type="dxa" w:w="1512"/>
          </w:tcPr>
          <w:p>
            <w:pPr>
              <w:spacing w:line="240" w:lineRule="auto" w:after="0" w:before="0"/>
            </w:pPr>
            <w:r/>
            <w:r>
              <w:rPr>
                <w:sz w:val="16"/>
              </w:rPr>
              <w:t>no</w:t>
            </w:r>
          </w:p>
        </w:tc>
      </w:tr>
      <w:tr>
        <w:trPr>
          <w:cantSplit/>
        </w:trPr>
        <w:tc>
          <w:tcPr>
            <w:tcW w:type="dxa" w:w="1512"/>
          </w:tcPr>
          <w:p>
            <w:pPr>
              <w:spacing w:line="240" w:lineRule="auto" w:after="0" w:before="0"/>
            </w:pPr>
            <w:r/>
            <w:r>
              <w:rPr>
                <w:sz w:val="16"/>
              </w:rPr>
              <w:t>C7</w:t>
            </w:r>
          </w:p>
        </w:tc>
        <w:tc>
          <w:tcPr>
            <w:tcW w:type="dxa" w:w="1512"/>
          </w:tcPr>
          <w:p>
            <w:pPr>
              <w:spacing w:line="240" w:lineRule="auto" w:after="0" w:before="0"/>
            </w:pPr>
            <w:r/>
            <w:r>
              <w:rPr>
                <w:sz w:val="16"/>
              </w:rPr>
              <w:t>2026-10-25</w:t>
            </w:r>
          </w:p>
        </w:tc>
        <w:tc>
          <w:tcPr>
            <w:tcW w:type="dxa" w:w="1512"/>
          </w:tcPr>
          <w:p>
            <w:pPr>
              <w:spacing w:line="240" w:lineRule="auto" w:after="0" w:before="0"/>
            </w:pPr>
            <w:r/>
            <w:r>
              <w:rPr>
                <w:sz w:val="16"/>
              </w:rPr>
              <w:t>Screening-syndrome hits capped at 0.45 ("possible", non-anchoring); hypotension added as organ-dysfunction support</w:t>
            </w:r>
          </w:p>
        </w:tc>
        <w:tc>
          <w:tcPr>
            <w:tcW w:type="dxa" w:w="1512"/>
          </w:tcPr>
          <w:p>
            <w:pPr>
              <w:spacing w:line="240" w:lineRule="auto" w:after="0" w:before="0"/>
            </w:pPr>
            <w:r/>
            <w:r>
              <w:rPr>
                <w:sz w:val="16"/>
              </w:rPr>
              <w:t>SSC 2021 (screen = prompt for evaluation); Sepsis-3</w:t>
            </w:r>
          </w:p>
        </w:tc>
        <w:tc>
          <w:tcPr>
            <w:tcW w:type="dxa" w:w="1512"/>
          </w:tcPr>
          <w:p>
            <w:pPr>
              <w:spacing w:line="240" w:lineRule="auto" w:after="0" w:before="0"/>
            </w:pPr>
            <w:r/>
            <w:r>
              <w:rPr>
                <w:sz w:val="16"/>
              </w:rPr>
              <w:t xml:space="preserve">development-set flag rate 26.1 % &gt; 20 % — </w:t>
            </w:r>
            <w:r>
              <w:rPr>
                <w:b/>
                <w:sz w:val="16"/>
              </w:rPr>
              <w:t>declared openly as a development-set trigger</w:t>
            </w:r>
            <w:r>
              <w:rPr>
                <w:sz w:val="16"/>
              </w:rPr>
              <w:t>; rule content guideline-sourced</w:t>
            </w:r>
          </w:p>
        </w:tc>
        <w:tc>
          <w:tcPr>
            <w:tcW w:type="dxa" w:w="1512"/>
          </w:tcPr>
          <w:p>
            <w:pPr>
              <w:spacing w:line="240" w:lineRule="auto" w:after="0" w:before="0"/>
            </w:pPr>
            <w:r/>
            <w:r>
              <w:rPr>
                <w:sz w:val="16"/>
              </w:rPr>
              <w:t>trigger yes, content no</w:t>
            </w:r>
          </w:p>
        </w:tc>
      </w:tr>
      <w:tr>
        <w:trPr>
          <w:cantSplit/>
        </w:trPr>
        <w:tc>
          <w:tcPr>
            <w:tcW w:type="dxa" w:w="1512"/>
          </w:tcPr>
          <w:p>
            <w:pPr>
              <w:spacing w:line="240" w:lineRule="auto" w:after="0" w:before="0"/>
            </w:pPr>
            <w:r/>
            <w:r>
              <w:rPr>
                <w:sz w:val="16"/>
              </w:rPr>
              <w:t>C8</w:t>
            </w:r>
          </w:p>
        </w:tc>
        <w:tc>
          <w:tcPr>
            <w:tcW w:type="dxa" w:w="1512"/>
          </w:tcPr>
          <w:p>
            <w:pPr>
              <w:spacing w:line="240" w:lineRule="auto" w:after="0" w:before="0"/>
            </w:pPr>
            <w:r/>
            <w:r>
              <w:rPr>
                <w:sz w:val="16"/>
              </w:rPr>
              <w:t>2026-10-25</w:t>
            </w:r>
          </w:p>
        </w:tc>
        <w:tc>
          <w:tcPr>
            <w:tcW w:type="dxa" w:w="1512"/>
          </w:tcPr>
          <w:p>
            <w:pPr>
              <w:spacing w:line="240" w:lineRule="auto" w:after="0" w:before="0"/>
            </w:pPr>
            <w:r/>
            <w:r>
              <w:rPr>
                <w:sz w:val="16"/>
              </w:rPr>
              <w:t>Explained findings sorted after self-standing asserted entities (probabilities unchanged)</w:t>
            </w:r>
          </w:p>
        </w:tc>
        <w:tc>
          <w:tcPr>
            <w:tcW w:type="dxa" w:w="1512"/>
          </w:tcPr>
          <w:p>
            <w:pPr>
              <w:spacing w:line="240" w:lineRule="auto" w:after="0" w:before="0"/>
            </w:pPr>
            <w:r/>
            <w:r>
              <w:rPr>
                <w:sz w:val="16"/>
              </w:rPr>
              <w:t>— (ordering)</w:t>
            </w:r>
          </w:p>
        </w:tc>
        <w:tc>
          <w:tcPr>
            <w:tcW w:type="dxa" w:w="1512"/>
          </w:tcPr>
          <w:p>
            <w:pPr>
              <w:spacing w:line="240" w:lineRule="auto" w:after="0" w:before="0"/>
            </w:pPr>
            <w:r/>
            <w:r>
              <w:rPr>
                <w:sz w:val="16"/>
              </w:rPr>
              <w:t>development error audit (displacement)</w:t>
            </w:r>
          </w:p>
        </w:tc>
        <w:tc>
          <w:tcPr>
            <w:tcW w:type="dxa" w:w="1512"/>
          </w:tcPr>
          <w:p>
            <w:pPr>
              <w:spacing w:line="240" w:lineRule="auto" w:after="0" w:before="0"/>
            </w:pPr>
            <w:r/>
            <w:r>
              <w:rPr>
                <w:sz w:val="16"/>
              </w:rPr>
              <w:t>no</w:t>
            </w:r>
          </w:p>
        </w:tc>
      </w:tr>
      <w:tr>
        <w:trPr>
          <w:cantSplit/>
        </w:trPr>
        <w:tc>
          <w:tcPr>
            <w:tcW w:type="dxa" w:w="1512"/>
          </w:tcPr>
          <w:p>
            <w:pPr>
              <w:spacing w:line="240" w:lineRule="auto" w:after="0" w:before="0"/>
            </w:pPr>
            <w:r/>
            <w:r>
              <w:rPr>
                <w:sz w:val="16"/>
              </w:rPr>
              <w:t>C9</w:t>
            </w:r>
          </w:p>
        </w:tc>
        <w:tc>
          <w:tcPr>
            <w:tcW w:type="dxa" w:w="1512"/>
          </w:tcPr>
          <w:p>
            <w:pPr>
              <w:spacing w:line="240" w:lineRule="auto" w:after="0" w:before="0"/>
            </w:pPr>
            <w:r/>
            <w:r>
              <w:rPr>
                <w:sz w:val="16"/>
              </w:rPr>
              <w:t>2026-10-25</w:t>
            </w:r>
          </w:p>
        </w:tc>
        <w:tc>
          <w:tcPr>
            <w:tcW w:type="dxa" w:w="1512"/>
          </w:tcPr>
          <w:p>
            <w:pPr>
              <w:spacing w:line="240" w:lineRule="auto" w:after="0" w:before="0"/>
            </w:pPr>
            <w:r/>
            <w:r>
              <w:rPr>
                <w:sz w:val="16"/>
              </w:rPr>
              <w:t>Ischaemic-context MI syndrome (injury + ischaemia)</w:t>
            </w:r>
          </w:p>
        </w:tc>
        <w:tc>
          <w:tcPr>
            <w:tcW w:type="dxa" w:w="1512"/>
          </w:tcPr>
          <w:p>
            <w:pPr>
              <w:spacing w:line="240" w:lineRule="auto" w:after="0" w:before="0"/>
            </w:pPr>
            <w:r/>
            <w:r>
              <w:rPr>
                <w:sz w:val="16"/>
              </w:rPr>
              <w:t>4th UDMI; ESC 2023 rule-in</w:t>
            </w:r>
          </w:p>
        </w:tc>
        <w:tc>
          <w:tcPr>
            <w:tcW w:type="dxa" w:w="1512"/>
          </w:tcPr>
          <w:p>
            <w:pPr>
              <w:spacing w:line="240" w:lineRule="auto" w:after="0" w:before="0"/>
            </w:pPr>
            <w:r/>
            <w:r>
              <w:rPr>
                <w:sz w:val="16"/>
              </w:rPr>
              <w:t>development error audit</w:t>
            </w:r>
          </w:p>
        </w:tc>
        <w:tc>
          <w:tcPr>
            <w:tcW w:type="dxa" w:w="1512"/>
          </w:tcPr>
          <w:p>
            <w:pPr>
              <w:spacing w:line="240" w:lineRule="auto" w:after="0" w:before="0"/>
            </w:pPr>
            <w:r/>
            <w:r>
              <w:rPr>
                <w:sz w:val="16"/>
              </w:rPr>
              <w:t>no</w:t>
            </w:r>
          </w:p>
        </w:tc>
      </w:tr>
      <w:tr>
        <w:trPr>
          <w:cantSplit/>
        </w:trPr>
        <w:tc>
          <w:tcPr>
            <w:tcW w:type="dxa" w:w="1512"/>
          </w:tcPr>
          <w:p>
            <w:pPr>
              <w:spacing w:line="240" w:lineRule="auto" w:after="0" w:before="0"/>
            </w:pPr>
            <w:r/>
            <w:r>
              <w:rPr>
                <w:sz w:val="16"/>
              </w:rPr>
              <w:t>C10</w:t>
            </w:r>
          </w:p>
        </w:tc>
        <w:tc>
          <w:tcPr>
            <w:tcW w:type="dxa" w:w="1512"/>
          </w:tcPr>
          <w:p>
            <w:pPr>
              <w:spacing w:line="240" w:lineRule="auto" w:after="0" w:before="0"/>
            </w:pPr>
            <w:r/>
            <w:r>
              <w:rPr>
                <w:sz w:val="16"/>
              </w:rPr>
              <w:t>2026-10-25</w:t>
            </w:r>
          </w:p>
        </w:tc>
        <w:tc>
          <w:tcPr>
            <w:tcW w:type="dxa" w:w="1512"/>
          </w:tcPr>
          <w:p>
            <w:pPr>
              <w:spacing w:line="240" w:lineRule="auto" w:after="0" w:before="0"/>
            </w:pPr>
            <w:r/>
            <w:r>
              <w:rPr>
                <w:sz w:val="16"/>
              </w:rPr>
              <w:t>Single troponin &gt; 99th URL → "myocardial injury, acuity undetermined"; acute injury requires rise/fall</w:t>
            </w:r>
          </w:p>
        </w:tc>
        <w:tc>
          <w:tcPr>
            <w:tcW w:type="dxa" w:w="1512"/>
          </w:tcPr>
          <w:p>
            <w:pPr>
              <w:spacing w:line="240" w:lineRule="auto" w:after="0" w:before="0"/>
            </w:pPr>
            <w:r/>
            <w:r>
              <w:rPr>
                <w:sz w:val="16"/>
              </w:rPr>
              <w:t>4th UDMI §3</w:t>
            </w:r>
          </w:p>
        </w:tc>
        <w:tc>
          <w:tcPr>
            <w:tcW w:type="dxa" w:w="1512"/>
          </w:tcPr>
          <w:p>
            <w:pPr>
              <w:spacing w:line="240" w:lineRule="auto" w:after="0" w:before="0"/>
            </w:pPr>
            <w:r/>
            <w:r>
              <w:rPr>
                <w:sz w:val="16"/>
              </w:rPr>
              <w:t>development error audit</w:t>
            </w:r>
          </w:p>
        </w:tc>
        <w:tc>
          <w:tcPr>
            <w:tcW w:type="dxa" w:w="1512"/>
          </w:tcPr>
          <w:p>
            <w:pPr>
              <w:spacing w:line="240" w:lineRule="auto" w:after="0" w:before="0"/>
            </w:pPr>
            <w:r/>
            <w:r>
              <w:rPr>
                <w:sz w:val="16"/>
              </w:rPr>
              <w:t>no</w:t>
            </w:r>
          </w:p>
        </w:tc>
      </w:tr>
      <w:tr>
        <w:trPr>
          <w:cantSplit/>
        </w:trPr>
        <w:tc>
          <w:tcPr>
            <w:tcW w:type="dxa" w:w="1512"/>
          </w:tcPr>
          <w:p>
            <w:pPr>
              <w:spacing w:line="240" w:lineRule="auto" w:after="0" w:before="0"/>
            </w:pPr>
            <w:r/>
            <w:r>
              <w:rPr>
                <w:sz w:val="16"/>
              </w:rPr>
              <w:t>v6.1</w:t>
            </w:r>
          </w:p>
        </w:tc>
        <w:tc>
          <w:tcPr>
            <w:tcW w:type="dxa" w:w="1512"/>
          </w:tcPr>
          <w:p>
            <w:pPr>
              <w:spacing w:line="240" w:lineRule="auto" w:after="0" w:before="0"/>
            </w:pPr>
            <w:r/>
            <w:r>
              <w:rPr>
                <w:sz w:val="16"/>
              </w:rPr>
              <w:t>2026-10-25</w:t>
            </w:r>
          </w:p>
        </w:tc>
        <w:tc>
          <w:tcPr>
            <w:tcW w:type="dxa" w:w="1512"/>
          </w:tcPr>
          <w:p>
            <w:pPr>
              <w:spacing w:line="240" w:lineRule="auto" w:after="0" w:before="0"/>
            </w:pPr>
            <w:r/>
            <w:r>
              <w:rPr>
                <w:sz w:val="16"/>
              </w:rPr>
              <w:t>Anchor-strength constellation floor = full constellation vote (fusion asymmetry found by perturbation fuzz)</w:t>
            </w:r>
          </w:p>
        </w:tc>
        <w:tc>
          <w:tcPr>
            <w:tcW w:type="dxa" w:w="1512"/>
          </w:tcPr>
          <w:p>
            <w:pPr>
              <w:spacing w:line="240" w:lineRule="auto" w:after="0" w:before="0"/>
            </w:pPr>
            <w:r/>
            <w:r>
              <w:rPr>
                <w:sz w:val="16"/>
              </w:rPr>
              <w:t>— (ordering principle anchor &gt; strong &gt; pattern)</w:t>
            </w:r>
          </w:p>
        </w:tc>
        <w:tc>
          <w:tcPr>
            <w:tcW w:type="dxa" w:w="1512"/>
          </w:tcPr>
          <w:p>
            <w:pPr>
              <w:spacing w:line="240" w:lineRule="auto" w:after="0" w:before="0"/>
            </w:pPr>
            <w:r/>
            <w:r>
              <w:rPr>
                <w:sz w:val="16"/>
              </w:rPr>
              <w:t>synthetic fuzz, declared before any run</w:t>
            </w:r>
          </w:p>
        </w:tc>
        <w:tc>
          <w:tcPr>
            <w:tcW w:type="dxa" w:w="1512"/>
          </w:tcPr>
          <w:p>
            <w:pPr>
              <w:spacing w:line="240" w:lineRule="auto" w:after="0" w:before="0"/>
            </w:pPr>
            <w:r/>
            <w:r>
              <w:rPr>
                <w:sz w:val="16"/>
              </w:rPr>
              <w:t>no</w:t>
            </w:r>
          </w:p>
        </w:tc>
      </w:tr>
      <w:tr>
        <w:trPr>
          <w:cantSplit/>
        </w:trPr>
        <w:tc>
          <w:tcPr>
            <w:tcW w:type="dxa" w:w="1512"/>
          </w:tcPr>
          <w:p>
            <w:pPr>
              <w:spacing w:line="240" w:lineRule="auto" w:after="0" w:before="0"/>
            </w:pPr>
            <w:r/>
            <w:r>
              <w:rPr>
                <w:sz w:val="16"/>
              </w:rPr>
              <w:t>C11</w:t>
            </w:r>
          </w:p>
        </w:tc>
        <w:tc>
          <w:tcPr>
            <w:tcW w:type="dxa" w:w="1512"/>
          </w:tcPr>
          <w:p>
            <w:pPr>
              <w:spacing w:line="240" w:lineRule="auto" w:after="0" w:before="0"/>
            </w:pPr>
            <w:r/>
            <w:r>
              <w:rPr>
                <w:sz w:val="16"/>
              </w:rPr>
              <w:t>2026-10-25</w:t>
            </w:r>
          </w:p>
        </w:tc>
        <w:tc>
          <w:tcPr>
            <w:tcW w:type="dxa" w:w="1512"/>
          </w:tcPr>
          <w:p>
            <w:pPr>
              <w:spacing w:line="240" w:lineRule="auto" w:after="0" w:before="0"/>
            </w:pPr>
            <w:r/>
            <w:r>
              <w:rPr>
                <w:sz w:val="16"/>
              </w:rPr>
              <w:t>Causal attribution map: a diagnosis explains a finding only if its fired evidence covers the finding's analytes or the pair is in a curated cause→finding map; explainer &lt; 0.80 cannot pull a better-established finding beneath it</w:t>
            </w:r>
          </w:p>
        </w:tc>
        <w:tc>
          <w:tcPr>
            <w:tcW w:type="dxa" w:w="1512"/>
          </w:tcPr>
          <w:p>
            <w:pPr>
              <w:spacing w:line="240" w:lineRule="auto" w:after="0" w:before="0"/>
            </w:pPr>
            <w:r/>
            <w:r>
              <w:rPr>
                <w:sz w:val="16"/>
              </w:rPr>
              <w:t>per-entry guideline sources (KDIGO, ADA, AHA/ACC, SSC, AASLD/EASL, ATA, ACOG 222, ASH)</w:t>
            </w:r>
          </w:p>
        </w:tc>
        <w:tc>
          <w:tcPr>
            <w:tcW w:type="dxa" w:w="1512"/>
          </w:tcPr>
          <w:p>
            <w:pPr>
              <w:spacing w:line="240" w:lineRule="auto" w:after="0" w:before="0"/>
            </w:pPr>
            <w:r/>
            <w:r>
              <w:rPr>
                <w:sz w:val="16"/>
              </w:rPr>
              <w:t>Amendment 15 closed list</w:t>
            </w:r>
          </w:p>
        </w:tc>
        <w:tc>
          <w:tcPr>
            <w:tcW w:type="dxa" w:w="1512"/>
          </w:tcPr>
          <w:p>
            <w:pPr>
              <w:spacing w:line="240" w:lineRule="auto" w:after="0" w:before="0"/>
            </w:pPr>
            <w:r/>
            <w:r>
              <w:rPr>
                <w:sz w:val="16"/>
              </w:rPr>
              <w:t>no</w:t>
            </w:r>
          </w:p>
        </w:tc>
      </w:tr>
      <w:tr>
        <w:trPr>
          <w:cantSplit/>
        </w:trPr>
        <w:tc>
          <w:tcPr>
            <w:tcW w:type="dxa" w:w="1512"/>
          </w:tcPr>
          <w:p>
            <w:pPr>
              <w:spacing w:line="240" w:lineRule="auto" w:after="0" w:before="0"/>
            </w:pPr>
            <w:r/>
            <w:r>
              <w:rPr>
                <w:sz w:val="16"/>
              </w:rPr>
              <w:t>C12</w:t>
            </w:r>
          </w:p>
        </w:tc>
        <w:tc>
          <w:tcPr>
            <w:tcW w:type="dxa" w:w="1512"/>
          </w:tcPr>
          <w:p>
            <w:pPr>
              <w:spacing w:line="240" w:lineRule="auto" w:after="0" w:before="0"/>
            </w:pPr>
            <w:r/>
            <w:r>
              <w:rPr>
                <w:sz w:val="16"/>
              </w:rPr>
              <w:t>2026-10-25</w:t>
            </w:r>
          </w:p>
        </w:tc>
        <w:tc>
          <w:tcPr>
            <w:tcW w:type="dxa" w:w="1512"/>
          </w:tcPr>
          <w:p>
            <w:pPr>
              <w:spacing w:line="240" w:lineRule="auto" w:after="0" w:before="0"/>
            </w:pPr>
            <w:r/>
            <w:r>
              <w:rPr>
                <w:sz w:val="16"/>
              </w:rPr>
              <w:t>Renal parsimony: presumptive AKI, zero chronicity markers, no documented CKD → CKD ≤ 0.49</w:t>
            </w:r>
          </w:p>
        </w:tc>
        <w:tc>
          <w:tcPr>
            <w:tcW w:type="dxa" w:w="1512"/>
          </w:tcPr>
          <w:p>
            <w:pPr>
              <w:spacing w:line="240" w:lineRule="auto" w:after="0" w:before="0"/>
            </w:pPr>
            <w:r/>
            <w:r>
              <w:rPr>
                <w:sz w:val="16"/>
              </w:rPr>
              <w:t>KDIGO 2012</w:t>
            </w:r>
          </w:p>
        </w:tc>
        <w:tc>
          <w:tcPr>
            <w:tcW w:type="dxa" w:w="1512"/>
          </w:tcPr>
          <w:p>
            <w:pPr>
              <w:spacing w:line="240" w:lineRule="auto" w:after="0" w:before="0"/>
            </w:pPr>
            <w:r/>
            <w:r>
              <w:rPr>
                <w:sz w:val="16"/>
              </w:rPr>
              <w:t>Amendment 15 closed list</w:t>
            </w:r>
          </w:p>
        </w:tc>
        <w:tc>
          <w:tcPr>
            <w:tcW w:type="dxa" w:w="1512"/>
          </w:tcPr>
          <w:p>
            <w:pPr>
              <w:spacing w:line="240" w:lineRule="auto" w:after="0" w:before="0"/>
            </w:pPr>
            <w:r/>
            <w:r>
              <w:rPr>
                <w:sz w:val="16"/>
              </w:rPr>
              <w:t>no</w:t>
            </w:r>
          </w:p>
        </w:tc>
      </w:tr>
      <w:tr>
        <w:trPr>
          <w:cantSplit/>
        </w:trPr>
        <w:tc>
          <w:tcPr>
            <w:tcW w:type="dxa" w:w="1512"/>
          </w:tcPr>
          <w:p>
            <w:pPr>
              <w:spacing w:line="240" w:lineRule="auto" w:after="0" w:before="0"/>
            </w:pPr>
            <w:r/>
            <w:r>
              <w:rPr>
                <w:sz w:val="16"/>
              </w:rPr>
              <w:t>C13</w:t>
            </w:r>
          </w:p>
        </w:tc>
        <w:tc>
          <w:tcPr>
            <w:tcW w:type="dxa" w:w="1512"/>
          </w:tcPr>
          <w:p>
            <w:pPr>
              <w:spacing w:line="240" w:lineRule="auto" w:after="0" w:before="0"/>
            </w:pPr>
            <w:r/>
            <w:r>
              <w:rPr>
                <w:sz w:val="16"/>
              </w:rPr>
              <w:t>2026-10-25</w:t>
            </w:r>
          </w:p>
        </w:tc>
        <w:tc>
          <w:tcPr>
            <w:tcW w:type="dxa" w:w="1512"/>
          </w:tcPr>
          <w:p>
            <w:pPr>
              <w:spacing w:line="240" w:lineRule="auto" w:after="0" w:before="0"/>
            </w:pPr>
            <w:r/>
            <w:r>
              <w:rPr>
                <w:sz w:val="16"/>
              </w:rPr>
              <w:t>Non-thyroidal illness in acute care requires an abnormal thyroid test (low T3/FT4 with non-suppressed TSH; TSH 0.1–0.4; recovery TSH 4.5–10); revised after firing on a normal TSH in a 300-stay smoke</w:t>
            </w:r>
          </w:p>
        </w:tc>
        <w:tc>
          <w:tcPr>
            <w:tcW w:type="dxa" w:w="1512"/>
          </w:tcPr>
          <w:p>
            <w:pPr>
              <w:spacing w:line="240" w:lineRule="auto" w:after="0" w:before="0"/>
            </w:pPr>
            <w:r/>
            <w:r>
              <w:rPr>
                <w:sz w:val="16"/>
              </w:rPr>
              <w:t>Fliers 2015; ATA/AACE 2012</w:t>
            </w:r>
          </w:p>
        </w:tc>
        <w:tc>
          <w:tcPr>
            <w:tcW w:type="dxa" w:w="1512"/>
          </w:tcPr>
          <w:p>
            <w:pPr>
              <w:spacing w:line="240" w:lineRule="auto" w:after="0" w:before="0"/>
            </w:pPr>
            <w:r/>
            <w:r>
              <w:rPr>
                <w:sz w:val="16"/>
              </w:rPr>
              <w:t>Amendment 15 closed list (+ dev smoke)</w:t>
            </w:r>
          </w:p>
        </w:tc>
        <w:tc>
          <w:tcPr>
            <w:tcW w:type="dxa" w:w="1512"/>
          </w:tcPr>
          <w:p>
            <w:pPr>
              <w:spacing w:line="240" w:lineRule="auto" w:after="0" w:before="0"/>
            </w:pPr>
            <w:r/>
            <w:r>
              <w:rPr>
                <w:sz w:val="16"/>
              </w:rPr>
              <w:t>no</w:t>
            </w:r>
          </w:p>
        </w:tc>
      </w:tr>
      <w:tr>
        <w:trPr>
          <w:cantSplit/>
        </w:trPr>
        <w:tc>
          <w:tcPr>
            <w:tcW w:type="dxa" w:w="1512"/>
          </w:tcPr>
          <w:p>
            <w:pPr>
              <w:spacing w:line="240" w:lineRule="auto" w:after="0" w:before="0"/>
            </w:pPr>
            <w:r/>
            <w:r>
              <w:rPr>
                <w:sz w:val="16"/>
              </w:rPr>
              <w:t>C14</w:t>
            </w:r>
          </w:p>
        </w:tc>
        <w:tc>
          <w:tcPr>
            <w:tcW w:type="dxa" w:w="1512"/>
          </w:tcPr>
          <w:p>
            <w:pPr>
              <w:spacing w:line="240" w:lineRule="auto" w:after="0" w:before="0"/>
            </w:pPr>
            <w:r/>
            <w:r>
              <w:rPr>
                <w:sz w:val="16"/>
              </w:rPr>
              <w:t>2026-10-25</w:t>
            </w:r>
          </w:p>
        </w:tc>
        <w:tc>
          <w:tcPr>
            <w:tcW w:type="dxa" w:w="1512"/>
          </w:tcPr>
          <w:p>
            <w:pPr>
              <w:spacing w:line="240" w:lineRule="auto" w:after="0" w:before="0"/>
            </w:pPr>
            <w:r/>
            <w:r>
              <w:rPr>
                <w:sz w:val="16"/>
              </w:rPr>
              <w:t>Urate 7.0–9.0 mg/dL = pattern (0.80); ≥ 9.0 = strong (0.88)</w:t>
            </w:r>
          </w:p>
        </w:tc>
        <w:tc>
          <w:tcPr>
            <w:tcW w:type="dxa" w:w="1512"/>
          </w:tcPr>
          <w:p>
            <w:pPr>
              <w:spacing w:line="240" w:lineRule="auto" w:after="0" w:before="0"/>
            </w:pPr>
            <w:r/>
            <w:r>
              <w:rPr>
                <w:sz w:val="16"/>
              </w:rPr>
              <w:t>ACR 2020; Cairo–Bishop</w:t>
            </w:r>
          </w:p>
        </w:tc>
        <w:tc>
          <w:tcPr>
            <w:tcW w:type="dxa" w:w="1512"/>
          </w:tcPr>
          <w:p>
            <w:pPr>
              <w:spacing w:line="240" w:lineRule="auto" w:after="0" w:before="0"/>
            </w:pPr>
            <w:r/>
            <w:r>
              <w:rPr>
                <w:sz w:val="16"/>
              </w:rPr>
              <w:t>Amendment 15 closed list</w:t>
            </w:r>
          </w:p>
        </w:tc>
        <w:tc>
          <w:tcPr>
            <w:tcW w:type="dxa" w:w="1512"/>
          </w:tcPr>
          <w:p>
            <w:pPr>
              <w:spacing w:line="240" w:lineRule="auto" w:after="0" w:before="0"/>
            </w:pPr>
            <w:r/>
            <w:r>
              <w:rPr>
                <w:sz w:val="16"/>
              </w:rPr>
              <w:t>no</w:t>
            </w:r>
          </w:p>
        </w:tc>
      </w:tr>
      <w:tr>
        <w:trPr>
          <w:cantSplit/>
        </w:trPr>
        <w:tc>
          <w:tcPr>
            <w:tcW w:type="dxa" w:w="1512"/>
          </w:tcPr>
          <w:p>
            <w:pPr>
              <w:spacing w:line="240" w:lineRule="auto" w:after="0" w:before="0"/>
            </w:pPr>
            <w:r/>
            <w:r>
              <w:rPr>
                <w:sz w:val="16"/>
              </w:rPr>
              <w:t>C15</w:t>
            </w:r>
          </w:p>
        </w:tc>
        <w:tc>
          <w:tcPr>
            <w:tcW w:type="dxa" w:w="1512"/>
          </w:tcPr>
          <w:p>
            <w:pPr>
              <w:spacing w:line="240" w:lineRule="auto" w:after="0" w:before="0"/>
            </w:pPr>
            <w:r/>
            <w:r>
              <w:rPr>
                <w:sz w:val="16"/>
              </w:rPr>
              <w:t>2026-10-25</w:t>
            </w:r>
          </w:p>
        </w:tc>
        <w:tc>
          <w:tcPr>
            <w:tcW w:type="dxa" w:w="1512"/>
          </w:tcPr>
          <w:p>
            <w:pPr>
              <w:spacing w:line="240" w:lineRule="auto" w:after="0" w:before="0"/>
            </w:pPr>
            <w:r/>
            <w:r>
              <w:rPr>
                <w:sz w:val="16"/>
              </w:rPr>
              <w:t>Hypocalcaemia anchor/strong grades require albumin-corrected or ionised calcium; uncorrected total calcium &lt; 7.5 mg/dL = pattern</w:t>
            </w:r>
          </w:p>
        </w:tc>
        <w:tc>
          <w:tcPr>
            <w:tcW w:type="dxa" w:w="1512"/>
          </w:tcPr>
          <w:p>
            <w:pPr>
              <w:spacing w:line="240" w:lineRule="auto" w:after="0" w:before="0"/>
            </w:pPr>
            <w:r/>
            <w:r>
              <w:rPr>
                <w:sz w:val="16"/>
              </w:rPr>
              <w:t>Cooper &amp; Gittoes 2008</w:t>
            </w:r>
          </w:p>
        </w:tc>
        <w:tc>
          <w:tcPr>
            <w:tcW w:type="dxa" w:w="1512"/>
          </w:tcPr>
          <w:p>
            <w:pPr>
              <w:spacing w:line="240" w:lineRule="auto" w:after="0" w:before="0"/>
            </w:pPr>
            <w:r/>
            <w:r>
              <w:rPr>
                <w:sz w:val="16"/>
              </w:rPr>
              <w:t>Amendment 15 closed list</w:t>
            </w:r>
          </w:p>
        </w:tc>
        <w:tc>
          <w:tcPr>
            <w:tcW w:type="dxa" w:w="1512"/>
          </w:tcPr>
          <w:p>
            <w:pPr>
              <w:spacing w:line="240" w:lineRule="auto" w:after="0" w:before="0"/>
            </w:pPr>
            <w:r/>
            <w:r>
              <w:rPr>
                <w:sz w:val="16"/>
              </w:rPr>
              <w:t>no</w:t>
            </w:r>
          </w:p>
        </w:tc>
      </w:tr>
      <w:tr>
        <w:trPr>
          <w:cantSplit/>
        </w:trPr>
        <w:tc>
          <w:tcPr>
            <w:tcW w:type="dxa" w:w="1512"/>
          </w:tcPr>
          <w:p>
            <w:pPr>
              <w:spacing w:line="240" w:lineRule="auto" w:after="0" w:before="0"/>
            </w:pPr>
            <w:r/>
            <w:r>
              <w:rPr>
                <w:sz w:val="16"/>
              </w:rPr>
              <w:t>C16</w:t>
            </w:r>
          </w:p>
        </w:tc>
        <w:tc>
          <w:tcPr>
            <w:tcW w:type="dxa" w:w="1512"/>
          </w:tcPr>
          <w:p>
            <w:pPr>
              <w:spacing w:line="240" w:lineRule="auto" w:after="0" w:before="0"/>
            </w:pPr>
            <w:r/>
            <w:r>
              <w:rPr>
                <w:sz w:val="16"/>
              </w:rPr>
              <w:t>2026-10-25</w:t>
            </w:r>
          </w:p>
        </w:tc>
        <w:tc>
          <w:tcPr>
            <w:tcW w:type="dxa" w:w="1512"/>
          </w:tcPr>
          <w:p>
            <w:pPr>
              <w:spacing w:line="240" w:lineRule="auto" w:after="0" w:before="0"/>
            </w:pPr>
            <w:r/>
            <w:r>
              <w:rPr>
                <w:sz w:val="16"/>
              </w:rPr>
              <w:t>Sickle-cell context guard: acute chest syndrome / vaso-occlusive crisis capped at 0.3 unless SCD documented or HbS measured</w:t>
            </w:r>
          </w:p>
        </w:tc>
        <w:tc>
          <w:tcPr>
            <w:tcW w:type="dxa" w:w="1512"/>
          </w:tcPr>
          <w:p>
            <w:pPr>
              <w:spacing w:line="240" w:lineRule="auto" w:after="0" w:before="0"/>
            </w:pPr>
            <w:r/>
            <w:r>
              <w:rPr>
                <w:sz w:val="16"/>
              </w:rPr>
              <w:t>NHLBI 2014; ASH 2020</w:t>
            </w:r>
          </w:p>
        </w:tc>
        <w:tc>
          <w:tcPr>
            <w:tcW w:type="dxa" w:w="1512"/>
          </w:tcPr>
          <w:p>
            <w:pPr>
              <w:spacing w:line="240" w:lineRule="auto" w:after="0" w:before="0"/>
            </w:pPr>
            <w:r/>
            <w:r>
              <w:rPr>
                <w:sz w:val="16"/>
              </w:rPr>
              <w:t>Amendment 15 closed list</w:t>
            </w:r>
          </w:p>
        </w:tc>
        <w:tc>
          <w:tcPr>
            <w:tcW w:type="dxa" w:w="1512"/>
          </w:tcPr>
          <w:p>
            <w:pPr>
              <w:spacing w:line="240" w:lineRule="auto" w:after="0" w:before="0"/>
            </w:pPr>
            <w:r/>
            <w:r>
              <w:rPr>
                <w:sz w:val="16"/>
              </w:rPr>
              <w:t>no</w:t>
            </w:r>
          </w:p>
        </w:tc>
      </w:tr>
    </w:tbl>
    <w:p/>
    <w:p>
      <w:r>
        <w:t xml:space="preserve">Not allowed at any point (SAP Amendment 14): weights tuned to a dataset; rules written for a specific missed case; thresholds without a source. No registry edit after 14.1.0. The development-gate clause "flat top-3/5 not worse than 13.4.2" was </w:t>
      </w:r>
      <w:r>
        <w:rPr>
          <w:b/>
        </w:rPr>
        <w:t>not</w:t>
      </w:r>
      <w:r>
        <w:t xml:space="preserve"> met by v6 (43.8/58.4 vs 49.3/63.7 %) and is recorded as such; C8–C10 recovered the loss to the same-engine control (60.8 vs 60.9 % at top-5).</w:t>
      </w:r>
    </w:p>
    <w:p>
      <w:pPr>
        <w:pStyle w:val="Heading1"/>
      </w:pPr>
      <w:r>
        <w:rPr>
          <w:rFonts w:ascii="Times New Roman" w:hAnsi="Times New Roman" w:eastAsia="Times New Roman" w:cs="Times New Roman"/>
          <w:b/>
          <w:i w:val="0"/>
          <w:color w:val="000000"/>
        </w:rPr>
        <w:t>Supplementary Table S2 — Quarantine criteria and outcomes, rounds 1 and 2 (one run each, after SHA-256 freeze; no re-tuning after)</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cantSplit/>
          <w:tblHeader/>
        </w:trPr>
        <w:tc>
          <w:tcPr>
            <w:tcW w:type="dxa" w:w="1814"/>
            <w:shd w:val="clear" w:fill="F2F2F2"/>
          </w:tcPr>
          <w:p>
            <w:pPr>
              <w:spacing w:line="240" w:lineRule="auto" w:after="0" w:before="0"/>
            </w:pPr>
            <w:r>
              <w:rPr>
                <w:b/>
              </w:rPr>
            </w:r>
            <w:r>
              <w:rPr>
                <w:b/>
                <w:sz w:val="16"/>
              </w:rPr>
              <w:t>Round / freeze</w:t>
            </w:r>
          </w:p>
        </w:tc>
        <w:tc>
          <w:tcPr>
            <w:tcW w:type="dxa" w:w="1814"/>
            <w:shd w:val="clear" w:fill="F2F2F2"/>
          </w:tcPr>
          <w:p>
            <w:pPr>
              <w:spacing w:line="240" w:lineRule="auto" w:after="0" w:before="0"/>
            </w:pPr>
            <w:r>
              <w:rPr>
                <w:b/>
              </w:rPr>
            </w:r>
            <w:r>
              <w:rPr>
                <w:b/>
                <w:sz w:val="16"/>
              </w:rPr>
              <w:t>Criterion (pre-stated)</w:t>
            </w:r>
          </w:p>
        </w:tc>
        <w:tc>
          <w:tcPr>
            <w:tcW w:type="dxa" w:w="1814"/>
            <w:shd w:val="clear" w:fill="F2F2F2"/>
          </w:tcPr>
          <w:p>
            <w:pPr>
              <w:spacing w:line="240" w:lineRule="auto" w:after="0" w:before="0"/>
            </w:pPr>
            <w:r>
              <w:rPr>
                <w:b/>
              </w:rPr>
            </w:r>
            <w:r>
              <w:rPr>
                <w:b/>
                <w:sz w:val="16"/>
              </w:rPr>
              <w:t>Threshold</w:t>
            </w:r>
          </w:p>
        </w:tc>
        <w:tc>
          <w:tcPr>
            <w:tcW w:type="dxa" w:w="1814"/>
            <w:shd w:val="clear" w:fill="F2F2F2"/>
          </w:tcPr>
          <w:p>
            <w:pPr>
              <w:spacing w:line="240" w:lineRule="auto" w:after="0" w:before="0"/>
            </w:pPr>
            <w:r>
              <w:rPr>
                <w:b/>
              </w:rPr>
            </w:r>
            <w:r>
              <w:rPr>
                <w:b/>
                <w:sz w:val="16"/>
              </w:rPr>
              <w:t>Result</w:t>
            </w:r>
          </w:p>
        </w:tc>
        <w:tc>
          <w:tcPr>
            <w:tcW w:type="dxa" w:w="1814"/>
            <w:shd w:val="clear" w:fill="F2F2F2"/>
          </w:tcPr>
          <w:p>
            <w:pPr>
              <w:spacing w:line="240" w:lineRule="auto" w:after="0" w:before="0"/>
            </w:pPr>
            <w:r>
              <w:rPr>
                <w:b/>
              </w:rPr>
            </w:r>
            <w:r>
              <w:rPr>
                <w:b/>
                <w:sz w:val="16"/>
              </w:rPr>
              <w:t>Met</w:t>
            </w:r>
          </w:p>
        </w:tc>
      </w:tr>
      <w:tr>
        <w:trPr>
          <w:cantSplit/>
        </w:trPr>
        <w:tc>
          <w:tcPr>
            <w:tcW w:type="dxa" w:w="1814"/>
          </w:tcPr>
          <w:p>
            <w:pPr>
              <w:spacing w:line="240" w:lineRule="auto" w:after="0" w:before="0"/>
            </w:pPr>
            <w:r/>
            <w:r>
              <w:rPr>
                <w:sz w:val="16"/>
              </w:rPr>
              <w:t xml:space="preserve">1 — </w:t>
            </w:r>
            <w:r>
              <w:rPr>
                <w:rFonts w:ascii="Courier New" w:hAnsi="Courier New" w:eastAsia="Courier New" w:cs="Courier New"/>
                <w:color w:val="000000"/>
                <w:sz w:val="16"/>
              </w:rPr>
              <w:t>FREEZE_v14_20261025</w:t>
            </w:r>
            <w:r>
              <w:rPr>
                <w:sz w:val="16"/>
              </w:rPr>
              <w:t xml:space="preserve"> (registry 14.1.0, engine v6.1)</w:t>
            </w:r>
          </w:p>
        </w:tc>
        <w:tc>
          <w:tcPr>
            <w:tcW w:type="dxa" w:w="1814"/>
          </w:tcPr>
          <w:p>
            <w:pPr>
              <w:spacing w:line="240" w:lineRule="auto" w:after="0" w:before="0"/>
            </w:pPr>
            <w:r/>
            <w:r>
              <w:rPr>
                <w:sz w:val="16"/>
              </w:rPr>
              <w:t>MIMIC-IV demo, labs-only, lab-detectable coded diagnoses: top-5 / top-1 (primary)</w:t>
            </w:r>
          </w:p>
        </w:tc>
        <w:tc>
          <w:tcPr>
            <w:tcW w:type="dxa" w:w="1814"/>
          </w:tcPr>
          <w:p>
            <w:pPr>
              <w:spacing w:line="240" w:lineRule="auto" w:after="0" w:before="0"/>
            </w:pPr>
            <w:r/>
            <w:r>
              <w:rPr>
                <w:sz w:val="16"/>
              </w:rPr>
              <w:t>≥ 65 % / ≥ 45 %</w:t>
            </w:r>
          </w:p>
        </w:tc>
        <w:tc>
          <w:tcPr>
            <w:tcW w:type="dxa" w:w="1814"/>
          </w:tcPr>
          <w:p>
            <w:pPr>
              <w:spacing w:line="240" w:lineRule="auto" w:after="0" w:before="0"/>
            </w:pPr>
            <w:r/>
            <w:r>
              <w:rPr>
                <w:sz w:val="16"/>
              </w:rPr>
              <w:t>47.9 % / ≈ 18 % (control 13.3.0 registry, same engine: 50.1 %); difference driven by CKD recall 27.7 vs 50.8 % (KDIGO chronicity)</w:t>
            </w:r>
          </w:p>
        </w:tc>
        <w:tc>
          <w:tcPr>
            <w:tcW w:type="dxa" w:w="1814"/>
          </w:tcPr>
          <w:p>
            <w:pPr>
              <w:spacing w:line="240" w:lineRule="auto" w:after="0" w:before="0"/>
            </w:pPr>
            <w:r/>
            <w:r>
              <w:rPr>
                <w:b/>
                <w:sz w:val="16"/>
              </w:rPr>
              <w:t>no</w:t>
            </w:r>
          </w:p>
        </w:tc>
      </w:tr>
      <w:tr>
        <w:trPr>
          <w:cantSplit/>
        </w:trPr>
        <w:tc>
          <w:tcPr>
            <w:tcW w:type="dxa" w:w="1814"/>
          </w:tcPr>
          <w:p>
            <w:pPr>
              <w:spacing w:line="240" w:lineRule="auto" w:after="0" w:before="0"/>
            </w:pPr>
            <w:r/>
            <w:r>
              <w:rPr>
                <w:sz w:val="16"/>
              </w:rPr>
              <w:t>1</w:t>
            </w:r>
          </w:p>
        </w:tc>
        <w:tc>
          <w:tcPr>
            <w:tcW w:type="dxa" w:w="1814"/>
          </w:tcPr>
          <w:p>
            <w:pPr>
              <w:spacing w:line="240" w:lineRule="auto" w:after="0" w:before="0"/>
            </w:pPr>
            <w:r/>
            <w:r>
              <w:rPr>
                <w:sz w:val="16"/>
              </w:rPr>
              <w:t>Sepsis-2019 set B (4,558 windows / 268 sepsis), concurrent, labs + vitals: AUROC (primary)</w:t>
            </w:r>
          </w:p>
        </w:tc>
        <w:tc>
          <w:tcPr>
            <w:tcW w:type="dxa" w:w="1814"/>
          </w:tcPr>
          <w:p>
            <w:pPr>
              <w:spacing w:line="240" w:lineRule="auto" w:after="0" w:before="0"/>
            </w:pPr>
            <w:r/>
            <w:r>
              <w:rPr>
                <w:sz w:val="16"/>
              </w:rPr>
              <w:t>≥ 0.65</w:t>
            </w:r>
          </w:p>
        </w:tc>
        <w:tc>
          <w:tcPr>
            <w:tcW w:type="dxa" w:w="1814"/>
          </w:tcPr>
          <w:p>
            <w:pPr>
              <w:spacing w:line="240" w:lineRule="auto" w:after="0" w:before="0"/>
            </w:pPr>
            <w:r/>
            <w:r>
              <w:rPr>
                <w:sz w:val="16"/>
              </w:rPr>
              <w:t>0.638 (0.601–0.675); control 0.639</w:t>
            </w:r>
          </w:p>
        </w:tc>
        <w:tc>
          <w:tcPr>
            <w:tcW w:type="dxa" w:w="1814"/>
          </w:tcPr>
          <w:p>
            <w:pPr>
              <w:spacing w:line="240" w:lineRule="auto" w:after="0" w:before="0"/>
            </w:pPr>
            <w:r/>
            <w:r>
              <w:rPr>
                <w:b/>
                <w:sz w:val="16"/>
              </w:rPr>
              <w:t>no</w:t>
            </w:r>
          </w:p>
        </w:tc>
      </w:tr>
      <w:tr>
        <w:trPr>
          <w:cantSplit/>
        </w:trPr>
        <w:tc>
          <w:tcPr>
            <w:tcW w:type="dxa" w:w="1814"/>
          </w:tcPr>
          <w:p>
            <w:pPr>
              <w:spacing w:line="240" w:lineRule="auto" w:after="0" w:before="0"/>
            </w:pPr>
            <w:r/>
            <w:r>
              <w:rPr>
                <w:sz w:val="16"/>
              </w:rPr>
              <w:t>1</w:t>
            </w:r>
          </w:p>
        </w:tc>
        <w:tc>
          <w:tcPr>
            <w:tcW w:type="dxa" w:w="1814"/>
          </w:tcPr>
          <w:p>
            <w:pPr>
              <w:spacing w:line="240" w:lineRule="auto" w:after="0" w:before="0"/>
            </w:pPr>
            <w:r/>
            <w:r>
              <w:rPr>
                <w:sz w:val="16"/>
              </w:rPr>
              <w:t>set B flag rate in non-sepsis windows</w:t>
            </w:r>
          </w:p>
        </w:tc>
        <w:tc>
          <w:tcPr>
            <w:tcW w:type="dxa" w:w="1814"/>
          </w:tcPr>
          <w:p>
            <w:pPr>
              <w:spacing w:line="240" w:lineRule="auto" w:after="0" w:before="0"/>
            </w:pPr>
            <w:r/>
            <w:r>
              <w:rPr>
                <w:sz w:val="16"/>
              </w:rPr>
              <w:t>≤ 20 %</w:t>
            </w:r>
          </w:p>
        </w:tc>
        <w:tc>
          <w:tcPr>
            <w:tcW w:type="dxa" w:w="1814"/>
          </w:tcPr>
          <w:p>
            <w:pPr>
              <w:spacing w:line="240" w:lineRule="auto" w:after="0" w:before="0"/>
            </w:pPr>
            <w:r/>
            <w:r>
              <w:rPr>
                <w:sz w:val="16"/>
              </w:rPr>
              <w:t>16.1 %</w:t>
            </w:r>
          </w:p>
        </w:tc>
        <w:tc>
          <w:tcPr>
            <w:tcW w:type="dxa" w:w="1814"/>
          </w:tcPr>
          <w:p>
            <w:pPr>
              <w:spacing w:line="240" w:lineRule="auto" w:after="0" w:before="0"/>
            </w:pPr>
            <w:r/>
            <w:r>
              <w:rPr>
                <w:sz w:val="16"/>
              </w:rPr>
              <w:t>yes</w:t>
            </w:r>
          </w:p>
        </w:tc>
      </w:tr>
      <w:tr>
        <w:trPr>
          <w:cantSplit/>
        </w:trPr>
        <w:tc>
          <w:tcPr>
            <w:tcW w:type="dxa" w:w="1814"/>
          </w:tcPr>
          <w:p>
            <w:pPr>
              <w:spacing w:line="240" w:lineRule="auto" w:after="0" w:before="0"/>
            </w:pPr>
            <w:r/>
            <w:r>
              <w:rPr>
                <w:sz w:val="16"/>
              </w:rPr>
              <w:t>1</w:t>
            </w:r>
          </w:p>
        </w:tc>
        <w:tc>
          <w:tcPr>
            <w:tcW w:type="dxa" w:w="1814"/>
          </w:tcPr>
          <w:p>
            <w:pPr>
              <w:spacing w:line="240" w:lineRule="auto" w:after="0" w:before="0"/>
            </w:pPr>
            <w:r/>
            <w:r>
              <w:rPr>
                <w:sz w:val="16"/>
              </w:rPr>
              <w:t>NHANES 2013–14 (H): diabetes, CKD, anaemia, iron-deficiency AUROC within 0.03 of NHANES J (13.3.0); CKD false positives not higher</w:t>
            </w:r>
          </w:p>
        </w:tc>
        <w:tc>
          <w:tcPr>
            <w:tcW w:type="dxa" w:w="1814"/>
          </w:tcPr>
          <w:p>
            <w:pPr>
              <w:spacing w:line="240" w:lineRule="auto" w:after="0" w:before="0"/>
            </w:pPr>
            <w:r/>
            <w:r>
              <w:rPr>
                <w:sz w:val="16"/>
              </w:rPr>
              <w:t>0.03</w:t>
            </w:r>
          </w:p>
        </w:tc>
        <w:tc>
          <w:tcPr>
            <w:tcW w:type="dxa" w:w="1814"/>
          </w:tcPr>
          <w:p>
            <w:pPr>
              <w:spacing w:line="240" w:lineRule="auto" w:after="0" w:before="0"/>
            </w:pPr>
            <w:r/>
            <w:r>
              <w:rPr>
                <w:sz w:val="16"/>
              </w:rPr>
              <w:t>all within 0.03; CKD false positives lower</w:t>
            </w:r>
          </w:p>
        </w:tc>
        <w:tc>
          <w:tcPr>
            <w:tcW w:type="dxa" w:w="1814"/>
          </w:tcPr>
          <w:p>
            <w:pPr>
              <w:spacing w:line="240" w:lineRule="auto" w:after="0" w:before="0"/>
            </w:pPr>
            <w:r/>
            <w:r>
              <w:rPr>
                <w:sz w:val="16"/>
              </w:rPr>
              <w:t>yes</w:t>
            </w:r>
          </w:p>
        </w:tc>
      </w:tr>
      <w:tr>
        <w:trPr>
          <w:cantSplit/>
        </w:trPr>
        <w:tc>
          <w:tcPr>
            <w:tcW w:type="dxa" w:w="1814"/>
          </w:tcPr>
          <w:p>
            <w:pPr>
              <w:spacing w:line="240" w:lineRule="auto" w:after="0" w:before="0"/>
            </w:pPr>
            <w:r/>
            <w:r>
              <w:rPr>
                <w:sz w:val="16"/>
              </w:rPr>
              <w:t>1</w:t>
            </w:r>
          </w:p>
        </w:tc>
        <w:tc>
          <w:tcPr>
            <w:tcW w:type="dxa" w:w="1814"/>
          </w:tcPr>
          <w:p>
            <w:pPr>
              <w:spacing w:line="240" w:lineRule="auto" w:after="0" w:before="0"/>
            </w:pPr>
            <w:r/>
            <w:r>
              <w:rPr>
                <w:sz w:val="16"/>
              </w:rPr>
              <w:t>New PMC case reports: top-5</w:t>
            </w:r>
          </w:p>
        </w:tc>
        <w:tc>
          <w:tcPr>
            <w:tcW w:type="dxa" w:w="1814"/>
          </w:tcPr>
          <w:p>
            <w:pPr>
              <w:spacing w:line="240" w:lineRule="auto" w:after="0" w:before="0"/>
            </w:pPr>
            <w:r/>
            <w:r>
              <w:rPr>
                <w:sz w:val="16"/>
              </w:rPr>
              <w:t>≥ 60 %</w:t>
            </w:r>
          </w:p>
        </w:tc>
        <w:tc>
          <w:tcPr>
            <w:tcW w:type="dxa" w:w="1814"/>
          </w:tcPr>
          <w:p>
            <w:pPr>
              <w:spacing w:line="240" w:lineRule="auto" w:after="0" w:before="0"/>
            </w:pPr>
            <w:r/>
            <w:r>
              <w:rPr>
                <w:sz w:val="16"/>
              </w:rPr>
              <w:t>68 % syndrome-level / 26 % specific (manual extraction)</w:t>
            </w:r>
          </w:p>
        </w:tc>
        <w:tc>
          <w:tcPr>
            <w:tcW w:type="dxa" w:w="1814"/>
          </w:tcPr>
          <w:p>
            <w:pPr>
              <w:spacing w:line="240" w:lineRule="auto" w:after="0" w:before="0"/>
            </w:pPr>
            <w:r/>
            <w:r>
              <w:rPr>
                <w:sz w:val="16"/>
              </w:rPr>
              <w:t>partial (syndrome yes, specific no)</w:t>
            </w:r>
          </w:p>
        </w:tc>
      </w:tr>
      <w:tr>
        <w:trPr>
          <w:cantSplit/>
        </w:trPr>
        <w:tc>
          <w:tcPr>
            <w:tcW w:type="dxa" w:w="1814"/>
          </w:tcPr>
          <w:p>
            <w:pPr>
              <w:spacing w:line="240" w:lineRule="auto" w:after="0" w:before="0"/>
            </w:pPr>
            <w:r/>
            <w:r>
              <w:rPr>
                <w:sz w:val="16"/>
              </w:rPr>
              <w:t>1</w:t>
            </w:r>
          </w:p>
        </w:tc>
        <w:tc>
          <w:tcPr>
            <w:tcW w:type="dxa" w:w="1814"/>
          </w:tcPr>
          <w:p>
            <w:pPr>
              <w:spacing w:line="240" w:lineRule="auto" w:after="0" w:before="0"/>
            </w:pPr>
            <w:r/>
            <w:r>
              <w:rPr>
                <w:sz w:val="16"/>
              </w:rPr>
              <w:t>Safety: healthy false flags; fuzz</w:t>
            </w:r>
          </w:p>
        </w:tc>
        <w:tc>
          <w:tcPr>
            <w:tcW w:type="dxa" w:w="1814"/>
          </w:tcPr>
          <w:p>
            <w:pPr>
              <w:spacing w:line="240" w:lineRule="auto" w:after="0" w:before="0"/>
            </w:pPr>
            <w:r/>
            <w:r>
              <w:rPr>
                <w:sz w:val="16"/>
              </w:rPr>
              <w:t>0/40; 0/1000</w:t>
            </w:r>
          </w:p>
        </w:tc>
        <w:tc>
          <w:tcPr>
            <w:tcW w:type="dxa" w:w="1814"/>
          </w:tcPr>
          <w:p>
            <w:pPr>
              <w:spacing w:line="240" w:lineRule="auto" w:after="0" w:before="0"/>
            </w:pPr>
            <w:r/>
            <w:r>
              <w:rPr>
                <w:sz w:val="16"/>
              </w:rPr>
              <w:t>0/40; fuzz 753/755 (2 pre-existing)</w:t>
            </w:r>
          </w:p>
        </w:tc>
        <w:tc>
          <w:tcPr>
            <w:tcW w:type="dxa" w:w="1814"/>
          </w:tcPr>
          <w:p>
            <w:pPr>
              <w:spacing w:line="240" w:lineRule="auto" w:after="0" w:before="0"/>
            </w:pPr>
            <w:r/>
            <w:r>
              <w:rPr>
                <w:sz w:val="16"/>
              </w:rPr>
              <w:t>yes</w:t>
            </w:r>
          </w:p>
        </w:tc>
      </w:tr>
      <w:tr>
        <w:trPr>
          <w:cantSplit/>
        </w:trPr>
        <w:tc>
          <w:tcPr>
            <w:tcW w:type="dxa" w:w="1814"/>
          </w:tcPr>
          <w:p>
            <w:pPr>
              <w:spacing w:line="240" w:lineRule="auto" w:after="0" w:before="0"/>
            </w:pPr>
            <w:r/>
            <w:r>
              <w:rPr>
                <w:sz w:val="16"/>
              </w:rPr>
              <w:t>Interpretation rule (round 1)</w:t>
            </w:r>
          </w:p>
        </w:tc>
        <w:tc>
          <w:tcPr>
            <w:tcW w:type="dxa" w:w="1814"/>
          </w:tcPr>
          <w:p>
            <w:pPr>
              <w:spacing w:line="240" w:lineRule="auto" w:after="0" w:before="0"/>
            </w:pPr>
            <w:r/>
            <w:r>
              <w:rPr>
                <w:sz w:val="16"/>
              </w:rPr>
              <w:t>any primary missed → reported verbatim as failure; prior release remains headline</w:t>
            </w:r>
          </w:p>
        </w:tc>
        <w:tc>
          <w:tcPr>
            <w:tcW w:type="dxa" w:w="1814"/>
          </w:tcPr>
          <w:p>
            <w:pPr>
              <w:spacing w:line="240" w:lineRule="auto" w:after="0" w:before="0"/>
            </w:pPr>
            <w:r/>
            <w:r>
              <w:rPr>
                <w:sz w:val="16"/>
              </w:rPr>
              <w:t>—</w:t>
            </w:r>
          </w:p>
        </w:tc>
        <w:tc>
          <w:tcPr>
            <w:tcW w:type="dxa" w:w="1814"/>
          </w:tcPr>
          <w:p>
            <w:pPr>
              <w:spacing w:line="240" w:lineRule="auto" w:after="0" w:before="0"/>
            </w:pPr>
            <w:r/>
            <w:r>
              <w:rPr>
                <w:sz w:val="16"/>
              </w:rPr>
              <w:t>applied: no recall-improvement claim for 14.x</w:t>
            </w:r>
          </w:p>
        </w:tc>
        <w:tc>
          <w:tcPr>
            <w:tcW w:type="dxa" w:w="1814"/>
          </w:tcPr>
          <w:p>
            <w:pPr>
              <w:spacing w:line="240" w:lineRule="auto" w:after="0" w:before="0"/>
            </w:pPr>
            <w:r/>
            <w:r>
              <w:rPr>
                <w:sz w:val="16"/>
              </w:rPr>
              <w:t>—</w:t>
            </w:r>
          </w:p>
        </w:tc>
      </w:tr>
      <w:tr>
        <w:trPr>
          <w:cantSplit/>
        </w:trPr>
        <w:tc>
          <w:tcPr>
            <w:tcW w:type="dxa" w:w="1814"/>
          </w:tcPr>
          <w:p>
            <w:pPr>
              <w:spacing w:line="240" w:lineRule="auto" w:after="0" w:before="0"/>
            </w:pPr>
            <w:r/>
            <w:r>
              <w:rPr>
                <w:sz w:val="16"/>
              </w:rPr>
              <w:t xml:space="preserve">2 — </w:t>
            </w:r>
            <w:r>
              <w:rPr>
                <w:rFonts w:ascii="Courier New" w:hAnsi="Courier New" w:eastAsia="Courier New" w:cs="Courier New"/>
                <w:color w:val="000000"/>
                <w:sz w:val="16"/>
              </w:rPr>
              <w:t>FREEZE_v15_20261025</w:t>
            </w:r>
            <w:r>
              <w:rPr>
                <w:sz w:val="16"/>
              </w:rPr>
              <w:t xml:space="preserve"> (registry 14.1.0, engine v7; criteria re-specified as non-inferiority in Amendment 15, dated after round 1 and before any round-2 file was opened)</w:t>
            </w:r>
          </w:p>
        </w:tc>
        <w:tc>
          <w:tcPr>
            <w:tcW w:type="dxa" w:w="1814"/>
          </w:tcPr>
          <w:p>
            <w:pPr>
              <w:spacing w:line="240" w:lineRule="auto" w:after="0" w:before="0"/>
            </w:pPr>
            <w:r/>
            <w:r>
              <w:rPr>
                <w:sz w:val="16"/>
              </w:rPr>
              <w:t>NHANES 2015–16 (I): diabetes, CKD, anaemia, iron deficiency, hypercholesterolaemia, hyperuricaemia AUROC within 0.03 of H/J; healthy false flags</w:t>
            </w:r>
          </w:p>
        </w:tc>
        <w:tc>
          <w:tcPr>
            <w:tcW w:type="dxa" w:w="1814"/>
          </w:tcPr>
          <w:p>
            <w:pPr>
              <w:spacing w:line="240" w:lineRule="auto" w:after="0" w:before="0"/>
            </w:pPr>
            <w:r/>
            <w:r>
              <w:rPr>
                <w:sz w:val="16"/>
              </w:rPr>
              <w:t>0.03; ≤ 1 %</w:t>
            </w:r>
          </w:p>
        </w:tc>
        <w:tc>
          <w:tcPr>
            <w:tcW w:type="dxa" w:w="1814"/>
          </w:tcPr>
          <w:p>
            <w:pPr>
              <w:spacing w:line="240" w:lineRule="auto" w:after="0" w:before="0"/>
            </w:pPr>
            <w:r/>
            <w:r>
              <w:rPr>
                <w:sz w:val="16"/>
              </w:rPr>
              <w:t>.924 /.962 /.983 /.972 /.886 /.955 (largest deviation 0.018); healthy 0/79</w:t>
            </w:r>
          </w:p>
        </w:tc>
        <w:tc>
          <w:tcPr>
            <w:tcW w:type="dxa" w:w="1814"/>
          </w:tcPr>
          <w:p>
            <w:pPr>
              <w:spacing w:line="240" w:lineRule="auto" w:after="0" w:before="0"/>
            </w:pPr>
            <w:r/>
            <w:r>
              <w:rPr>
                <w:sz w:val="16"/>
              </w:rPr>
              <w:t>yes</w:t>
            </w:r>
          </w:p>
        </w:tc>
      </w:tr>
      <w:tr>
        <w:trPr>
          <w:cantSplit/>
        </w:trPr>
        <w:tc>
          <w:tcPr>
            <w:tcW w:type="dxa" w:w="1814"/>
          </w:tcPr>
          <w:p>
            <w:pPr>
              <w:spacing w:line="240" w:lineRule="auto" w:after="0" w:before="0"/>
            </w:pPr>
            <w:r/>
            <w:r>
              <w:rPr>
                <w:sz w:val="16"/>
              </w:rPr>
              <w:t>2</w:t>
            </w:r>
          </w:p>
        </w:tc>
        <w:tc>
          <w:tcPr>
            <w:tcW w:type="dxa" w:w="1814"/>
          </w:tcPr>
          <w:p>
            <w:pPr>
              <w:spacing w:line="240" w:lineRule="auto" w:after="0" w:before="0"/>
            </w:pPr>
            <w:r/>
            <w:r>
              <w:rPr>
                <w:sz w:val="16"/>
              </w:rPr>
              <w:t>Sepsis-2019 set B2 (5,000 records disjoint from set B), concurrent arm B: AUROC not lower than set B (0.638) by more than 0.02; flag rate</w:t>
            </w:r>
          </w:p>
        </w:tc>
        <w:tc>
          <w:tcPr>
            <w:tcW w:type="dxa" w:w="1814"/>
          </w:tcPr>
          <w:p>
            <w:pPr>
              <w:spacing w:line="240" w:lineRule="auto" w:after="0" w:before="0"/>
            </w:pPr>
            <w:r/>
            <w:r>
              <w:rPr>
                <w:sz w:val="16"/>
              </w:rPr>
              <w:t>−0.02; ≤ 20 %</w:t>
            </w:r>
          </w:p>
        </w:tc>
        <w:tc>
          <w:tcPr>
            <w:tcW w:type="dxa" w:w="1814"/>
          </w:tcPr>
          <w:p>
            <w:pPr>
              <w:spacing w:line="240" w:lineRule="auto" w:after="0" w:before="0"/>
            </w:pPr>
            <w:r/>
            <w:r>
              <w:rPr>
                <w:sz w:val="16"/>
              </w:rPr>
              <w:t>0.635 (0.597–0.673); 14.2 %</w:t>
            </w:r>
          </w:p>
        </w:tc>
        <w:tc>
          <w:tcPr>
            <w:tcW w:type="dxa" w:w="1814"/>
          </w:tcPr>
          <w:p>
            <w:pPr>
              <w:spacing w:line="240" w:lineRule="auto" w:after="0" w:before="0"/>
            </w:pPr>
            <w:r/>
            <w:r>
              <w:rPr>
                <w:sz w:val="16"/>
              </w:rPr>
              <w:t>yes</w:t>
            </w:r>
          </w:p>
        </w:tc>
      </w:tr>
      <w:tr>
        <w:trPr>
          <w:cantSplit/>
        </w:trPr>
        <w:tc>
          <w:tcPr>
            <w:tcW w:type="dxa" w:w="1814"/>
          </w:tcPr>
          <w:p>
            <w:pPr>
              <w:spacing w:line="240" w:lineRule="auto" w:after="0" w:before="0"/>
            </w:pPr>
            <w:r/>
            <w:r>
              <w:rPr>
                <w:sz w:val="16"/>
              </w:rPr>
              <w:t>2</w:t>
            </w:r>
          </w:p>
        </w:tc>
        <w:tc>
          <w:tcPr>
            <w:tcW w:type="dxa" w:w="1814"/>
          </w:tcPr>
          <w:p>
            <w:pPr>
              <w:spacing w:line="240" w:lineRule="auto" w:after="0" w:before="0"/>
            </w:pPr>
            <w:r/>
            <w:r>
              <w:rPr>
                <w:sz w:val="16"/>
              </w:rPr>
              <w:t>Safety: healthy sweep; fuzz</w:t>
            </w:r>
          </w:p>
        </w:tc>
        <w:tc>
          <w:tcPr>
            <w:tcW w:type="dxa" w:w="1814"/>
          </w:tcPr>
          <w:p>
            <w:pPr>
              <w:spacing w:line="240" w:lineRule="auto" w:after="0" w:before="0"/>
            </w:pPr>
            <w:r/>
            <w:r>
              <w:rPr>
                <w:sz w:val="16"/>
              </w:rPr>
              <w:t>0/1000; no new breaks</w:t>
            </w:r>
          </w:p>
        </w:tc>
        <w:tc>
          <w:tcPr>
            <w:tcW w:type="dxa" w:w="1814"/>
          </w:tcPr>
          <w:p>
            <w:pPr>
              <w:spacing w:line="240" w:lineRule="auto" w:after="0" w:before="0"/>
            </w:pPr>
            <w:r/>
            <w:r>
              <w:rPr>
                <w:sz w:val="16"/>
              </w:rPr>
              <w:t>0/1000; 753/755</w:t>
            </w:r>
          </w:p>
        </w:tc>
        <w:tc>
          <w:tcPr>
            <w:tcW w:type="dxa" w:w="1814"/>
          </w:tcPr>
          <w:p>
            <w:pPr>
              <w:spacing w:line="240" w:lineRule="auto" w:after="0" w:before="0"/>
            </w:pPr>
            <w:r/>
            <w:r>
              <w:rPr>
                <w:sz w:val="16"/>
              </w:rPr>
              <w:t>yes</w:t>
            </w:r>
          </w:p>
        </w:tc>
      </w:tr>
      <w:tr>
        <w:trPr>
          <w:cantSplit/>
        </w:trPr>
        <w:tc>
          <w:tcPr>
            <w:tcW w:type="dxa" w:w="1814"/>
          </w:tcPr>
          <w:p>
            <w:pPr>
              <w:spacing w:line="240" w:lineRule="auto" w:after="0" w:before="0"/>
            </w:pPr>
            <w:r/>
            <w:r>
              <w:rPr>
                <w:sz w:val="16"/>
              </w:rPr>
              <w:t>Interpretation rule (round 2)</w:t>
            </w:r>
          </w:p>
        </w:tc>
        <w:tc>
          <w:tcPr>
            <w:tcW w:type="dxa" w:w="1814"/>
          </w:tcPr>
          <w:p>
            <w:pPr>
              <w:spacing w:line="240" w:lineRule="auto" w:after="0" w:before="0"/>
            </w:pPr>
            <w:r/>
            <w:r>
              <w:rPr>
                <w:sz w:val="16"/>
              </w:rPr>
              <w:t xml:space="preserve">criteria met → v7 ships as the frozen engine at parity, </w:t>
            </w:r>
            <w:r>
              <w:rPr>
                <w:b/>
                <w:sz w:val="16"/>
              </w:rPr>
              <w:t>no improvement claim</w:t>
            </w:r>
            <w:r>
              <w:rPr>
                <w:sz w:val="16"/>
              </w:rPr>
              <w:t>; eICU/MIMIC changes reported as development results</w:t>
            </w:r>
          </w:p>
        </w:tc>
        <w:tc>
          <w:tcPr>
            <w:tcW w:type="dxa" w:w="1814"/>
          </w:tcPr>
          <w:p>
            <w:pPr>
              <w:spacing w:line="240" w:lineRule="auto" w:after="0" w:before="0"/>
            </w:pPr>
            <w:r/>
            <w:r>
              <w:rPr>
                <w:sz w:val="16"/>
              </w:rPr>
              <w:t>—</w:t>
            </w:r>
          </w:p>
        </w:tc>
        <w:tc>
          <w:tcPr>
            <w:tcW w:type="dxa" w:w="1814"/>
          </w:tcPr>
          <w:p>
            <w:pPr>
              <w:spacing w:line="240" w:lineRule="auto" w:after="0" w:before="0"/>
            </w:pPr>
            <w:r/>
            <w:r>
              <w:rPr>
                <w:sz w:val="16"/>
              </w:rPr>
              <w:t>applied</w:t>
            </w:r>
          </w:p>
        </w:tc>
        <w:tc>
          <w:tcPr>
            <w:tcW w:type="dxa" w:w="1814"/>
          </w:tcPr>
          <w:p>
            <w:pPr>
              <w:spacing w:line="240" w:lineRule="auto" w:after="0" w:before="0"/>
            </w:pPr>
            <w:r/>
            <w:r>
              <w:rPr>
                <w:sz w:val="16"/>
              </w:rPr>
              <w:t>—</w:t>
            </w:r>
          </w:p>
        </w:tc>
      </w:tr>
    </w:tbl>
    <w:p/>
    <w:p>
      <w:r>
        <w:t>Because the criteria were weakened between rounds (superiority → non-inferiority), round 2 is supportive evidence of non-regression, not the confirmatory test originally planned (main text Section 3.4). Two data-preparation corrections after the round-2 freeze (participant-id type; recomputed NHANES ACR column) are documented in; no engine, registry or evaluation file changed.</w:t>
      </w:r>
    </w:p>
    <w:p>
      <w:pPr>
        <w:pStyle w:val="Heading1"/>
      </w:pPr>
      <w:r>
        <w:rPr>
          <w:rFonts w:ascii="Times New Roman" w:hAnsi="Times New Roman" w:eastAsia="Times New Roman" w:cs="Times New Roman"/>
          <w:b/>
          <w:i w:val="0"/>
          <w:color w:val="000000"/>
        </w:rPr>
        <w:t>Supplementary Note 2 — LLM comparison protocol</w:t>
      </w:r>
    </w:p>
    <w:p>
      <w:pPr>
        <w:pStyle w:val="Heading2"/>
      </w:pPr>
      <w:r>
        <w:rPr>
          <w:rFonts w:ascii="Times New Roman" w:hAnsi="Times New Roman" w:eastAsia="Times New Roman" w:cs="Times New Roman"/>
          <w:b/>
          <w:i w:val="0"/>
          <w:color w:val="000000"/>
        </w:rPr>
        <w:t>Supplementary Note — Protocol of the blinded LLM comparison (B3 / B4 / B8) and reviewer additions</w:t>
      </w:r>
    </w:p>
    <w:p>
      <w:pPr>
        <w:pStyle w:val="Heading2"/>
      </w:pPr>
      <w:r>
        <w:rPr>
          <w:rFonts w:ascii="Times New Roman" w:hAnsi="Times New Roman" w:eastAsia="Times New Roman" w:cs="Times New Roman"/>
          <w:b/>
          <w:i w:val="0"/>
          <w:color w:val="000000"/>
        </w:rPr>
        <w:t>1. Design</w:t>
      </w:r>
    </w:p>
    <w:p>
      <w:r>
        <w:t>Paired, blinded comparison of Hemoglyph with a general-purpose large language model on identical inputs: the first laboratory panel (≥ 8 analytes) of adult eICU-CRD demo stays, with age and sex. No clinical text, history, vitals or admission diagnosis was shown to either system.</w:t>
      </w:r>
    </w:p>
    <w:tbl>
      <w:tblPr>
        <w:tblStyle w:val="TableGrid"/>
        <w:tblW w:type="auto" w:w="0"/>
        <w:jc w:val="center"/>
        <w:tblLook w:firstColumn="1" w:firstRow="1" w:lastColumn="0" w:lastRow="0" w:noHBand="0" w:noVBand="1" w:val="04A0"/>
      </w:tblPr>
      <w:tblGrid>
        <w:gridCol w:w="4536"/>
        <w:gridCol w:w="4536"/>
      </w:tblGrid>
      <w:tr>
        <w:trPr>
          <w:cantSplit/>
          <w:tblHeader/>
        </w:trPr>
        <w:tc>
          <w:tcPr>
            <w:tcW w:type="dxa" w:w="4536"/>
            <w:shd w:val="clear" w:fill="F2F2F2"/>
          </w:tcPr>
          <w:p>
            <w:pPr>
              <w:spacing w:line="240" w:lineRule="auto" w:after="0" w:before="0"/>
            </w:pPr>
            <w:r>
              <w:rPr>
                <w:b/>
              </w:rPr>
            </w:r>
            <w:r>
              <w:rPr>
                <w:b/>
                <w:sz w:val="16"/>
              </w:rPr>
              <w:t>item</w:t>
            </w:r>
          </w:p>
        </w:tc>
        <w:tc>
          <w:tcPr>
            <w:tcW w:type="dxa" w:w="4536"/>
            <w:shd w:val="clear" w:fill="F2F2F2"/>
          </w:tcPr>
          <w:p>
            <w:pPr>
              <w:spacing w:line="240" w:lineRule="auto" w:after="0" w:before="0"/>
            </w:pPr>
            <w:r>
              <w:rPr>
                <w:b/>
              </w:rPr>
            </w:r>
            <w:r>
              <w:rPr>
                <w:b/>
                <w:sz w:val="16"/>
              </w:rPr>
              <w:t>value</w:t>
            </w:r>
          </w:p>
        </w:tc>
      </w:tr>
      <w:tr>
        <w:trPr>
          <w:cantSplit/>
        </w:trPr>
        <w:tc>
          <w:tcPr>
            <w:tcW w:type="dxa" w:w="4536"/>
          </w:tcPr>
          <w:p>
            <w:pPr>
              <w:spacing w:line="240" w:lineRule="auto" w:after="0" w:before="0"/>
            </w:pPr>
            <w:r/>
            <w:r>
              <w:rPr>
                <w:sz w:val="16"/>
              </w:rPr>
              <w:t>stays</w:t>
            </w:r>
          </w:p>
        </w:tc>
        <w:tc>
          <w:tcPr>
            <w:tcW w:type="dxa" w:w="4536"/>
          </w:tcPr>
          <w:p>
            <w:pPr>
              <w:spacing w:line="240" w:lineRule="auto" w:after="0" w:before="0"/>
            </w:pPr>
            <w:r/>
            <w:r>
              <w:rPr>
                <w:sz w:val="16"/>
              </w:rPr>
              <w:t>400 (B3 n = 100, seed 20261021; B4 n = 60 out-of-sample, seed 20261022; B8 n = 240 disjoint, seed 20261023)</w:t>
            </w:r>
          </w:p>
        </w:tc>
      </w:tr>
      <w:tr>
        <w:trPr>
          <w:cantSplit/>
        </w:trPr>
        <w:tc>
          <w:tcPr>
            <w:tcW w:type="dxa" w:w="4536"/>
          </w:tcPr>
          <w:p>
            <w:pPr>
              <w:spacing w:line="240" w:lineRule="auto" w:after="0" w:before="0"/>
            </w:pPr>
            <w:r/>
            <w:r>
              <w:rPr>
                <w:sz w:val="16"/>
              </w:rPr>
              <w:t>scorable labels</w:t>
            </w:r>
          </w:p>
        </w:tc>
        <w:tc>
          <w:tcPr>
            <w:tcW w:type="dxa" w:w="4536"/>
          </w:tcPr>
          <w:p>
            <w:pPr>
              <w:spacing w:line="240" w:lineRule="auto" w:after="0" w:before="0"/>
            </w:pPr>
            <w:r/>
            <w:r>
              <w:rPr>
                <w:sz w:val="16"/>
              </w:rPr>
              <w:t xml:space="preserve">596 (clinician diagnosis strings → 31 groups via the frozen regex map </w:t>
            </w:r>
            <w:r>
              <w:rPr>
                <w:rFonts w:ascii="Courier New" w:hAnsi="Courier New" w:eastAsia="Courier New" w:cs="Courier New"/>
                <w:color w:val="000000"/>
                <w:sz w:val="16"/>
              </w:rPr>
              <w:t>eval_eicu.GROUPS</w:t>
            </w:r>
            <w:r>
              <w:rPr>
                <w:sz w:val="16"/>
              </w:rPr>
              <w:t>; label counted only when the group's key analyte was in the panel)</w:t>
            </w:r>
          </w:p>
        </w:tc>
      </w:tr>
      <w:tr>
        <w:trPr>
          <w:cantSplit/>
        </w:trPr>
        <w:tc>
          <w:tcPr>
            <w:tcW w:type="dxa" w:w="4536"/>
          </w:tcPr>
          <w:p>
            <w:pPr>
              <w:spacing w:line="240" w:lineRule="auto" w:after="0" w:before="0"/>
            </w:pPr>
            <w:r/>
            <w:r>
              <w:rPr>
                <w:sz w:val="16"/>
              </w:rPr>
              <w:t>LLM</w:t>
            </w:r>
          </w:p>
        </w:tc>
        <w:tc>
          <w:tcPr>
            <w:tcW w:type="dxa" w:w="4536"/>
          </w:tcPr>
          <w:p>
            <w:pPr>
              <w:spacing w:line="240" w:lineRule="auto" w:after="0" w:before="0"/>
            </w:pPr>
            <w:r/>
            <w:r>
              <w:rPr>
                <w:sz w:val="16"/>
              </w:rPr>
              <w:t xml:space="preserve">frontier-tier general-purpose LLM accessed through the Arena.ai Agent Mode interface; model identity not disclosed by the platform and withheld in the manuscript at the platform's request and </w:t>
            </w:r>
            <w:r>
              <w:rPr>
                <w:b/>
                <w:sz w:val="16"/>
              </w:rPr>
              <w:t>disclosed to the editor on request</w:t>
            </w:r>
          </w:p>
        </w:tc>
      </w:tr>
      <w:tr>
        <w:trPr>
          <w:cantSplit/>
        </w:trPr>
        <w:tc>
          <w:tcPr>
            <w:tcW w:type="dxa" w:w="4536"/>
          </w:tcPr>
          <w:p>
            <w:pPr>
              <w:spacing w:line="240" w:lineRule="auto" w:after="0" w:before="0"/>
            </w:pPr>
            <w:r/>
            <w:r>
              <w:rPr>
                <w:sz w:val="16"/>
              </w:rPr>
              <w:t>dates</w:t>
            </w:r>
          </w:p>
        </w:tc>
        <w:tc>
          <w:tcPr>
            <w:tcW w:type="dxa" w:w="4536"/>
          </w:tcPr>
          <w:p>
            <w:pPr>
              <w:spacing w:line="240" w:lineRule="auto" w:after="0" w:before="0"/>
            </w:pPr>
            <w:r/>
            <w:r>
              <w:rPr>
                <w:sz w:val="16"/>
              </w:rPr>
              <w:t>B3 2026-10-21; B4 2026-10-22; B8 2026-10-23; test–retest 2026-10-24; prompt-sensitivity arm 2026-10-25</w:t>
            </w:r>
          </w:p>
        </w:tc>
      </w:tr>
      <w:tr>
        <w:trPr>
          <w:cantSplit/>
        </w:trPr>
        <w:tc>
          <w:tcPr>
            <w:tcW w:type="dxa" w:w="4536"/>
          </w:tcPr>
          <w:p>
            <w:pPr>
              <w:spacing w:line="240" w:lineRule="auto" w:after="0" w:before="0"/>
            </w:pPr>
            <w:r/>
            <w:r>
              <w:rPr>
                <w:sz w:val="16"/>
              </w:rPr>
              <w:t>decoding</w:t>
            </w:r>
          </w:p>
        </w:tc>
        <w:tc>
          <w:tcPr>
            <w:tcW w:type="dxa" w:w="4536"/>
          </w:tcPr>
          <w:p>
            <w:pPr>
              <w:spacing w:line="240" w:lineRule="auto" w:after="0" w:before="0"/>
            </w:pPr>
            <w:r/>
            <w:r>
              <w:rPr>
                <w:sz w:val="16"/>
              </w:rPr>
              <w:t>interface default; temperature not user-controllable (hence the test–retest arm)</w:t>
            </w:r>
          </w:p>
        </w:tc>
      </w:tr>
      <w:tr>
        <w:trPr>
          <w:cantSplit/>
        </w:trPr>
        <w:tc>
          <w:tcPr>
            <w:tcW w:type="dxa" w:w="4536"/>
          </w:tcPr>
          <w:p>
            <w:pPr>
              <w:spacing w:line="240" w:lineRule="auto" w:after="0" w:before="0"/>
            </w:pPr>
            <w:r/>
            <w:r>
              <w:rPr>
                <w:sz w:val="16"/>
              </w:rPr>
              <w:t>prompt P1</w:t>
            </w:r>
          </w:p>
        </w:tc>
        <w:tc>
          <w:tcPr>
            <w:tcW w:type="dxa" w:w="4536"/>
          </w:tcPr>
          <w:p>
            <w:pPr>
              <w:spacing w:line="240" w:lineRule="auto" w:after="0" w:before="0"/>
            </w:pPr>
            <w:r/>
            <w:r>
              <w:rPr>
                <w:sz w:val="16"/>
              </w:rPr>
              <w:t>"You are a clinical laboratory medicine expert. Given the following laboratory panel of an adult ICU patient (first 24 h of admission), list the most likely diagnoses or clinically important laboratory syndromes this panel supports. Return ONLY JSON of the form {"diagnoses":[{"name":"...","probability":0.0-1.0}]} with at most 10 entries, ordered by probability. Do not include explanations. Patient: {age}-year-old {sex}. Panel: {analyte value unit …}"</w:t>
            </w:r>
          </w:p>
        </w:tc>
      </w:tr>
      <w:tr>
        <w:trPr>
          <w:cantSplit/>
        </w:trPr>
        <w:tc>
          <w:tcPr>
            <w:tcW w:type="dxa" w:w="4536"/>
          </w:tcPr>
          <w:p>
            <w:pPr>
              <w:spacing w:line="240" w:lineRule="auto" w:after="0" w:before="0"/>
            </w:pPr>
            <w:r/>
            <w:r>
              <w:rPr>
                <w:sz w:val="16"/>
              </w:rPr>
              <w:t>prompt P2 (sensitivity arm, 40 panels)</w:t>
            </w:r>
          </w:p>
        </w:tc>
        <w:tc>
          <w:tcPr>
            <w:tcW w:type="dxa" w:w="4536"/>
          </w:tcPr>
          <w:p>
            <w:pPr>
              <w:spacing w:line="240" w:lineRule="auto" w:after="0" w:before="0"/>
            </w:pPr>
            <w:r/>
            <w:r>
              <w:rPr>
                <w:sz w:val="16"/>
              </w:rPr>
              <w:t>"You are an ICU attending physician writing the admission problem list. From the first-24-hour laboratory panel of this adult ICU patient (age, sex and values only), list up to 10 diagnoses or clinically important laboratory syndromes you would record, ranked from most to least likely, using standard ICU diagnosis names. Output JSON {diagnoses:[{name, probability}]}, no explanations."</w:t>
            </w:r>
          </w:p>
        </w:tc>
      </w:tr>
      <w:tr>
        <w:trPr>
          <w:cantSplit/>
        </w:trPr>
        <w:tc>
          <w:tcPr>
            <w:tcW w:type="dxa" w:w="4536"/>
          </w:tcPr>
          <w:p>
            <w:pPr>
              <w:spacing w:line="240" w:lineRule="auto" w:after="0" w:before="0"/>
            </w:pPr>
            <w:r/>
            <w:r>
              <w:rPr>
                <w:sz w:val="16"/>
              </w:rPr>
              <w:t>batching</w:t>
            </w:r>
          </w:p>
        </w:tc>
        <w:tc>
          <w:tcPr>
            <w:tcW w:type="dxa" w:w="4536"/>
          </w:tcPr>
          <w:p>
            <w:pPr>
              <w:spacing w:line="240" w:lineRule="auto" w:after="0" w:before="0"/>
            </w:pPr>
            <w:r/>
            <w:r>
              <w:rPr>
                <w:sz w:val="16"/>
              </w:rPr>
              <w:t>panels presented in batches of 40 (B8) / 20 (B3, B4), each identified only by a case number</w:t>
            </w:r>
          </w:p>
        </w:tc>
      </w:tr>
      <w:tr>
        <w:trPr>
          <w:cantSplit/>
        </w:trPr>
        <w:tc>
          <w:tcPr>
            <w:tcW w:type="dxa" w:w="4536"/>
          </w:tcPr>
          <w:p>
            <w:pPr>
              <w:spacing w:line="240" w:lineRule="auto" w:after="0" w:before="0"/>
            </w:pPr>
            <w:r/>
            <w:r>
              <w:rPr>
                <w:sz w:val="16"/>
              </w:rPr>
              <w:t>blinding</w:t>
            </w:r>
          </w:p>
        </w:tc>
        <w:tc>
          <w:tcPr>
            <w:tcW w:type="dxa" w:w="4536"/>
          </w:tcPr>
          <w:p>
            <w:pPr>
              <w:spacing w:line="240" w:lineRule="auto" w:after="0" w:before="0"/>
            </w:pPr>
            <w:r/>
            <w:r>
              <w:rPr>
                <w:sz w:val="16"/>
              </w:rPr>
              <w:t>the panel file contains no labels and no engine output; the key file was generated separately and opened only by the scoring script after all read-outs were stored</w:t>
            </w:r>
          </w:p>
        </w:tc>
      </w:tr>
      <w:tr>
        <w:trPr>
          <w:cantSplit/>
        </w:trPr>
        <w:tc>
          <w:tcPr>
            <w:tcW w:type="dxa" w:w="4536"/>
          </w:tcPr>
          <w:p>
            <w:pPr>
              <w:spacing w:line="240" w:lineRule="auto" w:after="0" w:before="0"/>
            </w:pPr>
            <w:r/>
            <w:r>
              <w:rPr>
                <w:sz w:val="16"/>
              </w:rPr>
              <w:t>scoring</w:t>
            </w:r>
          </w:p>
        </w:tc>
        <w:tc>
          <w:tcPr>
            <w:tcW w:type="dxa" w:w="4536"/>
          </w:tcPr>
          <w:p>
            <w:pPr>
              <w:spacing w:line="240" w:lineRule="auto" w:after="0" w:before="0"/>
            </w:pPr>
            <w:r/>
            <w:r>
              <w:rPr>
                <w:sz w:val="16"/>
              </w:rPr>
              <w:t>free-text names mapped to the 31 groups by a fixed synonym regex map (</w:t>
            </w:r>
            <w:r>
              <w:rPr>
                <w:rFonts w:ascii="Courier New" w:hAnsi="Courier New" w:eastAsia="Courier New" w:cs="Courier New"/>
                <w:color w:val="000000"/>
                <w:sz w:val="16"/>
              </w:rPr>
              <w:t>llm_zero_shot.SYN</w:t>
            </w:r>
            <w:r>
              <w:rPr>
                <w:sz w:val="16"/>
              </w:rPr>
              <w:t>), written before B3 and unchanged since; same recall@k definition as the engine</w:t>
            </w:r>
          </w:p>
        </w:tc>
      </w:tr>
      <w:tr>
        <w:trPr>
          <w:cantSplit/>
        </w:trPr>
        <w:tc>
          <w:tcPr>
            <w:tcW w:type="dxa" w:w="4536"/>
          </w:tcPr>
          <w:p>
            <w:pPr>
              <w:spacing w:line="240" w:lineRule="auto" w:after="0" w:before="0"/>
            </w:pPr>
            <w:r/>
            <w:r>
              <w:rPr>
                <w:sz w:val="16"/>
              </w:rPr>
              <w:t>engine arm</w:t>
            </w:r>
          </w:p>
        </w:tc>
        <w:tc>
          <w:tcPr>
            <w:tcW w:type="dxa" w:w="4536"/>
          </w:tcPr>
          <w:p>
            <w:pPr>
              <w:spacing w:line="240" w:lineRule="auto" w:after="0" w:before="0"/>
            </w:pPr>
            <w:r/>
            <w:r>
              <w:rPr>
                <w:sz w:val="16"/>
              </w:rPr>
              <w:t xml:space="preserve">original analysis: engine v5.1 ranks (historical); </w:t>
            </w:r>
            <w:r>
              <w:rPr>
                <w:b/>
                <w:sz w:val="16"/>
              </w:rPr>
              <w:t>re-scored for the revision with the frozen engine v7 / registry 14.1.0</w:t>
            </w:r>
          </w:p>
        </w:tc>
      </w:tr>
      <w:tr>
        <w:trPr>
          <w:cantSplit/>
        </w:trPr>
        <w:tc>
          <w:tcPr>
            <w:tcW w:type="dxa" w:w="4536"/>
          </w:tcPr>
          <w:p>
            <w:pPr>
              <w:spacing w:line="240" w:lineRule="auto" w:after="0" w:before="0"/>
            </w:pPr>
            <w:r/>
            <w:r>
              <w:rPr>
                <w:sz w:val="16"/>
              </w:rPr>
              <w:t>statistics</w:t>
            </w:r>
          </w:p>
        </w:tc>
        <w:tc>
          <w:tcPr>
            <w:tcW w:type="dxa" w:w="4536"/>
          </w:tcPr>
          <w:p>
            <w:pPr>
              <w:spacing w:line="240" w:lineRule="auto" w:after="0" w:before="0"/>
            </w:pPr>
            <w:r/>
            <w:r>
              <w:rPr>
                <w:sz w:val="16"/>
              </w:rPr>
              <w:t>original: label-level Wilson CI and exact McNemar. Revision: stay-cluster bootstrap (4,000 resamples) and Durkalski cluster-adjusted McNemar; ICC and design effect reported</w:t>
            </w:r>
          </w:p>
        </w:tc>
      </w:tr>
      <w:tr>
        <w:trPr>
          <w:cantSplit/>
        </w:trPr>
        <w:tc>
          <w:tcPr>
            <w:tcW w:type="dxa" w:w="4536"/>
          </w:tcPr>
          <w:p>
            <w:pPr>
              <w:spacing w:line="240" w:lineRule="auto" w:after="0" w:before="0"/>
            </w:pPr>
            <w:r/>
            <w:r>
              <w:rPr>
                <w:sz w:val="16"/>
              </w:rPr>
              <w:t>reproducibility</w:t>
            </w:r>
          </w:p>
        </w:tc>
        <w:tc>
          <w:tcPr>
            <w:tcW w:type="dxa" w:w="4536"/>
          </w:tcPr>
          <w:p>
            <w:pPr>
              <w:spacing w:line="240" w:lineRule="auto" w:after="0" w:before="0"/>
            </w:pPr>
            <w:r/>
            <w:r>
              <w:rPr>
                <w:sz w:val="16"/>
              </w:rPr>
              <w:t>LLM: 40 B8 panels re-read blind one day later (P1 read 2) and with prompt P2; engine: deterministic (byte-identical outputs across runs and freezes)</w:t>
            </w:r>
          </w:p>
        </w:tc>
      </w:tr>
      <w:tr>
        <w:trPr>
          <w:cantSplit/>
        </w:trPr>
        <w:tc>
          <w:tcPr>
            <w:tcW w:type="dxa" w:w="4536"/>
          </w:tcPr>
          <w:p>
            <w:pPr>
              <w:spacing w:line="240" w:lineRule="auto" w:after="0" w:before="0"/>
            </w:pPr>
            <w:r/>
            <w:r>
              <w:rPr>
                <w:sz w:val="16"/>
              </w:rPr>
              <w:t>outputs released</w:t>
            </w:r>
          </w:p>
        </w:tc>
        <w:tc>
          <w:tcPr>
            <w:tcW w:type="dxa" w:w="4536"/>
          </w:tcPr>
          <w:p>
            <w:pPr>
              <w:spacing w:line="240" w:lineRule="auto" w:after="0" w:before="0"/>
            </w:pPr>
            <w:r/>
            <w:r>
              <w:rPr>
                <w:sz w:val="16"/>
              </w:rPr>
              <w:t>,,,,, keys, panels, scoring scripts</w:t>
            </w:r>
          </w:p>
        </w:tc>
      </w:tr>
    </w:tbl>
    <w:p/>
    <w:p>
      <w:pPr>
        <w:pStyle w:val="Heading2"/>
      </w:pPr>
      <w:r>
        <w:rPr>
          <w:rFonts w:ascii="Times New Roman" w:hAnsi="Times New Roman" w:eastAsia="Times New Roman" w:cs="Times New Roman"/>
          <w:b/>
          <w:i w:val="0"/>
          <w:color w:val="000000"/>
        </w:rPr>
        <w:t>2. Results after re-scoring with engine v7 (n = 400, 596 labels; stay-clustered inference)</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cantSplit/>
          <w:tblHeader/>
        </w:trPr>
        <w:tc>
          <w:tcPr>
            <w:tcW w:type="dxa" w:w="1814"/>
            <w:shd w:val="clear" w:fill="F2F2F2"/>
          </w:tcPr>
          <w:p>
            <w:pPr>
              <w:spacing w:line="240" w:lineRule="auto" w:after="0" w:before="0"/>
            </w:pPr>
            <w:r>
              <w:rPr>
                <w:b/>
              </w:rPr>
            </w:r>
            <w:r>
              <w:rPr>
                <w:b/>
                <w:sz w:val="16"/>
              </w:rPr>
              <w:t>metric</w:t>
            </w:r>
          </w:p>
        </w:tc>
        <w:tc>
          <w:tcPr>
            <w:tcW w:type="dxa" w:w="1814"/>
            <w:shd w:val="clear" w:fill="F2F2F2"/>
          </w:tcPr>
          <w:p>
            <w:pPr>
              <w:spacing w:line="240" w:lineRule="auto" w:after="0" w:before="0"/>
            </w:pPr>
            <w:r>
              <w:rPr>
                <w:b/>
              </w:rPr>
            </w:r>
            <w:r>
              <w:rPr>
                <w:b/>
                <w:sz w:val="16"/>
              </w:rPr>
              <w:t>Hemoglyph v7 (flat)</w:t>
            </w:r>
          </w:p>
        </w:tc>
        <w:tc>
          <w:tcPr>
            <w:tcW w:type="dxa" w:w="1814"/>
            <w:shd w:val="clear" w:fill="F2F2F2"/>
          </w:tcPr>
          <w:p>
            <w:pPr>
              <w:spacing w:line="240" w:lineRule="auto" w:after="0" w:before="0"/>
            </w:pPr>
            <w:r>
              <w:rPr>
                <w:b/>
              </w:rPr>
            </w:r>
            <w:r>
              <w:rPr>
                <w:b/>
                <w:sz w:val="16"/>
              </w:rPr>
              <w:t>LLM (P1)</w:t>
            </w:r>
          </w:p>
        </w:tc>
        <w:tc>
          <w:tcPr>
            <w:tcW w:type="dxa" w:w="1814"/>
            <w:shd w:val="clear" w:fill="F2F2F2"/>
          </w:tcPr>
          <w:p>
            <w:pPr>
              <w:spacing w:line="240" w:lineRule="auto" w:after="0" w:before="0"/>
            </w:pPr>
            <w:r>
              <w:rPr>
                <w:b/>
              </w:rPr>
            </w:r>
            <w:r>
              <w:rPr>
                <w:b/>
                <w:sz w:val="16"/>
              </w:rPr>
              <w:t>difference</w:t>
            </w:r>
          </w:p>
        </w:tc>
        <w:tc>
          <w:tcPr>
            <w:tcW w:type="dxa" w:w="1814"/>
            <w:shd w:val="clear" w:fill="F2F2F2"/>
          </w:tcPr>
          <w:p>
            <w:pPr>
              <w:spacing w:line="240" w:lineRule="auto" w:after="0" w:before="0"/>
            </w:pPr>
            <w:r>
              <w:rPr>
                <w:b/>
              </w:rPr>
            </w:r>
            <w:r>
              <w:rPr>
                <w:b/>
                <w:sz w:val="16"/>
              </w:rPr>
              <w:t>Durkalski p</w:t>
            </w:r>
          </w:p>
        </w:tc>
      </w:tr>
      <w:tr>
        <w:trPr>
          <w:cantSplit/>
        </w:trPr>
        <w:tc>
          <w:tcPr>
            <w:tcW w:type="dxa" w:w="1814"/>
          </w:tcPr>
          <w:p>
            <w:pPr>
              <w:spacing w:line="240" w:lineRule="auto" w:after="0" w:before="0"/>
            </w:pPr>
            <w:r/>
            <w:r>
              <w:rPr>
                <w:sz w:val="16"/>
              </w:rPr>
              <w:t>recall@1</w:t>
            </w:r>
          </w:p>
        </w:tc>
        <w:tc>
          <w:tcPr>
            <w:tcW w:type="dxa" w:w="1814"/>
          </w:tcPr>
          <w:p>
            <w:pPr>
              <w:spacing w:line="240" w:lineRule="auto" w:after="0" w:before="0"/>
            </w:pPr>
            <w:r/>
            <w:r>
              <w:rPr>
                <w:sz w:val="16"/>
              </w:rPr>
              <w:t>24.0% (20.6–27.7)</w:t>
            </w:r>
          </w:p>
        </w:tc>
        <w:tc>
          <w:tcPr>
            <w:tcW w:type="dxa" w:w="1814"/>
          </w:tcPr>
          <w:p>
            <w:pPr>
              <w:spacing w:line="240" w:lineRule="auto" w:after="0" w:before="0"/>
            </w:pPr>
            <w:r/>
            <w:r>
              <w:rPr>
                <w:sz w:val="16"/>
              </w:rPr>
              <w:t>28.2% (24.6–32.0)</w:t>
            </w:r>
          </w:p>
        </w:tc>
        <w:tc>
          <w:tcPr>
            <w:tcW w:type="dxa" w:w="1814"/>
          </w:tcPr>
          <w:p>
            <w:pPr>
              <w:spacing w:line="240" w:lineRule="auto" w:after="0" w:before="0"/>
            </w:pPr>
            <w:r/>
            <w:r>
              <w:rPr>
                <w:sz w:val="16"/>
              </w:rPr>
              <w:t>−4.2 pp (−7.5 to −0.9)</w:t>
            </w:r>
          </w:p>
        </w:tc>
        <w:tc>
          <w:tcPr>
            <w:tcW w:type="dxa" w:w="1814"/>
          </w:tcPr>
          <w:p>
            <w:pPr>
              <w:spacing w:line="240" w:lineRule="auto" w:after="0" w:before="0"/>
            </w:pPr>
            <w:r/>
            <w:r>
              <w:rPr>
                <w:sz w:val="16"/>
              </w:rPr>
              <w:t>0.013</w:t>
            </w:r>
          </w:p>
        </w:tc>
      </w:tr>
      <w:tr>
        <w:trPr>
          <w:cantSplit/>
        </w:trPr>
        <w:tc>
          <w:tcPr>
            <w:tcW w:type="dxa" w:w="1814"/>
          </w:tcPr>
          <w:p>
            <w:pPr>
              <w:spacing w:line="240" w:lineRule="auto" w:after="0" w:before="0"/>
            </w:pPr>
            <w:r/>
            <w:r>
              <w:rPr>
                <w:sz w:val="16"/>
              </w:rPr>
              <w:t>recall@3</w:t>
            </w:r>
          </w:p>
        </w:tc>
        <w:tc>
          <w:tcPr>
            <w:tcW w:type="dxa" w:w="1814"/>
          </w:tcPr>
          <w:p>
            <w:pPr>
              <w:spacing w:line="240" w:lineRule="auto" w:after="0" w:before="0"/>
            </w:pPr>
            <w:r/>
            <w:r>
              <w:rPr>
                <w:sz w:val="16"/>
              </w:rPr>
              <w:t>47.0% (42.6–51.5)</w:t>
            </w:r>
          </w:p>
        </w:tc>
        <w:tc>
          <w:tcPr>
            <w:tcW w:type="dxa" w:w="1814"/>
          </w:tcPr>
          <w:p>
            <w:pPr>
              <w:spacing w:line="240" w:lineRule="auto" w:after="0" w:before="0"/>
            </w:pPr>
            <w:r/>
            <w:r>
              <w:rPr>
                <w:sz w:val="16"/>
              </w:rPr>
              <w:t>50.8% (46.5–55.1)</w:t>
            </w:r>
          </w:p>
        </w:tc>
        <w:tc>
          <w:tcPr>
            <w:tcW w:type="dxa" w:w="1814"/>
          </w:tcPr>
          <w:p>
            <w:pPr>
              <w:spacing w:line="240" w:lineRule="auto" w:after="0" w:before="0"/>
            </w:pPr>
            <w:r/>
            <w:r>
              <w:rPr>
                <w:sz w:val="16"/>
              </w:rPr>
              <w:t>−3.9 pp (−7.4 to −0.3)</w:t>
            </w:r>
          </w:p>
        </w:tc>
        <w:tc>
          <w:tcPr>
            <w:tcW w:type="dxa" w:w="1814"/>
          </w:tcPr>
          <w:p>
            <w:pPr>
              <w:spacing w:line="240" w:lineRule="auto" w:after="0" w:before="0"/>
            </w:pPr>
            <w:r/>
            <w:r>
              <w:rPr>
                <w:sz w:val="16"/>
              </w:rPr>
              <w:t>0.041</w:t>
            </w:r>
          </w:p>
        </w:tc>
      </w:tr>
      <w:tr>
        <w:trPr>
          <w:cantSplit/>
        </w:trPr>
        <w:tc>
          <w:tcPr>
            <w:tcW w:type="dxa" w:w="1814"/>
          </w:tcPr>
          <w:p>
            <w:pPr>
              <w:spacing w:line="240" w:lineRule="auto" w:after="0" w:before="0"/>
            </w:pPr>
            <w:r/>
            <w:r>
              <w:rPr>
                <w:b/>
                <w:sz w:val="16"/>
              </w:rPr>
              <w:t>recall@5 (primary)</w:t>
            </w:r>
          </w:p>
        </w:tc>
        <w:tc>
          <w:tcPr>
            <w:tcW w:type="dxa" w:w="1814"/>
          </w:tcPr>
          <w:p>
            <w:pPr>
              <w:spacing w:line="240" w:lineRule="auto" w:after="0" w:before="0"/>
            </w:pPr>
            <w:r/>
            <w:r>
              <w:rPr>
                <w:b/>
                <w:sz w:val="16"/>
              </w:rPr>
              <w:t>60.7% (56.5–65.0)</w:t>
            </w:r>
          </w:p>
        </w:tc>
        <w:tc>
          <w:tcPr>
            <w:tcW w:type="dxa" w:w="1814"/>
          </w:tcPr>
          <w:p>
            <w:pPr>
              <w:spacing w:line="240" w:lineRule="auto" w:after="0" w:before="0"/>
            </w:pPr>
            <w:r/>
            <w:r>
              <w:rPr>
                <w:b/>
                <w:sz w:val="16"/>
              </w:rPr>
              <w:t>59.6% (55.3–63.6)</w:t>
            </w:r>
          </w:p>
        </w:tc>
        <w:tc>
          <w:tcPr>
            <w:tcW w:type="dxa" w:w="1814"/>
          </w:tcPr>
          <w:p>
            <w:pPr>
              <w:spacing w:line="240" w:lineRule="auto" w:after="0" w:before="0"/>
            </w:pPr>
            <w:r/>
            <w:r>
              <w:rPr>
                <w:b/>
                <w:sz w:val="16"/>
              </w:rPr>
              <w:t>+1.2 pp (−2.5 to +5.1)</w:t>
            </w:r>
          </w:p>
        </w:tc>
        <w:tc>
          <w:tcPr>
            <w:tcW w:type="dxa" w:w="1814"/>
          </w:tcPr>
          <w:p>
            <w:pPr>
              <w:spacing w:line="240" w:lineRule="auto" w:after="0" w:before="0"/>
            </w:pPr>
            <w:r/>
            <w:r>
              <w:rPr>
                <w:b/>
                <w:sz w:val="16"/>
              </w:rPr>
              <w:t>0.54</w:t>
            </w:r>
          </w:p>
        </w:tc>
      </w:tr>
      <w:tr>
        <w:trPr>
          <w:cantSplit/>
        </w:trPr>
        <w:tc>
          <w:tcPr>
            <w:tcW w:type="dxa" w:w="1814"/>
          </w:tcPr>
          <w:p>
            <w:pPr>
              <w:spacing w:line="240" w:lineRule="auto" w:after="0" w:before="0"/>
            </w:pPr>
            <w:r/>
            <w:r>
              <w:rPr>
                <w:sz w:val="16"/>
              </w:rPr>
              <w:t>recall@10</w:t>
            </w:r>
          </w:p>
        </w:tc>
        <w:tc>
          <w:tcPr>
            <w:tcW w:type="dxa" w:w="1814"/>
          </w:tcPr>
          <w:p>
            <w:pPr>
              <w:spacing w:line="240" w:lineRule="auto" w:after="0" w:before="0"/>
            </w:pPr>
            <w:r/>
            <w:r>
              <w:rPr>
                <w:sz w:val="16"/>
              </w:rPr>
              <w:t>72.0% (67.9–75.8)</w:t>
            </w:r>
          </w:p>
        </w:tc>
        <w:tc>
          <w:tcPr>
            <w:tcW w:type="dxa" w:w="1814"/>
          </w:tcPr>
          <w:p>
            <w:pPr>
              <w:spacing w:line="240" w:lineRule="auto" w:after="0" w:before="0"/>
            </w:pPr>
            <w:r/>
            <w:r>
              <w:rPr>
                <w:sz w:val="16"/>
              </w:rPr>
              <w:t>65.1% (60.8–69.3)</w:t>
            </w:r>
          </w:p>
        </w:tc>
        <w:tc>
          <w:tcPr>
            <w:tcW w:type="dxa" w:w="1814"/>
          </w:tcPr>
          <w:p>
            <w:pPr>
              <w:spacing w:line="240" w:lineRule="auto" w:after="0" w:before="0"/>
            </w:pPr>
            <w:r/>
            <w:r>
              <w:rPr>
                <w:sz w:val="16"/>
              </w:rPr>
              <w:t>+6.9 pp (+3.3 to +10.5)</w:t>
            </w:r>
          </w:p>
        </w:tc>
        <w:tc>
          <w:tcPr>
            <w:tcW w:type="dxa" w:w="1814"/>
          </w:tcPr>
          <w:p>
            <w:pPr>
              <w:spacing w:line="240" w:lineRule="auto" w:after="0" w:before="0"/>
            </w:pPr>
            <w:r/>
            <w:r>
              <w:rPr>
                <w:sz w:val="16"/>
              </w:rPr>
              <w:t>0.0002</w:t>
            </w:r>
          </w:p>
        </w:tc>
      </w:tr>
      <w:tr>
        <w:trPr>
          <w:cantSplit/>
        </w:trPr>
        <w:tc>
          <w:tcPr>
            <w:tcW w:type="dxa" w:w="1814"/>
          </w:tcPr>
          <w:p>
            <w:pPr>
              <w:spacing w:line="240" w:lineRule="auto" w:after="0" w:before="0"/>
            </w:pPr>
            <w:r/>
            <w:r>
              <w:rPr>
                <w:sz w:val="16"/>
              </w:rPr>
              <w:t>MRR</w:t>
            </w:r>
          </w:p>
        </w:tc>
        <w:tc>
          <w:tcPr>
            <w:tcW w:type="dxa" w:w="1814"/>
          </w:tcPr>
          <w:p>
            <w:pPr>
              <w:spacing w:line="240" w:lineRule="auto" w:after="0" w:before="0"/>
            </w:pPr>
            <w:r/>
            <w:r>
              <w:rPr>
                <w:sz w:val="16"/>
              </w:rPr>
              <w:t>0.391</w:t>
            </w:r>
          </w:p>
        </w:tc>
        <w:tc>
          <w:tcPr>
            <w:tcW w:type="dxa" w:w="1814"/>
          </w:tcPr>
          <w:p>
            <w:pPr>
              <w:spacing w:line="240" w:lineRule="auto" w:after="0" w:before="0"/>
            </w:pPr>
            <w:r/>
            <w:r>
              <w:rPr>
                <w:sz w:val="16"/>
              </w:rPr>
              <w:t>0.408</w:t>
            </w:r>
          </w:p>
        </w:tc>
        <w:tc>
          <w:tcPr>
            <w:tcW w:type="dxa" w:w="1814"/>
          </w:tcPr>
          <w:p>
            <w:pPr>
              <w:spacing w:line="240" w:lineRule="auto" w:after="0" w:before="0"/>
            </w:pPr>
            <w:r/>
            <w:r>
              <w:rPr>
                <w:sz w:val="16"/>
              </w:rPr>
              <w:t>−0.017 (−0.043 to +0.008)</w:t>
            </w:r>
          </w:p>
        </w:tc>
        <w:tc>
          <w:tcPr>
            <w:tcW w:type="dxa" w:w="1814"/>
          </w:tcPr>
          <w:p>
            <w:pPr>
              <w:spacing w:line="240" w:lineRule="auto" w:after="0" w:before="0"/>
            </w:pPr>
            <w:r/>
            <w:r>
              <w:rPr>
                <w:sz w:val="16"/>
              </w:rPr>
              <w:t>—</w:t>
            </w:r>
          </w:p>
        </w:tc>
      </w:tr>
      <w:tr>
        <w:trPr>
          <w:cantSplit/>
        </w:trPr>
        <w:tc>
          <w:tcPr>
            <w:tcW w:type="dxa" w:w="1814"/>
          </w:tcPr>
          <w:p>
            <w:pPr>
              <w:spacing w:line="240" w:lineRule="auto" w:after="0" w:before="0"/>
            </w:pPr>
            <w:r/>
            <w:r>
              <w:rPr>
                <w:sz w:val="16"/>
              </w:rPr>
              <w:t>absent from list</w:t>
            </w:r>
          </w:p>
        </w:tc>
        <w:tc>
          <w:tcPr>
            <w:tcW w:type="dxa" w:w="1814"/>
          </w:tcPr>
          <w:p>
            <w:pPr>
              <w:spacing w:line="240" w:lineRule="auto" w:after="0" w:before="0"/>
            </w:pPr>
            <w:r/>
            <w:r>
              <w:rPr>
                <w:sz w:val="16"/>
              </w:rPr>
              <w:t>21.8%</w:t>
            </w:r>
          </w:p>
        </w:tc>
        <w:tc>
          <w:tcPr>
            <w:tcW w:type="dxa" w:w="1814"/>
          </w:tcPr>
          <w:p>
            <w:pPr>
              <w:spacing w:line="240" w:lineRule="auto" w:after="0" w:before="0"/>
            </w:pPr>
            <w:r/>
            <w:r>
              <w:rPr>
                <w:sz w:val="16"/>
              </w:rPr>
              <w:t>34.9%</w:t>
            </w:r>
          </w:p>
        </w:tc>
        <w:tc>
          <w:tcPr>
            <w:tcW w:type="dxa" w:w="1814"/>
          </w:tcPr>
          <w:p>
            <w:pPr>
              <w:spacing w:line="240" w:lineRule="auto" w:after="0" w:before="0"/>
            </w:pPr>
            <w:r/>
          </w:p>
        </w:tc>
        <w:tc>
          <w:tcPr>
            <w:tcW w:type="dxa" w:w="1814"/>
          </w:tcPr>
          <w:p>
            <w:pPr>
              <w:spacing w:line="240" w:lineRule="auto" w:after="0" w:before="0"/>
            </w:pPr>
            <w:r/>
          </w:p>
        </w:tc>
      </w:tr>
      <w:tr>
        <w:trPr>
          <w:cantSplit/>
        </w:trPr>
        <w:tc>
          <w:tcPr>
            <w:tcW w:type="dxa" w:w="1814"/>
          </w:tcPr>
          <w:p>
            <w:pPr>
              <w:spacing w:line="240" w:lineRule="auto" w:after="0" w:before="0"/>
            </w:pPr>
            <w:r/>
            <w:r>
              <w:rPr>
                <w:sz w:val="16"/>
              </w:rPr>
              <w:t>two-tier recall@5 (secondary, post hoc)</w:t>
            </w:r>
          </w:p>
        </w:tc>
        <w:tc>
          <w:tcPr>
            <w:tcW w:type="dxa" w:w="1814"/>
          </w:tcPr>
          <w:p>
            <w:pPr>
              <w:spacing w:line="240" w:lineRule="auto" w:after="0" w:before="0"/>
            </w:pPr>
            <w:r/>
            <w:r>
              <w:rPr>
                <w:sz w:val="16"/>
              </w:rPr>
              <w:t>69.8% (65.7–73.7)</w:t>
            </w:r>
          </w:p>
        </w:tc>
        <w:tc>
          <w:tcPr>
            <w:tcW w:type="dxa" w:w="1814"/>
          </w:tcPr>
          <w:p>
            <w:pPr>
              <w:spacing w:line="240" w:lineRule="auto" w:after="0" w:before="0"/>
            </w:pPr>
            <w:r/>
            <w:r>
              <w:rPr>
                <w:sz w:val="16"/>
              </w:rPr>
              <w:t>59.6%</w:t>
            </w:r>
          </w:p>
        </w:tc>
        <w:tc>
          <w:tcPr>
            <w:tcW w:type="dxa" w:w="1814"/>
          </w:tcPr>
          <w:p>
            <w:pPr>
              <w:spacing w:line="240" w:lineRule="auto" w:after="0" w:before="0"/>
            </w:pPr>
            <w:r/>
            <w:r>
              <w:rPr>
                <w:sz w:val="16"/>
              </w:rPr>
              <w:t>+10.2 pp (+6.7 to +13.9)</w:t>
            </w:r>
          </w:p>
        </w:tc>
        <w:tc>
          <w:tcPr>
            <w:tcW w:type="dxa" w:w="1814"/>
          </w:tcPr>
          <w:p>
            <w:pPr>
              <w:spacing w:line="240" w:lineRule="auto" w:after="0" w:before="0"/>
            </w:pPr>
            <w:r/>
            <w:r>
              <w:rPr>
                <w:sz w:val="16"/>
              </w:rPr>
              <w:t>&lt; 0.0001</w:t>
            </w:r>
          </w:p>
        </w:tc>
      </w:tr>
    </w:tbl>
    <w:p/>
    <w:p>
      <w:r>
        <w:t xml:space="preserve">ICC of the paired recall@5 difference = 0.04 (design effect 1.04); clustering therefore changes the inference little, but the </w:t>
      </w:r>
      <w:r>
        <w:rPr>
          <w:b/>
        </w:rPr>
        <w:t>engine version does</w:t>
      </w:r>
      <w:r>
        <w:t xml:space="preserve">: with the historical v5.1 engine the primary comparison favoured Hemoglyph (64.4 vs 59.6%, p = 0.009); with the frozen v7 engine — which trades flat recall for guideline-correct semantics (CKD, troponin) — the primary comparison is </w:t>
      </w:r>
      <w:r>
        <w:rPr>
          <w:b/>
        </w:rPr>
        <w:t>equivalent</w:t>
      </w:r>
      <w:r>
        <w:t xml:space="preserve"> (p = 0.54). The LLM is better at ranks 1–3; the engine lists more diagnoses overall (recall@10, absent rate) and is better when umbrella syndromes are credited. The manuscript reports the v7 result as primary and the v5.1 result as historical.</w:t>
      </w:r>
    </w:p>
    <w:p>
      <w:pPr>
        <w:pStyle w:val="Heading2"/>
      </w:pPr>
      <w:r>
        <w:rPr>
          <w:rFonts w:ascii="Times New Roman" w:hAnsi="Times New Roman" w:eastAsia="Times New Roman" w:cs="Times New Roman"/>
          <w:b/>
          <w:i w:val="0"/>
          <w:color w:val="000000"/>
        </w:rPr>
        <w:t>3. Prompt sensitivity and test–retest (40 panels, 91 labels)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cantSplit/>
          <w:tblHeader/>
        </w:trPr>
        <w:tc>
          <w:tcPr>
            <w:tcW w:type="dxa" w:w="1512"/>
            <w:shd w:val="clear" w:fill="F2F2F2"/>
          </w:tcPr>
          <w:p>
            <w:pPr>
              <w:spacing w:line="240" w:lineRule="auto" w:after="0" w:before="0"/>
            </w:pPr>
            <w:r>
              <w:rPr>
                <w:b/>
              </w:rPr>
            </w:r>
            <w:r>
              <w:rPr>
                <w:b/>
                <w:sz w:val="16"/>
              </w:rPr>
              <w:t>arm</w:t>
            </w:r>
          </w:p>
        </w:tc>
        <w:tc>
          <w:tcPr>
            <w:tcW w:type="dxa" w:w="1512"/>
            <w:shd w:val="clear" w:fill="F2F2F2"/>
          </w:tcPr>
          <w:p>
            <w:pPr>
              <w:spacing w:line="240" w:lineRule="auto" w:after="0" w:before="0"/>
            </w:pPr>
            <w:r>
              <w:rPr>
                <w:b/>
              </w:rPr>
            </w:r>
            <w:r>
              <w:rPr>
                <w:b/>
                <w:sz w:val="16"/>
              </w:rPr>
              <w:t>r@1</w:t>
            </w:r>
          </w:p>
        </w:tc>
        <w:tc>
          <w:tcPr>
            <w:tcW w:type="dxa" w:w="1512"/>
            <w:shd w:val="clear" w:fill="F2F2F2"/>
          </w:tcPr>
          <w:p>
            <w:pPr>
              <w:spacing w:line="240" w:lineRule="auto" w:after="0" w:before="0"/>
            </w:pPr>
            <w:r>
              <w:rPr>
                <w:b/>
              </w:rPr>
            </w:r>
            <w:r>
              <w:rPr>
                <w:b/>
                <w:sz w:val="16"/>
              </w:rPr>
              <w:t>r@3</w:t>
            </w:r>
          </w:p>
        </w:tc>
        <w:tc>
          <w:tcPr>
            <w:tcW w:type="dxa" w:w="1512"/>
            <w:shd w:val="clear" w:fill="F2F2F2"/>
          </w:tcPr>
          <w:p>
            <w:pPr>
              <w:spacing w:line="240" w:lineRule="auto" w:after="0" w:before="0"/>
            </w:pPr>
            <w:r>
              <w:rPr>
                <w:b/>
              </w:rPr>
            </w:r>
            <w:r>
              <w:rPr>
                <w:b/>
                <w:sz w:val="16"/>
              </w:rPr>
              <w:t>r@5</w:t>
            </w:r>
          </w:p>
        </w:tc>
        <w:tc>
          <w:tcPr>
            <w:tcW w:type="dxa" w:w="1512"/>
            <w:shd w:val="clear" w:fill="F2F2F2"/>
          </w:tcPr>
          <w:p>
            <w:pPr>
              <w:spacing w:line="240" w:lineRule="auto" w:after="0" w:before="0"/>
            </w:pPr>
            <w:r>
              <w:rPr>
                <w:b/>
              </w:rPr>
            </w:r>
            <w:r>
              <w:rPr>
                <w:b/>
                <w:sz w:val="16"/>
              </w:rPr>
              <w:t>r@10</w:t>
            </w:r>
          </w:p>
        </w:tc>
        <w:tc>
          <w:tcPr>
            <w:tcW w:type="dxa" w:w="1512"/>
            <w:shd w:val="clear" w:fill="F2F2F2"/>
          </w:tcPr>
          <w:p>
            <w:pPr>
              <w:spacing w:line="240" w:lineRule="auto" w:after="0" w:before="0"/>
            </w:pPr>
            <w:r>
              <w:rPr>
                <w:b/>
              </w:rPr>
            </w:r>
            <w:r>
              <w:rPr>
                <w:b/>
                <w:sz w:val="16"/>
              </w:rPr>
              <w:t>absent</w:t>
            </w:r>
          </w:p>
        </w:tc>
      </w:tr>
      <w:tr>
        <w:trPr>
          <w:cantSplit/>
        </w:trPr>
        <w:tc>
          <w:tcPr>
            <w:tcW w:type="dxa" w:w="1512"/>
          </w:tcPr>
          <w:p>
            <w:pPr>
              <w:spacing w:line="240" w:lineRule="auto" w:after="0" w:before="0"/>
            </w:pPr>
            <w:r/>
            <w:r>
              <w:rPr>
                <w:sz w:val="16"/>
              </w:rPr>
              <w:t>LLM P1 read 1</w:t>
            </w:r>
          </w:p>
        </w:tc>
        <w:tc>
          <w:tcPr>
            <w:tcW w:type="dxa" w:w="1512"/>
          </w:tcPr>
          <w:p>
            <w:pPr>
              <w:spacing w:line="240" w:lineRule="auto" w:after="0" w:before="0"/>
            </w:pPr>
            <w:r/>
            <w:r>
              <w:rPr>
                <w:sz w:val="16"/>
              </w:rPr>
              <w:t>26.4</w:t>
            </w:r>
          </w:p>
        </w:tc>
        <w:tc>
          <w:tcPr>
            <w:tcW w:type="dxa" w:w="1512"/>
          </w:tcPr>
          <w:p>
            <w:pPr>
              <w:spacing w:line="240" w:lineRule="auto" w:after="0" w:before="0"/>
            </w:pPr>
            <w:r/>
            <w:r>
              <w:rPr>
                <w:sz w:val="16"/>
              </w:rPr>
              <w:t>51.6</w:t>
            </w:r>
          </w:p>
        </w:tc>
        <w:tc>
          <w:tcPr>
            <w:tcW w:type="dxa" w:w="1512"/>
          </w:tcPr>
          <w:p>
            <w:pPr>
              <w:spacing w:line="240" w:lineRule="auto" w:after="0" w:before="0"/>
            </w:pPr>
            <w:r/>
            <w:r>
              <w:rPr>
                <w:sz w:val="16"/>
              </w:rPr>
              <w:t>61.5</w:t>
            </w:r>
          </w:p>
        </w:tc>
        <w:tc>
          <w:tcPr>
            <w:tcW w:type="dxa" w:w="1512"/>
          </w:tcPr>
          <w:p>
            <w:pPr>
              <w:spacing w:line="240" w:lineRule="auto" w:after="0" w:before="0"/>
            </w:pPr>
            <w:r/>
            <w:r>
              <w:rPr>
                <w:sz w:val="16"/>
              </w:rPr>
              <w:t>69.2</w:t>
            </w:r>
          </w:p>
        </w:tc>
        <w:tc>
          <w:tcPr>
            <w:tcW w:type="dxa" w:w="1512"/>
          </w:tcPr>
          <w:p>
            <w:pPr>
              <w:spacing w:line="240" w:lineRule="auto" w:after="0" w:before="0"/>
            </w:pPr>
            <w:r/>
            <w:r>
              <w:rPr>
                <w:sz w:val="16"/>
              </w:rPr>
              <w:t>30.8</w:t>
            </w:r>
          </w:p>
        </w:tc>
      </w:tr>
      <w:tr>
        <w:trPr>
          <w:cantSplit/>
        </w:trPr>
        <w:tc>
          <w:tcPr>
            <w:tcW w:type="dxa" w:w="1512"/>
          </w:tcPr>
          <w:p>
            <w:pPr>
              <w:spacing w:line="240" w:lineRule="auto" w:after="0" w:before="0"/>
            </w:pPr>
            <w:r/>
            <w:r>
              <w:rPr>
                <w:sz w:val="16"/>
              </w:rPr>
              <w:t>LLM P1 read 2</w:t>
            </w:r>
          </w:p>
        </w:tc>
        <w:tc>
          <w:tcPr>
            <w:tcW w:type="dxa" w:w="1512"/>
          </w:tcPr>
          <w:p>
            <w:pPr>
              <w:spacing w:line="240" w:lineRule="auto" w:after="0" w:before="0"/>
            </w:pPr>
            <w:r/>
            <w:r>
              <w:rPr>
                <w:sz w:val="16"/>
              </w:rPr>
              <w:t>28.6</w:t>
            </w:r>
          </w:p>
        </w:tc>
        <w:tc>
          <w:tcPr>
            <w:tcW w:type="dxa" w:w="1512"/>
          </w:tcPr>
          <w:p>
            <w:pPr>
              <w:spacing w:line="240" w:lineRule="auto" w:after="0" w:before="0"/>
            </w:pPr>
            <w:r/>
            <w:r>
              <w:rPr>
                <w:sz w:val="16"/>
              </w:rPr>
              <w:t>54.9</w:t>
            </w:r>
          </w:p>
        </w:tc>
        <w:tc>
          <w:tcPr>
            <w:tcW w:type="dxa" w:w="1512"/>
          </w:tcPr>
          <w:p>
            <w:pPr>
              <w:spacing w:line="240" w:lineRule="auto" w:after="0" w:before="0"/>
            </w:pPr>
            <w:r/>
            <w:r>
              <w:rPr>
                <w:sz w:val="16"/>
              </w:rPr>
              <w:t>67.0</w:t>
            </w:r>
          </w:p>
        </w:tc>
        <w:tc>
          <w:tcPr>
            <w:tcW w:type="dxa" w:w="1512"/>
          </w:tcPr>
          <w:p>
            <w:pPr>
              <w:spacing w:line="240" w:lineRule="auto" w:after="0" w:before="0"/>
            </w:pPr>
            <w:r/>
            <w:r>
              <w:rPr>
                <w:sz w:val="16"/>
              </w:rPr>
              <w:t>71.4</w:t>
            </w:r>
          </w:p>
        </w:tc>
        <w:tc>
          <w:tcPr>
            <w:tcW w:type="dxa" w:w="1512"/>
          </w:tcPr>
          <w:p>
            <w:pPr>
              <w:spacing w:line="240" w:lineRule="auto" w:after="0" w:before="0"/>
            </w:pPr>
            <w:r/>
            <w:r>
              <w:rPr>
                <w:sz w:val="16"/>
              </w:rPr>
              <w:t>28.6</w:t>
            </w:r>
          </w:p>
        </w:tc>
      </w:tr>
      <w:tr>
        <w:trPr>
          <w:cantSplit/>
        </w:trPr>
        <w:tc>
          <w:tcPr>
            <w:tcW w:type="dxa" w:w="1512"/>
          </w:tcPr>
          <w:p>
            <w:pPr>
              <w:spacing w:line="240" w:lineRule="auto" w:after="0" w:before="0"/>
            </w:pPr>
            <w:r/>
            <w:r>
              <w:rPr>
                <w:sz w:val="16"/>
              </w:rPr>
              <w:t>LLM P2</w:t>
            </w:r>
          </w:p>
        </w:tc>
        <w:tc>
          <w:tcPr>
            <w:tcW w:type="dxa" w:w="1512"/>
          </w:tcPr>
          <w:p>
            <w:pPr>
              <w:spacing w:line="240" w:lineRule="auto" w:after="0" w:before="0"/>
            </w:pPr>
            <w:r/>
            <w:r>
              <w:rPr>
                <w:sz w:val="16"/>
              </w:rPr>
              <w:t>25.3</w:t>
            </w:r>
          </w:p>
        </w:tc>
        <w:tc>
          <w:tcPr>
            <w:tcW w:type="dxa" w:w="1512"/>
          </w:tcPr>
          <w:p>
            <w:pPr>
              <w:spacing w:line="240" w:lineRule="auto" w:after="0" w:before="0"/>
            </w:pPr>
            <w:r/>
            <w:r>
              <w:rPr>
                <w:sz w:val="16"/>
              </w:rPr>
              <w:t>48.4</w:t>
            </w:r>
          </w:p>
        </w:tc>
        <w:tc>
          <w:tcPr>
            <w:tcW w:type="dxa" w:w="1512"/>
          </w:tcPr>
          <w:p>
            <w:pPr>
              <w:spacing w:line="240" w:lineRule="auto" w:after="0" w:before="0"/>
            </w:pPr>
            <w:r/>
            <w:r>
              <w:rPr>
                <w:sz w:val="16"/>
              </w:rPr>
              <w:t>61.5</w:t>
            </w:r>
          </w:p>
        </w:tc>
        <w:tc>
          <w:tcPr>
            <w:tcW w:type="dxa" w:w="1512"/>
          </w:tcPr>
          <w:p>
            <w:pPr>
              <w:spacing w:line="240" w:lineRule="auto" w:after="0" w:before="0"/>
            </w:pPr>
            <w:r/>
            <w:r>
              <w:rPr>
                <w:sz w:val="16"/>
              </w:rPr>
              <w:t>74.7</w:t>
            </w:r>
          </w:p>
        </w:tc>
        <w:tc>
          <w:tcPr>
            <w:tcW w:type="dxa" w:w="1512"/>
          </w:tcPr>
          <w:p>
            <w:pPr>
              <w:spacing w:line="240" w:lineRule="auto" w:after="0" w:before="0"/>
            </w:pPr>
            <w:r/>
            <w:r>
              <w:rPr>
                <w:sz w:val="16"/>
              </w:rPr>
              <w:t>25.3</w:t>
            </w:r>
          </w:p>
        </w:tc>
      </w:tr>
      <w:tr>
        <w:trPr>
          <w:cantSplit/>
        </w:trPr>
        <w:tc>
          <w:tcPr>
            <w:tcW w:type="dxa" w:w="1512"/>
          </w:tcPr>
          <w:p>
            <w:pPr>
              <w:spacing w:line="240" w:lineRule="auto" w:after="0" w:before="0"/>
            </w:pPr>
            <w:r/>
            <w:r>
              <w:rPr>
                <w:sz w:val="16"/>
              </w:rPr>
              <w:t>engine v7 (flat / two-tier)</w:t>
            </w:r>
          </w:p>
        </w:tc>
        <w:tc>
          <w:tcPr>
            <w:tcW w:type="dxa" w:w="1512"/>
          </w:tcPr>
          <w:p>
            <w:pPr>
              <w:spacing w:line="240" w:lineRule="auto" w:after="0" w:before="0"/>
            </w:pPr>
            <w:r/>
            <w:r>
              <w:rPr>
                <w:sz w:val="16"/>
              </w:rPr>
              <w:t>19.8 / 29.7</w:t>
            </w:r>
          </w:p>
        </w:tc>
        <w:tc>
          <w:tcPr>
            <w:tcW w:type="dxa" w:w="1512"/>
          </w:tcPr>
          <w:p>
            <w:pPr>
              <w:spacing w:line="240" w:lineRule="auto" w:after="0" w:before="0"/>
            </w:pPr>
            <w:r/>
            <w:r>
              <w:rPr>
                <w:sz w:val="16"/>
              </w:rPr>
              <w:t>45.1 / 65.9</w:t>
            </w:r>
          </w:p>
        </w:tc>
        <w:tc>
          <w:tcPr>
            <w:tcW w:type="dxa" w:w="1512"/>
          </w:tcPr>
          <w:p>
            <w:pPr>
              <w:spacing w:line="240" w:lineRule="auto" w:after="0" w:before="0"/>
            </w:pPr>
            <w:r/>
            <w:r>
              <w:rPr>
                <w:sz w:val="16"/>
              </w:rPr>
              <w:t>64.8 / 72.5</w:t>
            </w:r>
          </w:p>
        </w:tc>
        <w:tc>
          <w:tcPr>
            <w:tcW w:type="dxa" w:w="1512"/>
          </w:tcPr>
          <w:p>
            <w:pPr>
              <w:spacing w:line="240" w:lineRule="auto" w:after="0" w:before="0"/>
            </w:pPr>
            <w:r/>
            <w:r>
              <w:rPr>
                <w:sz w:val="16"/>
              </w:rPr>
              <w:t>73.6 / 83.5</w:t>
            </w:r>
          </w:p>
        </w:tc>
        <w:tc>
          <w:tcPr>
            <w:tcW w:type="dxa" w:w="1512"/>
          </w:tcPr>
          <w:p>
            <w:pPr>
              <w:spacing w:line="240" w:lineRule="auto" w:after="0" w:before="0"/>
            </w:pPr>
            <w:r/>
            <w:r>
              <w:rPr>
                <w:sz w:val="16"/>
              </w:rPr>
              <w:t>16.5</w:t>
            </w:r>
          </w:p>
        </w:tc>
      </w:tr>
    </w:tbl>
    <w:p/>
    <w:p>
      <w:r>
        <w:t>Label-level recall@5 agreement between LLM reads: 83.5–89.0% (κ 0.69 for P1 read 1 vs read 2). Prompt-induced variation (±5 pp at k = 5) is of the same size as run-to-run variation, and both are larger than the v7–LLM difference on the primary metric.</w:t>
      </w:r>
    </w:p>
    <w:p>
      <w:pPr>
        <w:pStyle w:val="Heading2"/>
      </w:pPr>
      <w:r>
        <w:rPr>
          <w:rFonts w:ascii="Times New Roman" w:hAnsi="Times New Roman" w:eastAsia="Times New Roman" w:cs="Times New Roman"/>
          <w:b/>
          <w:i w:val="0"/>
          <w:color w:val="000000"/>
        </w:rPr>
        <w:t>4. Training-data contamination</w:t>
      </w:r>
    </w:p>
    <w:p>
      <w:r>
        <w:t xml:space="preserve">The eICU-CRD demo is public (PhysioNet) and may be present in the LLM's pre-training corpus. The LLM received only the numerical panel, age and sex, never a stay identifier; recovering admission-level diagnosis strings from ~30 numerical values by memorisation is implausible, but cannot be excluded, and would bias the comparison </w:t>
      </w:r>
      <w:r>
        <w:rPr>
          <w:b/>
        </w:rPr>
        <w:t>in favour of the LLM</w:t>
      </w:r>
      <w:r>
        <w:t>. Hemoglyph has no training phase and cannot be contaminated.</w:t>
      </w:r>
    </w:p>
    <w:p>
      <w:pPr>
        <w:pStyle w:val="Heading2"/>
      </w:pPr>
      <w:r>
        <w:rPr>
          <w:rFonts w:ascii="Times New Roman" w:hAnsi="Times New Roman" w:eastAsia="Times New Roman" w:cs="Times New Roman"/>
          <w:b/>
          <w:i w:val="0"/>
          <w:color w:val="000000"/>
        </w:rPr>
        <w:t>5. Limitations of this arm</w:t>
      </w:r>
    </w:p>
    <w:p>
      <w:r>
        <w:t>One model class, two prompts, one run per prompt (plus one re-read), no retrieval augmentation or chain-of-thought prompting, scoring by regex rather than clinician adjudication, admission-level labels. The arm is an author-run self-baseline, not a vendor benchmark.</w:t>
      </w:r>
    </w:p>
    <w:p>
      <w:pPr>
        <w:pStyle w:val="Heading1"/>
      </w:pPr>
      <w:r>
        <w:rPr>
          <w:rFonts w:ascii="Times New Roman" w:hAnsi="Times New Roman" w:eastAsia="Times New Roman" w:cs="Times New Roman"/>
          <w:b/>
          <w:i w:val="0"/>
          <w:color w:val="000000"/>
        </w:rPr>
        <w:t>Supplementary Table S3 — Participant flow and baseline characteristics</w:t>
      </w:r>
    </w:p>
    <w:p>
      <w:pPr>
        <w:pStyle w:val="Heading2"/>
      </w:pPr>
      <w:r>
        <w:rPr>
          <w:rFonts w:ascii="Times New Roman" w:hAnsi="Times New Roman" w:eastAsia="Times New Roman" w:cs="Times New Roman"/>
          <w:b/>
          <w:i w:val="0"/>
          <w:color w:val="000000"/>
        </w:rPr>
        <w:t>Table S3 — Participant flow and baseline characteristics of all evaluation cohorts (TRIPOD+AI 14a/b, 13a)</w:t>
      </w:r>
    </w:p>
    <w:tbl>
      <w:tblPr>
        <w:tblStyle w:val="TableGrid"/>
        <w:tblW w:type="auto" w:w="0"/>
        <w:jc w:val="center"/>
        <w:tblLook w:firstColumn="1" w:firstRow="1" w:lastColumn="0" w:lastRow="0" w:noHBand="0" w:noVBand="1" w:val="04A0"/>
      </w:tblPr>
      <w:tblGrid>
        <w:gridCol w:w="825"/>
        <w:gridCol w:w="825"/>
        <w:gridCol w:w="825"/>
        <w:gridCol w:w="825"/>
        <w:gridCol w:w="825"/>
        <w:gridCol w:w="825"/>
        <w:gridCol w:w="825"/>
        <w:gridCol w:w="825"/>
        <w:gridCol w:w="825"/>
        <w:gridCol w:w="825"/>
        <w:gridCol w:w="825"/>
      </w:tblGrid>
      <w:tr>
        <w:trPr>
          <w:cantSplit/>
          <w:tblHeader/>
        </w:trPr>
        <w:tc>
          <w:tcPr>
            <w:tcW w:type="dxa" w:w="825"/>
            <w:shd w:val="clear" w:fill="F2F2F2"/>
          </w:tcPr>
          <w:p>
            <w:pPr>
              <w:spacing w:line="240" w:lineRule="auto" w:after="0" w:before="0"/>
            </w:pPr>
            <w:r>
              <w:rPr>
                <w:b/>
              </w:rPr>
            </w:r>
            <w:r>
              <w:rPr>
                <w:b/>
                <w:sz w:val="16"/>
              </w:rPr>
              <w:t>cohort</w:t>
            </w:r>
          </w:p>
        </w:tc>
        <w:tc>
          <w:tcPr>
            <w:tcW w:type="dxa" w:w="825"/>
            <w:shd w:val="clear" w:fill="F2F2F2"/>
          </w:tcPr>
          <w:p>
            <w:pPr>
              <w:spacing w:line="240" w:lineRule="auto" w:after="0" w:before="0"/>
            </w:pPr>
            <w:r>
              <w:rPr>
                <w:b/>
              </w:rPr>
            </w:r>
            <w:r>
              <w:rPr>
                <w:b/>
                <w:sz w:val="16"/>
              </w:rPr>
              <w:t>source</w:t>
            </w:r>
          </w:p>
        </w:tc>
        <w:tc>
          <w:tcPr>
            <w:tcW w:type="dxa" w:w="825"/>
            <w:shd w:val="clear" w:fill="F2F2F2"/>
          </w:tcPr>
          <w:p>
            <w:pPr>
              <w:spacing w:line="240" w:lineRule="auto" w:after="0" w:before="0"/>
            </w:pPr>
            <w:r>
              <w:rPr>
                <w:b/>
              </w:rPr>
            </w:r>
            <w:r>
              <w:rPr>
                <w:b/>
                <w:sz w:val="16"/>
              </w:rPr>
              <w:t>step1</w:t>
            </w:r>
          </w:p>
        </w:tc>
        <w:tc>
          <w:tcPr>
            <w:tcW w:type="dxa" w:w="825"/>
            <w:shd w:val="clear" w:fill="F2F2F2"/>
          </w:tcPr>
          <w:p>
            <w:pPr>
              <w:spacing w:line="240" w:lineRule="auto" w:after="0" w:before="0"/>
            </w:pPr>
            <w:r>
              <w:rPr>
                <w:b/>
              </w:rPr>
            </w:r>
            <w:r>
              <w:rPr>
                <w:b/>
                <w:sz w:val="16"/>
              </w:rPr>
              <w:t>step2</w:t>
            </w:r>
          </w:p>
        </w:tc>
        <w:tc>
          <w:tcPr>
            <w:tcW w:type="dxa" w:w="825"/>
            <w:shd w:val="clear" w:fill="F2F2F2"/>
          </w:tcPr>
          <w:p>
            <w:pPr>
              <w:spacing w:line="240" w:lineRule="auto" w:after="0" w:before="0"/>
            </w:pPr>
            <w:r>
              <w:rPr>
                <w:b/>
              </w:rPr>
            </w:r>
            <w:r>
              <w:rPr>
                <w:b/>
                <w:sz w:val="16"/>
              </w:rPr>
              <w:t>step3</w:t>
            </w:r>
          </w:p>
        </w:tc>
        <w:tc>
          <w:tcPr>
            <w:tcW w:type="dxa" w:w="825"/>
            <w:shd w:val="clear" w:fill="F2F2F2"/>
          </w:tcPr>
          <w:p>
            <w:pPr>
              <w:spacing w:line="240" w:lineRule="auto" w:after="0" w:before="0"/>
            </w:pPr>
            <w:r>
              <w:rPr>
                <w:b/>
              </w:rPr>
            </w:r>
            <w:r>
              <w:rPr>
                <w:b/>
                <w:sz w:val="16"/>
              </w:rPr>
              <w:t>analysed</w:t>
            </w:r>
          </w:p>
        </w:tc>
        <w:tc>
          <w:tcPr>
            <w:tcW w:type="dxa" w:w="825"/>
            <w:shd w:val="clear" w:fill="F2F2F2"/>
          </w:tcPr>
          <w:p>
            <w:pPr>
              <w:spacing w:line="240" w:lineRule="auto" w:after="0" w:before="0"/>
            </w:pPr>
            <w:r>
              <w:rPr>
                <w:b/>
              </w:rPr>
            </w:r>
            <w:r>
              <w:rPr>
                <w:b/>
                <w:sz w:val="16"/>
              </w:rPr>
              <w:t>age</w:t>
            </w:r>
          </w:p>
        </w:tc>
        <w:tc>
          <w:tcPr>
            <w:tcW w:type="dxa" w:w="825"/>
            <w:shd w:val="clear" w:fill="F2F2F2"/>
          </w:tcPr>
          <w:p>
            <w:pPr>
              <w:spacing w:line="240" w:lineRule="auto" w:after="0" w:before="0"/>
            </w:pPr>
            <w:r>
              <w:rPr>
                <w:b/>
              </w:rPr>
            </w:r>
            <w:r>
              <w:rPr>
                <w:b/>
                <w:sz w:val="16"/>
              </w:rPr>
              <w:t>female</w:t>
            </w:r>
          </w:p>
        </w:tc>
        <w:tc>
          <w:tcPr>
            <w:tcW w:type="dxa" w:w="825"/>
            <w:shd w:val="clear" w:fill="F2F2F2"/>
          </w:tcPr>
          <w:p>
            <w:pPr>
              <w:spacing w:line="240" w:lineRule="auto" w:after="0" w:before="0"/>
            </w:pPr>
            <w:r>
              <w:rPr>
                <w:b/>
              </w:rPr>
            </w:r>
            <w:r>
              <w:rPr>
                <w:b/>
                <w:sz w:val="16"/>
              </w:rPr>
              <w:t>inputs</w:t>
            </w:r>
          </w:p>
        </w:tc>
        <w:tc>
          <w:tcPr>
            <w:tcW w:type="dxa" w:w="825"/>
            <w:shd w:val="clear" w:fill="F2F2F2"/>
          </w:tcPr>
          <w:p>
            <w:pPr>
              <w:spacing w:line="240" w:lineRule="auto" w:after="0" w:before="0"/>
            </w:pPr>
            <w:r>
              <w:rPr>
                <w:b/>
              </w:rPr>
            </w:r>
            <w:r>
              <w:rPr>
                <w:b/>
                <w:sz w:val="16"/>
              </w:rPr>
              <w:t>labels</w:t>
            </w:r>
          </w:p>
        </w:tc>
        <w:tc>
          <w:tcPr>
            <w:tcW w:type="dxa" w:w="825"/>
            <w:shd w:val="clear" w:fill="F2F2F2"/>
          </w:tcPr>
          <w:p>
            <w:pPr>
              <w:spacing w:line="240" w:lineRule="auto" w:after="0" w:before="0"/>
            </w:pPr>
            <w:r>
              <w:rPr>
                <w:b/>
              </w:rPr>
            </w:r>
            <w:r>
              <w:rPr>
                <w:b/>
                <w:sz w:val="16"/>
              </w:rPr>
              <w:t>split</w:t>
            </w:r>
          </w:p>
        </w:tc>
      </w:tr>
      <w:tr>
        <w:trPr>
          <w:cantSplit/>
        </w:trPr>
        <w:tc>
          <w:tcPr>
            <w:tcW w:type="dxa" w:w="825"/>
          </w:tcPr>
          <w:p>
            <w:pPr>
              <w:spacing w:line="240" w:lineRule="auto" w:after="0" w:before="0"/>
            </w:pPr>
            <w:r/>
            <w:r>
              <w:rPr>
                <w:sz w:val="16"/>
              </w:rPr>
              <w:t>eICU-CRD demo v2.0.1 (PhysioNet, open)</w:t>
            </w:r>
          </w:p>
        </w:tc>
        <w:tc>
          <w:tcPr>
            <w:tcW w:type="dxa" w:w="825"/>
          </w:tcPr>
          <w:p>
            <w:pPr>
              <w:spacing w:line="240" w:lineRule="auto" w:after="0" w:before="0"/>
            </w:pPr>
            <w:r/>
            <w:r>
              <w:rPr>
                <w:sz w:val="16"/>
              </w:rPr>
              <w:t>186 US hospitals, ICU stays 2014–15</w:t>
            </w:r>
          </w:p>
        </w:tc>
        <w:tc>
          <w:tcPr>
            <w:tcW w:type="dxa" w:w="825"/>
          </w:tcPr>
          <w:p>
            <w:pPr>
              <w:spacing w:line="240" w:lineRule="auto" w:after="0" w:before="0"/>
            </w:pPr>
            <w:r/>
            <w:r>
              <w:rPr>
                <w:sz w:val="16"/>
              </w:rPr>
              <w:t>ICU stays in demo: 2520</w:t>
            </w:r>
          </w:p>
        </w:tc>
        <w:tc>
          <w:tcPr>
            <w:tcW w:type="dxa" w:w="825"/>
          </w:tcPr>
          <w:p>
            <w:pPr>
              <w:spacing w:line="240" w:lineRule="auto" w:after="0" w:before="0"/>
            </w:pPr>
            <w:r/>
            <w:r>
              <w:rPr>
                <w:sz w:val="16"/>
              </w:rPr>
              <w:t>age ≥18: 2512</w:t>
            </w:r>
          </w:p>
        </w:tc>
        <w:tc>
          <w:tcPr>
            <w:tcW w:type="dxa" w:w="825"/>
          </w:tcPr>
          <w:p>
            <w:pPr>
              <w:spacing w:line="240" w:lineRule="auto" w:after="0" w:before="0"/>
            </w:pPr>
            <w:r/>
            <w:r>
              <w:rPr>
                <w:sz w:val="16"/>
              </w:rPr>
              <w:t>≥8 mapped analytes in −6…+24 h: 2314</w:t>
            </w:r>
          </w:p>
        </w:tc>
        <w:tc>
          <w:tcPr>
            <w:tcW w:type="dxa" w:w="825"/>
          </w:tcPr>
          <w:p>
            <w:pPr>
              <w:spacing w:line="240" w:lineRule="auto" w:after="0" w:before="0"/>
            </w:pPr>
            <w:r/>
            <w:r>
              <w:rPr>
                <w:sz w:val="16"/>
              </w:rPr>
              <w:t>2314 stays; 2707 coded target labels (31 groups), 2432 scorable (key analyte measured)</w:t>
            </w:r>
          </w:p>
        </w:tc>
        <w:tc>
          <w:tcPr>
            <w:tcW w:type="dxa" w:w="825"/>
          </w:tcPr>
          <w:p>
            <w:pPr>
              <w:spacing w:line="240" w:lineRule="auto" w:after="0" w:before="0"/>
            </w:pPr>
            <w:r/>
            <w:r>
              <w:rPr>
                <w:sz w:val="16"/>
              </w:rPr>
              <w:t>median 66 (IQR 53–77)</w:t>
            </w:r>
          </w:p>
        </w:tc>
        <w:tc>
          <w:tcPr>
            <w:tcW w:type="dxa" w:w="825"/>
          </w:tcPr>
          <w:p>
            <w:pPr>
              <w:spacing w:line="240" w:lineRule="auto" w:after="0" w:before="0"/>
            </w:pPr>
            <w:r/>
            <w:r>
              <w:rPr>
                <w:sz w:val="16"/>
              </w:rPr>
              <w:t>39.9%</w:t>
            </w:r>
          </w:p>
        </w:tc>
        <w:tc>
          <w:tcPr>
            <w:tcW w:type="dxa" w:w="825"/>
          </w:tcPr>
          <w:p>
            <w:pPr>
              <w:spacing w:line="240" w:lineRule="auto" w:after="0" w:before="0"/>
            </w:pPr>
            <w:r/>
            <w:r>
              <w:rPr>
                <w:sz w:val="16"/>
              </w:rPr>
              <w:t>median 31 analytes/stay</w:t>
            </w:r>
          </w:p>
        </w:tc>
        <w:tc>
          <w:tcPr>
            <w:tcW w:type="dxa" w:w="825"/>
          </w:tcPr>
          <w:p>
            <w:pPr>
              <w:spacing w:line="240" w:lineRule="auto" w:after="0" w:before="0"/>
            </w:pPr>
            <w:r/>
            <w:r>
              <w:rPr>
                <w:sz w:val="16"/>
              </w:rPr>
              <w:t>clinician problem-list diagnoses (1073 distinct strings) → regex map</w:t>
            </w:r>
          </w:p>
        </w:tc>
        <w:tc>
          <w:tcPr>
            <w:tcW w:type="dxa" w:w="825"/>
          </w:tcPr>
          <w:p>
            <w:pPr>
              <w:spacing w:line="240" w:lineRule="auto" w:after="0" w:before="0"/>
            </w:pPr>
            <w:r/>
            <w:r>
              <w:rPr>
                <w:sz w:val="16"/>
              </w:rPr>
              <w:t>dev: first 1200 stays by id order (ext tuning); held-out: all 2314 reported with amendments logged</w:t>
            </w:r>
          </w:p>
        </w:tc>
      </w:tr>
      <w:tr>
        <w:trPr>
          <w:cantSplit/>
        </w:trPr>
        <w:tc>
          <w:tcPr>
            <w:tcW w:type="dxa" w:w="825"/>
          </w:tcPr>
          <w:p>
            <w:pPr>
              <w:spacing w:line="240" w:lineRule="auto" w:after="0" w:before="0"/>
            </w:pPr>
            <w:r/>
            <w:r>
              <w:rPr>
                <w:sz w:val="16"/>
              </w:rPr>
              <w:t>NHANES 2005–2006</w:t>
            </w:r>
          </w:p>
        </w:tc>
        <w:tc>
          <w:tcPr>
            <w:tcW w:type="dxa" w:w="825"/>
          </w:tcPr>
          <w:p>
            <w:pPr>
              <w:spacing w:line="240" w:lineRule="auto" w:after="0" w:before="0"/>
            </w:pPr>
            <w:r/>
            <w:r>
              <w:rPr>
                <w:sz w:val="16"/>
              </w:rPr>
              <w:t>US civilian non-institutionalised population, mobile exam centre</w:t>
            </w:r>
          </w:p>
        </w:tc>
        <w:tc>
          <w:tcPr>
            <w:tcW w:type="dxa" w:w="825"/>
          </w:tcPr>
          <w:p>
            <w:pPr>
              <w:spacing w:line="240" w:lineRule="auto" w:after="0" w:before="0"/>
            </w:pPr>
            <w:r/>
            <w:r>
              <w:rPr>
                <w:sz w:val="16"/>
              </w:rPr>
              <w:t>examined: 10348</w:t>
            </w:r>
          </w:p>
        </w:tc>
        <w:tc>
          <w:tcPr>
            <w:tcW w:type="dxa" w:w="825"/>
          </w:tcPr>
          <w:p>
            <w:pPr>
              <w:spacing w:line="240" w:lineRule="auto" w:after="0" w:before="0"/>
            </w:pPr>
            <w:r/>
            <w:r>
              <w:rPr>
                <w:sz w:val="16"/>
              </w:rPr>
              <w:t>age ≥18: 5563</w:t>
            </w:r>
          </w:p>
        </w:tc>
        <w:tc>
          <w:tcPr>
            <w:tcW w:type="dxa" w:w="825"/>
          </w:tcPr>
          <w:p>
            <w:pPr>
              <w:spacing w:line="240" w:lineRule="auto" w:after="0" w:before="0"/>
            </w:pPr>
            <w:r/>
            <w:r>
              <w:rPr>
                <w:sz w:val="16"/>
              </w:rPr>
              <w:t>with biochemistry + CBC: 5334</w:t>
            </w:r>
          </w:p>
        </w:tc>
        <w:tc>
          <w:tcPr>
            <w:tcW w:type="dxa" w:w="825"/>
          </w:tcPr>
          <w:p>
            <w:pPr>
              <w:spacing w:line="240" w:lineRule="auto" w:after="0" w:before="0"/>
            </w:pPr>
            <w:r/>
            <w:r>
              <w:rPr>
                <w:sz w:val="16"/>
              </w:rPr>
              <w:t>see run log participants</w:t>
            </w:r>
          </w:p>
        </w:tc>
        <w:tc>
          <w:tcPr>
            <w:tcW w:type="dxa" w:w="825"/>
          </w:tcPr>
          <w:p>
            <w:pPr>
              <w:spacing w:line="240" w:lineRule="auto" w:after="0" w:before="0"/>
            </w:pPr>
            <w:r/>
            <w:r>
              <w:rPr>
                <w:sz w:val="16"/>
              </w:rPr>
              <w:t>median 43 (IQR 27–62)</w:t>
            </w:r>
          </w:p>
        </w:tc>
        <w:tc>
          <w:tcPr>
            <w:tcW w:type="dxa" w:w="825"/>
          </w:tcPr>
          <w:p>
            <w:pPr>
              <w:spacing w:line="240" w:lineRule="auto" w:after="0" w:before="0"/>
            </w:pPr>
            <w:r/>
            <w:r>
              <w:rPr>
                <w:sz w:val="16"/>
              </w:rPr>
              <w:t>52.0%</w:t>
            </w:r>
          </w:p>
        </w:tc>
        <w:tc>
          <w:tcPr>
            <w:tcW w:type="dxa" w:w="825"/>
          </w:tcPr>
          <w:p>
            <w:pPr>
              <w:spacing w:line="240" w:lineRule="auto" w:after="0" w:before="0"/>
            </w:pPr>
            <w:r/>
            <w:r>
              <w:rPr>
                <w:sz w:val="16"/>
              </w:rPr>
              <w:t>≈18–25 analytes (BIOPRO, CBC, GHB, GLU, FERTIN/FETIB, HDL/TRIGLY, ALB_CR)</w:t>
            </w:r>
          </w:p>
        </w:tc>
        <w:tc>
          <w:tcPr>
            <w:tcW w:type="dxa" w:w="825"/>
          </w:tcPr>
          <w:p>
            <w:pPr>
              <w:spacing w:line="240" w:lineRule="auto" w:after="0" w:before="0"/>
            </w:pPr>
            <w:r/>
            <w:r>
              <w:rPr>
                <w:sz w:val="16"/>
              </w:rPr>
              <w:t>self-report (DIQ/MCQ/KIQ) + measured HbA1c/eGFR/Hb criteria</w:t>
            </w:r>
          </w:p>
        </w:tc>
        <w:tc>
          <w:tcPr>
            <w:tcW w:type="dxa" w:w="825"/>
          </w:tcPr>
          <w:p>
            <w:pPr>
              <w:spacing w:line="240" w:lineRule="auto" w:after="0" w:before="0"/>
            </w:pPr>
            <w:r/>
            <w:r>
              <w:rPr>
                <w:sz w:val="16"/>
              </w:rPr>
              <w:t>held-out (no tuning on any cycle); 2017–18 used first, 2005–16 added as temporal external validation</w:t>
            </w:r>
          </w:p>
        </w:tc>
      </w:tr>
      <w:tr>
        <w:trPr>
          <w:cantSplit/>
        </w:trPr>
        <w:tc>
          <w:tcPr>
            <w:tcW w:type="dxa" w:w="825"/>
          </w:tcPr>
          <w:p>
            <w:pPr>
              <w:spacing w:line="240" w:lineRule="auto" w:after="0" w:before="0"/>
            </w:pPr>
            <w:r/>
            <w:r>
              <w:rPr>
                <w:sz w:val="16"/>
              </w:rPr>
              <w:t>NHANES 2007–2008</w:t>
            </w:r>
          </w:p>
        </w:tc>
        <w:tc>
          <w:tcPr>
            <w:tcW w:type="dxa" w:w="825"/>
          </w:tcPr>
          <w:p>
            <w:pPr>
              <w:spacing w:line="240" w:lineRule="auto" w:after="0" w:before="0"/>
            </w:pPr>
            <w:r/>
            <w:r>
              <w:rPr>
                <w:sz w:val="16"/>
              </w:rPr>
              <w:t>US civilian non-institutionalised population, mobile exam centre</w:t>
            </w:r>
          </w:p>
        </w:tc>
        <w:tc>
          <w:tcPr>
            <w:tcW w:type="dxa" w:w="825"/>
          </w:tcPr>
          <w:p>
            <w:pPr>
              <w:spacing w:line="240" w:lineRule="auto" w:after="0" w:before="0"/>
            </w:pPr>
            <w:r/>
            <w:r>
              <w:rPr>
                <w:sz w:val="16"/>
              </w:rPr>
              <w:t>examined: 10149</w:t>
            </w:r>
          </w:p>
        </w:tc>
        <w:tc>
          <w:tcPr>
            <w:tcW w:type="dxa" w:w="825"/>
          </w:tcPr>
          <w:p>
            <w:pPr>
              <w:spacing w:line="240" w:lineRule="auto" w:after="0" w:before="0"/>
            </w:pPr>
            <w:r/>
            <w:r>
              <w:rPr>
                <w:sz w:val="16"/>
              </w:rPr>
              <w:t>age ≥18: 6228</w:t>
            </w:r>
          </w:p>
        </w:tc>
        <w:tc>
          <w:tcPr>
            <w:tcW w:type="dxa" w:w="825"/>
          </w:tcPr>
          <w:p>
            <w:pPr>
              <w:spacing w:line="240" w:lineRule="auto" w:after="0" w:before="0"/>
            </w:pPr>
            <w:r/>
            <w:r>
              <w:rPr>
                <w:sz w:val="16"/>
              </w:rPr>
              <w:t>with biochemistry + CBC: 5995</w:t>
            </w:r>
          </w:p>
        </w:tc>
        <w:tc>
          <w:tcPr>
            <w:tcW w:type="dxa" w:w="825"/>
          </w:tcPr>
          <w:p>
            <w:pPr>
              <w:spacing w:line="240" w:lineRule="auto" w:after="0" w:before="0"/>
            </w:pPr>
            <w:r/>
            <w:r>
              <w:rPr>
                <w:sz w:val="16"/>
              </w:rPr>
              <w:t>see run log participants</w:t>
            </w:r>
          </w:p>
        </w:tc>
        <w:tc>
          <w:tcPr>
            <w:tcW w:type="dxa" w:w="825"/>
          </w:tcPr>
          <w:p>
            <w:pPr>
              <w:spacing w:line="240" w:lineRule="auto" w:after="0" w:before="0"/>
            </w:pPr>
            <w:r/>
            <w:r>
              <w:rPr>
                <w:sz w:val="16"/>
              </w:rPr>
              <w:t>median 49 (IQR 33–64)</w:t>
            </w:r>
          </w:p>
        </w:tc>
        <w:tc>
          <w:tcPr>
            <w:tcW w:type="dxa" w:w="825"/>
          </w:tcPr>
          <w:p>
            <w:pPr>
              <w:spacing w:line="240" w:lineRule="auto" w:after="0" w:before="0"/>
            </w:pPr>
            <w:r/>
            <w:r>
              <w:rPr>
                <w:sz w:val="16"/>
              </w:rPr>
              <w:t>50.7%</w:t>
            </w:r>
          </w:p>
        </w:tc>
        <w:tc>
          <w:tcPr>
            <w:tcW w:type="dxa" w:w="825"/>
          </w:tcPr>
          <w:p>
            <w:pPr>
              <w:spacing w:line="240" w:lineRule="auto" w:after="0" w:before="0"/>
            </w:pPr>
            <w:r/>
            <w:r>
              <w:rPr>
                <w:sz w:val="16"/>
              </w:rPr>
              <w:t>≈18–25 analytes (BIOPRO, CBC, GHB, GLU, FERTIN/FETIB, HDL/TRIGLY, ALB_CR)</w:t>
            </w:r>
          </w:p>
        </w:tc>
        <w:tc>
          <w:tcPr>
            <w:tcW w:type="dxa" w:w="825"/>
          </w:tcPr>
          <w:p>
            <w:pPr>
              <w:spacing w:line="240" w:lineRule="auto" w:after="0" w:before="0"/>
            </w:pPr>
            <w:r/>
            <w:r>
              <w:rPr>
                <w:sz w:val="16"/>
              </w:rPr>
              <w:t>self-report (DIQ/MCQ/KIQ) + measured HbA1c/eGFR/Hb criteria</w:t>
            </w:r>
          </w:p>
        </w:tc>
        <w:tc>
          <w:tcPr>
            <w:tcW w:type="dxa" w:w="825"/>
          </w:tcPr>
          <w:p>
            <w:pPr>
              <w:spacing w:line="240" w:lineRule="auto" w:after="0" w:before="0"/>
            </w:pPr>
            <w:r/>
            <w:r>
              <w:rPr>
                <w:sz w:val="16"/>
              </w:rPr>
              <w:t>held-out (no tuning on any cycle); 2017–18 used first, 2005–16 added as temporal external validation</w:t>
            </w:r>
          </w:p>
        </w:tc>
      </w:tr>
      <w:tr>
        <w:trPr>
          <w:cantSplit/>
        </w:trPr>
        <w:tc>
          <w:tcPr>
            <w:tcW w:type="dxa" w:w="825"/>
          </w:tcPr>
          <w:p>
            <w:pPr>
              <w:spacing w:line="240" w:lineRule="auto" w:after="0" w:before="0"/>
            </w:pPr>
            <w:r/>
            <w:r>
              <w:rPr>
                <w:sz w:val="16"/>
              </w:rPr>
              <w:t>NHANES 2009–2010</w:t>
            </w:r>
          </w:p>
        </w:tc>
        <w:tc>
          <w:tcPr>
            <w:tcW w:type="dxa" w:w="825"/>
          </w:tcPr>
          <w:p>
            <w:pPr>
              <w:spacing w:line="240" w:lineRule="auto" w:after="0" w:before="0"/>
            </w:pPr>
            <w:r/>
            <w:r>
              <w:rPr>
                <w:sz w:val="16"/>
              </w:rPr>
              <w:t>US civilian non-institutionalised population, mobile exam centre</w:t>
            </w:r>
          </w:p>
        </w:tc>
        <w:tc>
          <w:tcPr>
            <w:tcW w:type="dxa" w:w="825"/>
          </w:tcPr>
          <w:p>
            <w:pPr>
              <w:spacing w:line="240" w:lineRule="auto" w:after="0" w:before="0"/>
            </w:pPr>
            <w:r/>
            <w:r>
              <w:rPr>
                <w:sz w:val="16"/>
              </w:rPr>
              <w:t>examined: 10537</w:t>
            </w:r>
          </w:p>
        </w:tc>
        <w:tc>
          <w:tcPr>
            <w:tcW w:type="dxa" w:w="825"/>
          </w:tcPr>
          <w:p>
            <w:pPr>
              <w:spacing w:line="240" w:lineRule="auto" w:after="0" w:before="0"/>
            </w:pPr>
            <w:r/>
            <w:r>
              <w:rPr>
                <w:sz w:val="16"/>
              </w:rPr>
              <w:t>age ≥18: 6527</w:t>
            </w:r>
          </w:p>
        </w:tc>
        <w:tc>
          <w:tcPr>
            <w:tcW w:type="dxa" w:w="825"/>
          </w:tcPr>
          <w:p>
            <w:pPr>
              <w:spacing w:line="240" w:lineRule="auto" w:after="0" w:before="0"/>
            </w:pPr>
            <w:r/>
            <w:r>
              <w:rPr>
                <w:sz w:val="16"/>
              </w:rPr>
              <w:t>with biochemistry + CBC: 6360</w:t>
            </w:r>
          </w:p>
        </w:tc>
        <w:tc>
          <w:tcPr>
            <w:tcW w:type="dxa" w:w="825"/>
          </w:tcPr>
          <w:p>
            <w:pPr>
              <w:spacing w:line="240" w:lineRule="auto" w:after="0" w:before="0"/>
            </w:pPr>
            <w:r/>
            <w:r>
              <w:rPr>
                <w:sz w:val="16"/>
              </w:rPr>
              <w:t>see run log participants</w:t>
            </w:r>
          </w:p>
        </w:tc>
        <w:tc>
          <w:tcPr>
            <w:tcW w:type="dxa" w:w="825"/>
          </w:tcPr>
          <w:p>
            <w:pPr>
              <w:spacing w:line="240" w:lineRule="auto" w:after="0" w:before="0"/>
            </w:pPr>
            <w:r/>
            <w:r>
              <w:rPr>
                <w:sz w:val="16"/>
              </w:rPr>
              <w:t>median 47 (IQR 32–63)</w:t>
            </w:r>
          </w:p>
        </w:tc>
        <w:tc>
          <w:tcPr>
            <w:tcW w:type="dxa" w:w="825"/>
          </w:tcPr>
          <w:p>
            <w:pPr>
              <w:spacing w:line="240" w:lineRule="auto" w:after="0" w:before="0"/>
            </w:pPr>
            <w:r/>
            <w:r>
              <w:rPr>
                <w:sz w:val="16"/>
              </w:rPr>
              <w:t>51.4%</w:t>
            </w:r>
          </w:p>
        </w:tc>
        <w:tc>
          <w:tcPr>
            <w:tcW w:type="dxa" w:w="825"/>
          </w:tcPr>
          <w:p>
            <w:pPr>
              <w:spacing w:line="240" w:lineRule="auto" w:after="0" w:before="0"/>
            </w:pPr>
            <w:r/>
            <w:r>
              <w:rPr>
                <w:sz w:val="16"/>
              </w:rPr>
              <w:t>≈18–25 analytes (BIOPRO, CBC, GHB, GLU, FERTIN/FETIB, HDL/TRIGLY, ALB_CR)</w:t>
            </w:r>
          </w:p>
        </w:tc>
        <w:tc>
          <w:tcPr>
            <w:tcW w:type="dxa" w:w="825"/>
          </w:tcPr>
          <w:p>
            <w:pPr>
              <w:spacing w:line="240" w:lineRule="auto" w:after="0" w:before="0"/>
            </w:pPr>
            <w:r/>
            <w:r>
              <w:rPr>
                <w:sz w:val="16"/>
              </w:rPr>
              <w:t>self-report (DIQ/MCQ/KIQ) + measured HbA1c/eGFR/Hb criteria</w:t>
            </w:r>
          </w:p>
        </w:tc>
        <w:tc>
          <w:tcPr>
            <w:tcW w:type="dxa" w:w="825"/>
          </w:tcPr>
          <w:p>
            <w:pPr>
              <w:spacing w:line="240" w:lineRule="auto" w:after="0" w:before="0"/>
            </w:pPr>
            <w:r/>
            <w:r>
              <w:rPr>
                <w:sz w:val="16"/>
              </w:rPr>
              <w:t>held-out (no tuning on any cycle); 2017–18 used first, 2005–16 added as temporal external validation</w:t>
            </w:r>
          </w:p>
        </w:tc>
      </w:tr>
      <w:tr>
        <w:trPr>
          <w:cantSplit/>
        </w:trPr>
        <w:tc>
          <w:tcPr>
            <w:tcW w:type="dxa" w:w="825"/>
          </w:tcPr>
          <w:p>
            <w:pPr>
              <w:spacing w:line="240" w:lineRule="auto" w:after="0" w:before="0"/>
            </w:pPr>
            <w:r/>
            <w:r>
              <w:rPr>
                <w:sz w:val="16"/>
              </w:rPr>
              <w:t>NHANES 2011–2012</w:t>
            </w:r>
          </w:p>
        </w:tc>
        <w:tc>
          <w:tcPr>
            <w:tcW w:type="dxa" w:w="825"/>
          </w:tcPr>
          <w:p>
            <w:pPr>
              <w:spacing w:line="240" w:lineRule="auto" w:after="0" w:before="0"/>
            </w:pPr>
            <w:r/>
            <w:r>
              <w:rPr>
                <w:sz w:val="16"/>
              </w:rPr>
              <w:t>US civilian non-institutionalised population, mobile exam centre</w:t>
            </w:r>
          </w:p>
        </w:tc>
        <w:tc>
          <w:tcPr>
            <w:tcW w:type="dxa" w:w="825"/>
          </w:tcPr>
          <w:p>
            <w:pPr>
              <w:spacing w:line="240" w:lineRule="auto" w:after="0" w:before="0"/>
            </w:pPr>
            <w:r/>
            <w:r>
              <w:rPr>
                <w:sz w:val="16"/>
              </w:rPr>
              <w:t>examined: 9756</w:t>
            </w:r>
          </w:p>
        </w:tc>
        <w:tc>
          <w:tcPr>
            <w:tcW w:type="dxa" w:w="825"/>
          </w:tcPr>
          <w:p>
            <w:pPr>
              <w:spacing w:line="240" w:lineRule="auto" w:after="0" w:before="0"/>
            </w:pPr>
            <w:r/>
            <w:r>
              <w:rPr>
                <w:sz w:val="16"/>
              </w:rPr>
              <w:t>age ≥18: 5864</w:t>
            </w:r>
          </w:p>
        </w:tc>
        <w:tc>
          <w:tcPr>
            <w:tcW w:type="dxa" w:w="825"/>
          </w:tcPr>
          <w:p>
            <w:pPr>
              <w:spacing w:line="240" w:lineRule="auto" w:after="0" w:before="0"/>
            </w:pPr>
            <w:r/>
            <w:r>
              <w:rPr>
                <w:sz w:val="16"/>
              </w:rPr>
              <w:t>with biochemistry + CBC: 5615</w:t>
            </w:r>
          </w:p>
        </w:tc>
        <w:tc>
          <w:tcPr>
            <w:tcW w:type="dxa" w:w="825"/>
          </w:tcPr>
          <w:p>
            <w:pPr>
              <w:spacing w:line="240" w:lineRule="auto" w:after="0" w:before="0"/>
            </w:pPr>
            <w:r/>
            <w:r>
              <w:rPr>
                <w:sz w:val="16"/>
              </w:rPr>
              <w:t>see run log participants</w:t>
            </w:r>
          </w:p>
        </w:tc>
        <w:tc>
          <w:tcPr>
            <w:tcW w:type="dxa" w:w="825"/>
          </w:tcPr>
          <w:p>
            <w:pPr>
              <w:spacing w:line="240" w:lineRule="auto" w:after="0" w:before="0"/>
            </w:pPr>
            <w:r/>
            <w:r>
              <w:rPr>
                <w:sz w:val="16"/>
              </w:rPr>
              <w:t>median 47 (IQR 31–62)</w:t>
            </w:r>
          </w:p>
        </w:tc>
        <w:tc>
          <w:tcPr>
            <w:tcW w:type="dxa" w:w="825"/>
          </w:tcPr>
          <w:p>
            <w:pPr>
              <w:spacing w:line="240" w:lineRule="auto" w:after="0" w:before="0"/>
            </w:pPr>
            <w:r/>
            <w:r>
              <w:rPr>
                <w:sz w:val="16"/>
              </w:rPr>
              <w:t>50.6%</w:t>
            </w:r>
          </w:p>
        </w:tc>
        <w:tc>
          <w:tcPr>
            <w:tcW w:type="dxa" w:w="825"/>
          </w:tcPr>
          <w:p>
            <w:pPr>
              <w:spacing w:line="240" w:lineRule="auto" w:after="0" w:before="0"/>
            </w:pPr>
            <w:r/>
            <w:r>
              <w:rPr>
                <w:sz w:val="16"/>
              </w:rPr>
              <w:t>≈18–25 analytes (BIOPRO, CBC, GHB, GLU, FERTIN/FETIB, HDL/TRIGLY, ALB_CR)</w:t>
            </w:r>
          </w:p>
        </w:tc>
        <w:tc>
          <w:tcPr>
            <w:tcW w:type="dxa" w:w="825"/>
          </w:tcPr>
          <w:p>
            <w:pPr>
              <w:spacing w:line="240" w:lineRule="auto" w:after="0" w:before="0"/>
            </w:pPr>
            <w:r/>
            <w:r>
              <w:rPr>
                <w:sz w:val="16"/>
              </w:rPr>
              <w:t>self-report (DIQ/MCQ/KIQ) + measured HbA1c/eGFR/Hb criteria</w:t>
            </w:r>
          </w:p>
        </w:tc>
        <w:tc>
          <w:tcPr>
            <w:tcW w:type="dxa" w:w="825"/>
          </w:tcPr>
          <w:p>
            <w:pPr>
              <w:spacing w:line="240" w:lineRule="auto" w:after="0" w:before="0"/>
            </w:pPr>
            <w:r/>
            <w:r>
              <w:rPr>
                <w:sz w:val="16"/>
              </w:rPr>
              <w:t>held-out (no tuning on any cycle); 2017–18 used first, 2005–16 added as temporal external validation</w:t>
            </w:r>
          </w:p>
        </w:tc>
      </w:tr>
      <w:tr>
        <w:trPr>
          <w:cantSplit/>
        </w:trPr>
        <w:tc>
          <w:tcPr>
            <w:tcW w:type="dxa" w:w="825"/>
          </w:tcPr>
          <w:p>
            <w:pPr>
              <w:spacing w:line="240" w:lineRule="auto" w:after="0" w:before="0"/>
            </w:pPr>
            <w:r/>
            <w:r>
              <w:rPr>
                <w:sz w:val="16"/>
              </w:rPr>
              <w:t>NHANES 2013–2014</w:t>
            </w:r>
          </w:p>
        </w:tc>
        <w:tc>
          <w:tcPr>
            <w:tcW w:type="dxa" w:w="825"/>
          </w:tcPr>
          <w:p>
            <w:pPr>
              <w:spacing w:line="240" w:lineRule="auto" w:after="0" w:before="0"/>
            </w:pPr>
            <w:r/>
            <w:r>
              <w:rPr>
                <w:sz w:val="16"/>
              </w:rPr>
              <w:t>US civilian non-institutionalised population, mobile exam centre</w:t>
            </w:r>
          </w:p>
        </w:tc>
        <w:tc>
          <w:tcPr>
            <w:tcW w:type="dxa" w:w="825"/>
          </w:tcPr>
          <w:p>
            <w:pPr>
              <w:spacing w:line="240" w:lineRule="auto" w:after="0" w:before="0"/>
            </w:pPr>
            <w:r/>
            <w:r>
              <w:rPr>
                <w:sz w:val="16"/>
              </w:rPr>
              <w:t>examined: 10175</w:t>
            </w:r>
          </w:p>
        </w:tc>
        <w:tc>
          <w:tcPr>
            <w:tcW w:type="dxa" w:w="825"/>
          </w:tcPr>
          <w:p>
            <w:pPr>
              <w:spacing w:line="240" w:lineRule="auto" w:after="0" w:before="0"/>
            </w:pPr>
            <w:r/>
            <w:r>
              <w:rPr>
                <w:sz w:val="16"/>
              </w:rPr>
              <w:t>age ≥18: 6113</w:t>
            </w:r>
          </w:p>
        </w:tc>
        <w:tc>
          <w:tcPr>
            <w:tcW w:type="dxa" w:w="825"/>
          </w:tcPr>
          <w:p>
            <w:pPr>
              <w:spacing w:line="240" w:lineRule="auto" w:after="0" w:before="0"/>
            </w:pPr>
            <w:r/>
            <w:r>
              <w:rPr>
                <w:sz w:val="16"/>
              </w:rPr>
              <w:t>with biochemistry + CBC: 5924</w:t>
            </w:r>
          </w:p>
        </w:tc>
        <w:tc>
          <w:tcPr>
            <w:tcW w:type="dxa" w:w="825"/>
          </w:tcPr>
          <w:p>
            <w:pPr>
              <w:spacing w:line="240" w:lineRule="auto" w:after="0" w:before="0"/>
            </w:pPr>
            <w:r/>
            <w:r>
              <w:rPr>
                <w:sz w:val="16"/>
              </w:rPr>
              <w:t>see run log participants</w:t>
            </w:r>
          </w:p>
        </w:tc>
        <w:tc>
          <w:tcPr>
            <w:tcW w:type="dxa" w:w="825"/>
          </w:tcPr>
          <w:p>
            <w:pPr>
              <w:spacing w:line="240" w:lineRule="auto" w:after="0" w:before="0"/>
            </w:pPr>
            <w:r/>
            <w:r>
              <w:rPr>
                <w:sz w:val="16"/>
              </w:rPr>
              <w:t>median 47 (IQR 32–62)</w:t>
            </w:r>
          </w:p>
        </w:tc>
        <w:tc>
          <w:tcPr>
            <w:tcW w:type="dxa" w:w="825"/>
          </w:tcPr>
          <w:p>
            <w:pPr>
              <w:spacing w:line="240" w:lineRule="auto" w:after="0" w:before="0"/>
            </w:pPr>
            <w:r/>
            <w:r>
              <w:rPr>
                <w:sz w:val="16"/>
              </w:rPr>
              <w:t>52.3%</w:t>
            </w:r>
          </w:p>
        </w:tc>
        <w:tc>
          <w:tcPr>
            <w:tcW w:type="dxa" w:w="825"/>
          </w:tcPr>
          <w:p>
            <w:pPr>
              <w:spacing w:line="240" w:lineRule="auto" w:after="0" w:before="0"/>
            </w:pPr>
            <w:r/>
            <w:r>
              <w:rPr>
                <w:sz w:val="16"/>
              </w:rPr>
              <w:t>≈18–25 analytes (BIOPRO, CBC, GHB, GLU, FERTIN/FETIB, HDL/TRIGLY, ALB_CR)</w:t>
            </w:r>
          </w:p>
        </w:tc>
        <w:tc>
          <w:tcPr>
            <w:tcW w:type="dxa" w:w="825"/>
          </w:tcPr>
          <w:p>
            <w:pPr>
              <w:spacing w:line="240" w:lineRule="auto" w:after="0" w:before="0"/>
            </w:pPr>
            <w:r/>
            <w:r>
              <w:rPr>
                <w:sz w:val="16"/>
              </w:rPr>
              <w:t>self-report (DIQ/MCQ/KIQ) + measured HbA1c/eGFR/Hb criteria</w:t>
            </w:r>
          </w:p>
        </w:tc>
        <w:tc>
          <w:tcPr>
            <w:tcW w:type="dxa" w:w="825"/>
          </w:tcPr>
          <w:p>
            <w:pPr>
              <w:spacing w:line="240" w:lineRule="auto" w:after="0" w:before="0"/>
            </w:pPr>
            <w:r/>
            <w:r>
              <w:rPr>
                <w:sz w:val="16"/>
              </w:rPr>
              <w:t>held-out (no tuning on any cycle); 2017–18 used first, 2005–16 added as temporal external validation</w:t>
            </w:r>
          </w:p>
        </w:tc>
      </w:tr>
      <w:tr>
        <w:trPr>
          <w:cantSplit/>
        </w:trPr>
        <w:tc>
          <w:tcPr>
            <w:tcW w:type="dxa" w:w="825"/>
          </w:tcPr>
          <w:p>
            <w:pPr>
              <w:spacing w:line="240" w:lineRule="auto" w:after="0" w:before="0"/>
            </w:pPr>
            <w:r/>
            <w:r>
              <w:rPr>
                <w:sz w:val="16"/>
              </w:rPr>
              <w:t>NHANES 2015–2016</w:t>
            </w:r>
          </w:p>
        </w:tc>
        <w:tc>
          <w:tcPr>
            <w:tcW w:type="dxa" w:w="825"/>
          </w:tcPr>
          <w:p>
            <w:pPr>
              <w:spacing w:line="240" w:lineRule="auto" w:after="0" w:before="0"/>
            </w:pPr>
            <w:r/>
            <w:r>
              <w:rPr>
                <w:sz w:val="16"/>
              </w:rPr>
              <w:t>US civilian non-institutionalised population, mobile exam centre</w:t>
            </w:r>
          </w:p>
        </w:tc>
        <w:tc>
          <w:tcPr>
            <w:tcW w:type="dxa" w:w="825"/>
          </w:tcPr>
          <w:p>
            <w:pPr>
              <w:spacing w:line="240" w:lineRule="auto" w:after="0" w:before="0"/>
            </w:pPr>
            <w:r/>
            <w:r>
              <w:rPr>
                <w:sz w:val="16"/>
              </w:rPr>
              <w:t>examined: 9971</w:t>
            </w:r>
          </w:p>
        </w:tc>
        <w:tc>
          <w:tcPr>
            <w:tcW w:type="dxa" w:w="825"/>
          </w:tcPr>
          <w:p>
            <w:pPr>
              <w:spacing w:line="240" w:lineRule="auto" w:after="0" w:before="0"/>
            </w:pPr>
            <w:r/>
            <w:r>
              <w:rPr>
                <w:sz w:val="16"/>
              </w:rPr>
              <w:t>age ≥18: 5992</w:t>
            </w:r>
          </w:p>
        </w:tc>
        <w:tc>
          <w:tcPr>
            <w:tcW w:type="dxa" w:w="825"/>
          </w:tcPr>
          <w:p>
            <w:pPr>
              <w:spacing w:line="240" w:lineRule="auto" w:after="0" w:before="0"/>
            </w:pPr>
            <w:r/>
            <w:r>
              <w:rPr>
                <w:sz w:val="16"/>
              </w:rPr>
              <w:t>with biochemistry + CBC: 5735</w:t>
            </w:r>
          </w:p>
        </w:tc>
        <w:tc>
          <w:tcPr>
            <w:tcW w:type="dxa" w:w="825"/>
          </w:tcPr>
          <w:p>
            <w:pPr>
              <w:spacing w:line="240" w:lineRule="auto" w:after="0" w:before="0"/>
            </w:pPr>
            <w:r/>
            <w:r>
              <w:rPr>
                <w:sz w:val="16"/>
              </w:rPr>
              <w:t>see run log participants</w:t>
            </w:r>
          </w:p>
        </w:tc>
        <w:tc>
          <w:tcPr>
            <w:tcW w:type="dxa" w:w="825"/>
          </w:tcPr>
          <w:p>
            <w:pPr>
              <w:spacing w:line="240" w:lineRule="auto" w:after="0" w:before="0"/>
            </w:pPr>
            <w:r/>
            <w:r>
              <w:rPr>
                <w:sz w:val="16"/>
              </w:rPr>
              <w:t>median 48 (IQR 32–63)</w:t>
            </w:r>
          </w:p>
        </w:tc>
        <w:tc>
          <w:tcPr>
            <w:tcW w:type="dxa" w:w="825"/>
          </w:tcPr>
          <w:p>
            <w:pPr>
              <w:spacing w:line="240" w:lineRule="auto" w:after="0" w:before="0"/>
            </w:pPr>
            <w:r/>
            <w:r>
              <w:rPr>
                <w:sz w:val="16"/>
              </w:rPr>
              <w:t>51.9%</w:t>
            </w:r>
          </w:p>
        </w:tc>
        <w:tc>
          <w:tcPr>
            <w:tcW w:type="dxa" w:w="825"/>
          </w:tcPr>
          <w:p>
            <w:pPr>
              <w:spacing w:line="240" w:lineRule="auto" w:after="0" w:before="0"/>
            </w:pPr>
            <w:r/>
            <w:r>
              <w:rPr>
                <w:sz w:val="16"/>
              </w:rPr>
              <w:t>≈18–25 analytes (BIOPRO, CBC, GHB, GLU, FERTIN/FETIB, HDL/TRIGLY, ALB_CR)</w:t>
            </w:r>
          </w:p>
        </w:tc>
        <w:tc>
          <w:tcPr>
            <w:tcW w:type="dxa" w:w="825"/>
          </w:tcPr>
          <w:p>
            <w:pPr>
              <w:spacing w:line="240" w:lineRule="auto" w:after="0" w:before="0"/>
            </w:pPr>
            <w:r/>
            <w:r>
              <w:rPr>
                <w:sz w:val="16"/>
              </w:rPr>
              <w:t>self-report (DIQ/MCQ/KIQ) + measured HbA1c/eGFR/Hb criteria</w:t>
            </w:r>
          </w:p>
        </w:tc>
        <w:tc>
          <w:tcPr>
            <w:tcW w:type="dxa" w:w="825"/>
          </w:tcPr>
          <w:p>
            <w:pPr>
              <w:spacing w:line="240" w:lineRule="auto" w:after="0" w:before="0"/>
            </w:pPr>
            <w:r/>
            <w:r>
              <w:rPr>
                <w:sz w:val="16"/>
              </w:rPr>
              <w:t>held-out (no tuning on any cycle); 2017–18 used first, 2005–16 added as temporal external validation</w:t>
            </w:r>
          </w:p>
        </w:tc>
      </w:tr>
      <w:tr>
        <w:trPr>
          <w:cantSplit/>
        </w:trPr>
        <w:tc>
          <w:tcPr>
            <w:tcW w:type="dxa" w:w="825"/>
          </w:tcPr>
          <w:p>
            <w:pPr>
              <w:spacing w:line="240" w:lineRule="auto" w:after="0" w:before="0"/>
            </w:pPr>
            <w:r/>
            <w:r>
              <w:rPr>
                <w:sz w:val="16"/>
              </w:rPr>
              <w:t>NHANES 2017–2018</w:t>
            </w:r>
          </w:p>
        </w:tc>
        <w:tc>
          <w:tcPr>
            <w:tcW w:type="dxa" w:w="825"/>
          </w:tcPr>
          <w:p>
            <w:pPr>
              <w:spacing w:line="240" w:lineRule="auto" w:after="0" w:before="0"/>
            </w:pPr>
            <w:r/>
            <w:r>
              <w:rPr>
                <w:sz w:val="16"/>
              </w:rPr>
              <w:t>US civilian non-institutionalised population, mobile exam centre</w:t>
            </w:r>
          </w:p>
        </w:tc>
        <w:tc>
          <w:tcPr>
            <w:tcW w:type="dxa" w:w="825"/>
          </w:tcPr>
          <w:p>
            <w:pPr>
              <w:spacing w:line="240" w:lineRule="auto" w:after="0" w:before="0"/>
            </w:pPr>
            <w:r/>
            <w:r>
              <w:rPr>
                <w:sz w:val="16"/>
              </w:rPr>
              <w:t>examined: 9254</w:t>
            </w:r>
          </w:p>
        </w:tc>
        <w:tc>
          <w:tcPr>
            <w:tcW w:type="dxa" w:w="825"/>
          </w:tcPr>
          <w:p>
            <w:pPr>
              <w:spacing w:line="240" w:lineRule="auto" w:after="0" w:before="0"/>
            </w:pPr>
            <w:r/>
            <w:r>
              <w:rPr>
                <w:sz w:val="16"/>
              </w:rPr>
              <w:t>age ≥18: 5856</w:t>
            </w:r>
          </w:p>
        </w:tc>
        <w:tc>
          <w:tcPr>
            <w:tcW w:type="dxa" w:w="825"/>
          </w:tcPr>
          <w:p>
            <w:pPr>
              <w:spacing w:line="240" w:lineRule="auto" w:after="0" w:before="0"/>
            </w:pPr>
            <w:r/>
            <w:r>
              <w:rPr>
                <w:sz w:val="16"/>
              </w:rPr>
              <w:t>with biochemistry + CBC: 5533</w:t>
            </w:r>
          </w:p>
        </w:tc>
        <w:tc>
          <w:tcPr>
            <w:tcW w:type="dxa" w:w="825"/>
          </w:tcPr>
          <w:p>
            <w:pPr>
              <w:spacing w:line="240" w:lineRule="auto" w:after="0" w:before="0"/>
            </w:pPr>
            <w:r/>
            <w:r>
              <w:rPr>
                <w:sz w:val="16"/>
              </w:rPr>
              <w:t>see run log participants</w:t>
            </w:r>
          </w:p>
        </w:tc>
        <w:tc>
          <w:tcPr>
            <w:tcW w:type="dxa" w:w="825"/>
          </w:tcPr>
          <w:p>
            <w:pPr>
              <w:spacing w:line="240" w:lineRule="auto" w:after="0" w:before="0"/>
            </w:pPr>
            <w:r/>
            <w:r>
              <w:rPr>
                <w:sz w:val="16"/>
              </w:rPr>
              <w:t>median 51 (IQR 33–65)</w:t>
            </w:r>
          </w:p>
        </w:tc>
        <w:tc>
          <w:tcPr>
            <w:tcW w:type="dxa" w:w="825"/>
          </w:tcPr>
          <w:p>
            <w:pPr>
              <w:spacing w:line="240" w:lineRule="auto" w:after="0" w:before="0"/>
            </w:pPr>
            <w:r/>
            <w:r>
              <w:rPr>
                <w:sz w:val="16"/>
              </w:rPr>
              <w:t>51.7%</w:t>
            </w:r>
          </w:p>
        </w:tc>
        <w:tc>
          <w:tcPr>
            <w:tcW w:type="dxa" w:w="825"/>
          </w:tcPr>
          <w:p>
            <w:pPr>
              <w:spacing w:line="240" w:lineRule="auto" w:after="0" w:before="0"/>
            </w:pPr>
            <w:r/>
            <w:r>
              <w:rPr>
                <w:sz w:val="16"/>
              </w:rPr>
              <w:t>≈18–25 analytes (BIOPRO, CBC, GHB, GLU, FERTIN/FETIB, HDL/TRIGLY, ALB_CR)</w:t>
            </w:r>
          </w:p>
        </w:tc>
        <w:tc>
          <w:tcPr>
            <w:tcW w:type="dxa" w:w="825"/>
          </w:tcPr>
          <w:p>
            <w:pPr>
              <w:spacing w:line="240" w:lineRule="auto" w:after="0" w:before="0"/>
            </w:pPr>
            <w:r/>
            <w:r>
              <w:rPr>
                <w:sz w:val="16"/>
              </w:rPr>
              <w:t>self-report (DIQ/MCQ/KIQ) + measured HbA1c/eGFR/Hb criteria</w:t>
            </w:r>
          </w:p>
        </w:tc>
        <w:tc>
          <w:tcPr>
            <w:tcW w:type="dxa" w:w="825"/>
          </w:tcPr>
          <w:p>
            <w:pPr>
              <w:spacing w:line="240" w:lineRule="auto" w:after="0" w:before="0"/>
            </w:pPr>
            <w:r/>
            <w:r>
              <w:rPr>
                <w:sz w:val="16"/>
              </w:rPr>
              <w:t>held-out (no tuning on any cycle); 2017–18 used first, 2005–16 added as temporal external validation</w:t>
            </w:r>
          </w:p>
        </w:tc>
      </w:tr>
      <w:tr>
        <w:trPr>
          <w:cantSplit/>
        </w:trPr>
        <w:tc>
          <w:tcPr>
            <w:tcW w:type="dxa" w:w="825"/>
          </w:tcPr>
          <w:p>
            <w:pPr>
              <w:spacing w:line="240" w:lineRule="auto" w:after="0" w:before="0"/>
            </w:pPr>
            <w:r/>
            <w:r>
              <w:rPr>
                <w:sz w:val="16"/>
              </w:rPr>
              <w:t>UCI HCV (Hoffmann 2018)</w:t>
            </w:r>
          </w:p>
        </w:tc>
        <w:tc>
          <w:tcPr>
            <w:tcW w:type="dxa" w:w="825"/>
          </w:tcPr>
          <w:p>
            <w:pPr>
              <w:spacing w:line="240" w:lineRule="auto" w:after="0" w:before="0"/>
            </w:pPr>
            <w:r/>
            <w:r>
              <w:rPr>
                <w:sz w:val="16"/>
              </w:rPr>
              <w:t>615 blood donors / hepatitis C patients, Germany</w:t>
            </w:r>
          </w:p>
        </w:tc>
        <w:tc>
          <w:tcPr>
            <w:tcW w:type="dxa" w:w="825"/>
          </w:tcPr>
          <w:p>
            <w:pPr>
              <w:spacing w:line="240" w:lineRule="auto" w:after="0" w:before="0"/>
            </w:pPr>
            <w:r/>
            <w:r>
              <w:rPr>
                <w:sz w:val="16"/>
              </w:rPr>
              <w:t>all records</w:t>
            </w:r>
          </w:p>
        </w:tc>
        <w:tc>
          <w:tcPr>
            <w:tcW w:type="dxa" w:w="825"/>
          </w:tcPr>
          <w:p>
            <w:pPr>
              <w:spacing w:line="240" w:lineRule="auto" w:after="0" w:before="0"/>
            </w:pPr>
            <w:r/>
            <w:r>
              <w:rPr>
                <w:sz w:val="16"/>
              </w:rPr>
              <w:t>complete key analytes</w:t>
            </w:r>
          </w:p>
        </w:tc>
        <w:tc>
          <w:tcPr>
            <w:tcW w:type="dxa" w:w="825"/>
          </w:tcPr>
          <w:p>
            <w:pPr>
              <w:spacing w:line="240" w:lineRule="auto" w:after="0" w:before="0"/>
            </w:pPr>
            <w:r/>
            <w:r>
              <w:rPr>
                <w:sz w:val="16"/>
              </w:rPr>
              <w:t>—</w:t>
            </w:r>
          </w:p>
        </w:tc>
        <w:tc>
          <w:tcPr>
            <w:tcW w:type="dxa" w:w="825"/>
          </w:tcPr>
          <w:p>
            <w:pPr>
              <w:spacing w:line="240" w:lineRule="auto" w:after="0" w:before="0"/>
            </w:pPr>
            <w:r/>
            <w:r>
              <w:rPr>
                <w:sz w:val="16"/>
              </w:rPr>
              <w:t>615 records</w:t>
            </w:r>
          </w:p>
        </w:tc>
        <w:tc>
          <w:tcPr>
            <w:tcW w:type="dxa" w:w="825"/>
          </w:tcPr>
          <w:p>
            <w:pPr>
              <w:spacing w:line="240" w:lineRule="auto" w:after="0" w:before="0"/>
            </w:pPr>
            <w:r/>
            <w:r>
              <w:rPr>
                <w:sz w:val="16"/>
              </w:rPr>
              <w:t>see dataset</w:t>
            </w:r>
          </w:p>
        </w:tc>
        <w:tc>
          <w:tcPr>
            <w:tcW w:type="dxa" w:w="825"/>
          </w:tcPr>
          <w:p>
            <w:pPr>
              <w:spacing w:line="240" w:lineRule="auto" w:after="0" w:before="0"/>
            </w:pPr>
            <w:r/>
            <w:r>
              <w:rPr>
                <w:sz w:val="16"/>
              </w:rPr>
              <w:t>see dataset</w:t>
            </w:r>
          </w:p>
        </w:tc>
        <w:tc>
          <w:tcPr>
            <w:tcW w:type="dxa" w:w="825"/>
          </w:tcPr>
          <w:p>
            <w:pPr>
              <w:spacing w:line="240" w:lineRule="auto" w:after="0" w:before="0"/>
            </w:pPr>
            <w:r/>
            <w:r>
              <w:rPr>
                <w:sz w:val="16"/>
              </w:rPr>
              <w:t>4–10 analytes</w:t>
            </w:r>
          </w:p>
        </w:tc>
        <w:tc>
          <w:tcPr>
            <w:tcW w:type="dxa" w:w="825"/>
          </w:tcPr>
          <w:p>
            <w:pPr>
              <w:spacing w:line="240" w:lineRule="auto" w:after="0" w:before="0"/>
            </w:pPr>
            <w:r/>
            <w:r>
              <w:rPr>
                <w:sz w:val="16"/>
              </w:rPr>
              <w:t>clinical category (donor / hepatitis / fibrosis / cirrhosis)</w:t>
            </w:r>
          </w:p>
        </w:tc>
        <w:tc>
          <w:tcPr>
            <w:tcW w:type="dxa" w:w="825"/>
          </w:tcPr>
          <w:p>
            <w:pPr>
              <w:spacing w:line="240" w:lineRule="auto" w:after="0" w:before="0"/>
            </w:pPr>
            <w:r/>
            <w:r>
              <w:rPr>
                <w:sz w:val="16"/>
              </w:rPr>
              <w:t>held-out, single pass</w:t>
            </w:r>
          </w:p>
        </w:tc>
      </w:tr>
      <w:tr>
        <w:trPr>
          <w:cantSplit/>
        </w:trPr>
        <w:tc>
          <w:tcPr>
            <w:tcW w:type="dxa" w:w="825"/>
          </w:tcPr>
          <w:p>
            <w:pPr>
              <w:spacing w:line="240" w:lineRule="auto" w:after="0" w:before="0"/>
            </w:pPr>
            <w:r/>
            <w:r>
              <w:rPr>
                <w:sz w:val="16"/>
              </w:rPr>
              <w:t>ILPD Indian Liver Patient Dataset</w:t>
            </w:r>
          </w:p>
        </w:tc>
        <w:tc>
          <w:tcPr>
            <w:tcW w:type="dxa" w:w="825"/>
          </w:tcPr>
          <w:p>
            <w:pPr>
              <w:spacing w:line="240" w:lineRule="auto" w:after="0" w:before="0"/>
            </w:pPr>
            <w:r/>
            <w:r>
              <w:rPr>
                <w:sz w:val="16"/>
              </w:rPr>
              <w:t>583 patients, Andhra Pradesh</w:t>
            </w:r>
          </w:p>
        </w:tc>
        <w:tc>
          <w:tcPr>
            <w:tcW w:type="dxa" w:w="825"/>
          </w:tcPr>
          <w:p>
            <w:pPr>
              <w:spacing w:line="240" w:lineRule="auto" w:after="0" w:before="0"/>
            </w:pPr>
            <w:r/>
            <w:r>
              <w:rPr>
                <w:sz w:val="16"/>
              </w:rPr>
              <w:t>all records</w:t>
            </w:r>
          </w:p>
        </w:tc>
        <w:tc>
          <w:tcPr>
            <w:tcW w:type="dxa" w:w="825"/>
          </w:tcPr>
          <w:p>
            <w:pPr>
              <w:spacing w:line="240" w:lineRule="auto" w:after="0" w:before="0"/>
            </w:pPr>
            <w:r/>
            <w:r>
              <w:rPr>
                <w:sz w:val="16"/>
              </w:rPr>
              <w:t>complete key analytes</w:t>
            </w:r>
          </w:p>
        </w:tc>
        <w:tc>
          <w:tcPr>
            <w:tcW w:type="dxa" w:w="825"/>
          </w:tcPr>
          <w:p>
            <w:pPr>
              <w:spacing w:line="240" w:lineRule="auto" w:after="0" w:before="0"/>
            </w:pPr>
            <w:r/>
            <w:r>
              <w:rPr>
                <w:sz w:val="16"/>
              </w:rPr>
              <w:t>—</w:t>
            </w:r>
          </w:p>
        </w:tc>
        <w:tc>
          <w:tcPr>
            <w:tcW w:type="dxa" w:w="825"/>
          </w:tcPr>
          <w:p>
            <w:pPr>
              <w:spacing w:line="240" w:lineRule="auto" w:after="0" w:before="0"/>
            </w:pPr>
            <w:r/>
            <w:r>
              <w:rPr>
                <w:sz w:val="16"/>
              </w:rPr>
              <w:t>583 records</w:t>
            </w:r>
          </w:p>
        </w:tc>
        <w:tc>
          <w:tcPr>
            <w:tcW w:type="dxa" w:w="825"/>
          </w:tcPr>
          <w:p>
            <w:pPr>
              <w:spacing w:line="240" w:lineRule="auto" w:after="0" w:before="0"/>
            </w:pPr>
            <w:r/>
            <w:r>
              <w:rPr>
                <w:sz w:val="16"/>
              </w:rPr>
              <w:t>see dataset</w:t>
            </w:r>
          </w:p>
        </w:tc>
        <w:tc>
          <w:tcPr>
            <w:tcW w:type="dxa" w:w="825"/>
          </w:tcPr>
          <w:p>
            <w:pPr>
              <w:spacing w:line="240" w:lineRule="auto" w:after="0" w:before="0"/>
            </w:pPr>
            <w:r/>
            <w:r>
              <w:rPr>
                <w:sz w:val="16"/>
              </w:rPr>
              <w:t>see dataset</w:t>
            </w:r>
          </w:p>
        </w:tc>
        <w:tc>
          <w:tcPr>
            <w:tcW w:type="dxa" w:w="825"/>
          </w:tcPr>
          <w:p>
            <w:pPr>
              <w:spacing w:line="240" w:lineRule="auto" w:after="0" w:before="0"/>
            </w:pPr>
            <w:r/>
            <w:r>
              <w:rPr>
                <w:sz w:val="16"/>
              </w:rPr>
              <w:t>4–10 analytes</w:t>
            </w:r>
          </w:p>
        </w:tc>
        <w:tc>
          <w:tcPr>
            <w:tcW w:type="dxa" w:w="825"/>
          </w:tcPr>
          <w:p>
            <w:pPr>
              <w:spacing w:line="240" w:lineRule="auto" w:after="0" w:before="0"/>
            </w:pPr>
            <w:r/>
            <w:r>
              <w:rPr>
                <w:sz w:val="16"/>
              </w:rPr>
              <w:t>liver patient yes/no</w:t>
            </w:r>
          </w:p>
        </w:tc>
        <w:tc>
          <w:tcPr>
            <w:tcW w:type="dxa" w:w="825"/>
          </w:tcPr>
          <w:p>
            <w:pPr>
              <w:spacing w:line="240" w:lineRule="auto" w:after="0" w:before="0"/>
            </w:pPr>
            <w:r/>
            <w:r>
              <w:rPr>
                <w:sz w:val="16"/>
              </w:rPr>
              <w:t>held-out, single pass</w:t>
            </w:r>
          </w:p>
        </w:tc>
      </w:tr>
      <w:tr>
        <w:trPr>
          <w:cantSplit/>
        </w:trPr>
        <w:tc>
          <w:tcPr>
            <w:tcW w:type="dxa" w:w="825"/>
          </w:tcPr>
          <w:p>
            <w:pPr>
              <w:spacing w:line="240" w:lineRule="auto" w:after="0" w:before="0"/>
            </w:pPr>
            <w:r/>
            <w:r>
              <w:rPr>
                <w:sz w:val="16"/>
              </w:rPr>
              <w:t>UCI Thyroid (Garavan)</w:t>
            </w:r>
          </w:p>
        </w:tc>
        <w:tc>
          <w:tcPr>
            <w:tcW w:type="dxa" w:w="825"/>
          </w:tcPr>
          <w:p>
            <w:pPr>
              <w:spacing w:line="240" w:lineRule="auto" w:after="0" w:before="0"/>
            </w:pPr>
            <w:r/>
            <w:r>
              <w:rPr>
                <w:sz w:val="16"/>
              </w:rPr>
              <w:t>Garvan Institute, 1980s</w:t>
            </w:r>
          </w:p>
        </w:tc>
        <w:tc>
          <w:tcPr>
            <w:tcW w:type="dxa" w:w="825"/>
          </w:tcPr>
          <w:p>
            <w:pPr>
              <w:spacing w:line="240" w:lineRule="auto" w:after="0" w:before="0"/>
            </w:pPr>
            <w:r/>
            <w:r>
              <w:rPr>
                <w:sz w:val="16"/>
              </w:rPr>
              <w:t>all records</w:t>
            </w:r>
          </w:p>
        </w:tc>
        <w:tc>
          <w:tcPr>
            <w:tcW w:type="dxa" w:w="825"/>
          </w:tcPr>
          <w:p>
            <w:pPr>
              <w:spacing w:line="240" w:lineRule="auto" w:after="0" w:before="0"/>
            </w:pPr>
            <w:r/>
            <w:r>
              <w:rPr>
                <w:sz w:val="16"/>
              </w:rPr>
              <w:t>complete key analytes</w:t>
            </w:r>
          </w:p>
        </w:tc>
        <w:tc>
          <w:tcPr>
            <w:tcW w:type="dxa" w:w="825"/>
          </w:tcPr>
          <w:p>
            <w:pPr>
              <w:spacing w:line="240" w:lineRule="auto" w:after="0" w:before="0"/>
            </w:pPr>
            <w:r/>
            <w:r>
              <w:rPr>
                <w:sz w:val="16"/>
              </w:rPr>
              <w:t>—</w:t>
            </w:r>
          </w:p>
        </w:tc>
        <w:tc>
          <w:tcPr>
            <w:tcW w:type="dxa" w:w="825"/>
          </w:tcPr>
          <w:p>
            <w:pPr>
              <w:spacing w:line="240" w:lineRule="auto" w:after="0" w:before="0"/>
            </w:pPr>
            <w:r/>
            <w:r>
              <w:rPr>
                <w:sz w:val="16"/>
              </w:rPr>
              <w:t>3162 records</w:t>
            </w:r>
          </w:p>
        </w:tc>
        <w:tc>
          <w:tcPr>
            <w:tcW w:type="dxa" w:w="825"/>
          </w:tcPr>
          <w:p>
            <w:pPr>
              <w:spacing w:line="240" w:lineRule="auto" w:after="0" w:before="0"/>
            </w:pPr>
            <w:r/>
            <w:r>
              <w:rPr>
                <w:sz w:val="16"/>
              </w:rPr>
              <w:t>see dataset</w:t>
            </w:r>
          </w:p>
        </w:tc>
        <w:tc>
          <w:tcPr>
            <w:tcW w:type="dxa" w:w="825"/>
          </w:tcPr>
          <w:p>
            <w:pPr>
              <w:spacing w:line="240" w:lineRule="auto" w:after="0" w:before="0"/>
            </w:pPr>
            <w:r/>
            <w:r>
              <w:rPr>
                <w:sz w:val="16"/>
              </w:rPr>
              <w:t>see dataset</w:t>
            </w:r>
          </w:p>
        </w:tc>
        <w:tc>
          <w:tcPr>
            <w:tcW w:type="dxa" w:w="825"/>
          </w:tcPr>
          <w:p>
            <w:pPr>
              <w:spacing w:line="240" w:lineRule="auto" w:after="0" w:before="0"/>
            </w:pPr>
            <w:r/>
            <w:r>
              <w:rPr>
                <w:sz w:val="16"/>
              </w:rPr>
              <w:t>4–10 analytes</w:t>
            </w:r>
          </w:p>
        </w:tc>
        <w:tc>
          <w:tcPr>
            <w:tcW w:type="dxa" w:w="825"/>
          </w:tcPr>
          <w:p>
            <w:pPr>
              <w:spacing w:line="240" w:lineRule="auto" w:after="0" w:before="0"/>
            </w:pPr>
            <w:r/>
            <w:r>
              <w:rPr>
                <w:sz w:val="16"/>
              </w:rPr>
              <w:t>hypo/hyper-thyroid classes</w:t>
            </w:r>
          </w:p>
        </w:tc>
        <w:tc>
          <w:tcPr>
            <w:tcW w:type="dxa" w:w="825"/>
          </w:tcPr>
          <w:p>
            <w:pPr>
              <w:spacing w:line="240" w:lineRule="auto" w:after="0" w:before="0"/>
            </w:pPr>
            <w:r/>
            <w:r>
              <w:rPr>
                <w:sz w:val="16"/>
              </w:rPr>
              <w:t>held-out, single pass</w:t>
            </w:r>
          </w:p>
        </w:tc>
      </w:tr>
    </w:tbl>
    <w:p/>
    <w:tbl>
      <w:tblPr>
        <w:tblStyle w:val="TableGrid"/>
        <w:tblW w:type="auto" w:w="0"/>
        <w:jc w:val="center"/>
        <w:tblLook w:firstColumn="1" w:firstRow="1" w:lastColumn="0" w:lastRow="0" w:noHBand="0" w:noVBand="1" w:val="04A0"/>
      </w:tblPr>
      <w:tblGrid>
        <w:gridCol w:w="825"/>
        <w:gridCol w:w="825"/>
        <w:gridCol w:w="825"/>
        <w:gridCol w:w="825"/>
        <w:gridCol w:w="825"/>
        <w:gridCol w:w="825"/>
        <w:gridCol w:w="825"/>
        <w:gridCol w:w="825"/>
        <w:gridCol w:w="825"/>
        <w:gridCol w:w="825"/>
        <w:gridCol w:w="825"/>
      </w:tblGrid>
      <w:tr>
        <w:trPr>
          <w:cantSplit/>
          <w:tblHeader/>
        </w:trPr>
        <w:tc>
          <w:tcPr>
            <w:tcW w:type="dxa" w:w="825"/>
            <w:shd w:val="clear" w:fill="F2F2F2"/>
          </w:tcPr>
          <w:p>
            <w:pPr>
              <w:spacing w:line="240" w:lineRule="auto" w:after="0" w:before="0"/>
            </w:pPr>
            <w:r>
              <w:rPr>
                <w:b/>
              </w:rPr>
            </w:r>
            <w:r>
              <w:rPr>
                <w:b/>
                <w:sz w:val="16"/>
              </w:rPr>
              <w:t>PhysioNet/CinC Sepsis 2019 (training set A, every 4th file)</w:t>
            </w:r>
          </w:p>
        </w:tc>
        <w:tc>
          <w:tcPr>
            <w:tcW w:type="dxa" w:w="825"/>
            <w:shd w:val="clear" w:fill="F2F2F2"/>
          </w:tcPr>
          <w:p>
            <w:pPr>
              <w:spacing w:line="240" w:lineRule="auto" w:after="0" w:before="0"/>
            </w:pPr>
            <w:r>
              <w:rPr>
                <w:b/>
              </w:rPr>
            </w:r>
            <w:r>
              <w:rPr>
                <w:b/>
                <w:sz w:val="16"/>
              </w:rPr>
              <w:t>US ICU hourly records (Reyna 2020)</w:t>
            </w:r>
          </w:p>
        </w:tc>
        <w:tc>
          <w:tcPr>
            <w:tcW w:type="dxa" w:w="825"/>
            <w:shd w:val="clear" w:fill="F2F2F2"/>
          </w:tcPr>
          <w:p>
            <w:pPr>
              <w:spacing w:line="240" w:lineRule="auto" w:after="0" w:before="0"/>
            </w:pPr>
            <w:r>
              <w:rPr>
                <w:b/>
              </w:rPr>
            </w:r>
            <w:r>
              <w:rPr>
                <w:b/>
                <w:sz w:val="16"/>
              </w:rPr>
              <w:t>files sampled: 4937</w:t>
            </w:r>
          </w:p>
        </w:tc>
        <w:tc>
          <w:tcPr>
            <w:tcW w:type="dxa" w:w="825"/>
            <w:shd w:val="clear" w:fill="F2F2F2"/>
          </w:tcPr>
          <w:p>
            <w:pPr>
              <w:spacing w:line="240" w:lineRule="auto" w:after="0" w:before="0"/>
            </w:pPr>
            <w:r>
              <w:rPr>
                <w:b/>
              </w:rPr>
            </w:r>
            <w:r>
              <w:rPr>
                <w:b/>
                <w:sz w:val="16"/>
              </w:rPr>
              <w:t>≥3 lab analytes in ICU h 1–24: 4843</w:t>
            </w:r>
          </w:p>
        </w:tc>
        <w:tc>
          <w:tcPr>
            <w:tcW w:type="dxa" w:w="825"/>
            <w:shd w:val="clear" w:fill="F2F2F2"/>
          </w:tcPr>
          <w:p>
            <w:pPr>
              <w:spacing w:line="240" w:lineRule="auto" w:after="0" w:before="0"/>
            </w:pPr>
            <w:r>
              <w:rPr>
                <w:b/>
              </w:rPr>
            </w:r>
            <w:r>
              <w:rPr>
                <w:b/>
                <w:sz w:val="16"/>
              </w:rPr>
              <w:t>—</w:t>
            </w:r>
          </w:p>
        </w:tc>
        <w:tc>
          <w:tcPr>
            <w:tcW w:type="dxa" w:w="825"/>
            <w:shd w:val="clear" w:fill="F2F2F2"/>
          </w:tcPr>
          <w:p>
            <w:pPr>
              <w:spacing w:line="240" w:lineRule="auto" w:after="0" w:before="0"/>
            </w:pPr>
            <w:r>
              <w:rPr>
                <w:b/>
              </w:rPr>
            </w:r>
            <w:r>
              <w:rPr>
                <w:b/>
                <w:sz w:val="16"/>
              </w:rPr>
              <w:t>4843 patients (438 Sepsis-3 at any hour)</w:t>
            </w:r>
          </w:p>
        </w:tc>
        <w:tc>
          <w:tcPr>
            <w:tcW w:type="dxa" w:w="825"/>
            <w:shd w:val="clear" w:fill="F2F2F2"/>
          </w:tcPr>
          <w:p>
            <w:pPr>
              <w:spacing w:line="240" w:lineRule="auto" w:after="0" w:before="0"/>
            </w:pPr>
            <w:r>
              <w:rPr>
                <w:b/>
              </w:rPr>
            </w:r>
            <w:r>
              <w:rPr>
                <w:b/>
                <w:sz w:val="16"/>
              </w:rPr>
              <w:t>see dataset</w:t>
            </w:r>
          </w:p>
        </w:tc>
        <w:tc>
          <w:tcPr>
            <w:tcW w:type="dxa" w:w="825"/>
            <w:shd w:val="clear" w:fill="F2F2F2"/>
          </w:tcPr>
          <w:p>
            <w:pPr>
              <w:spacing w:line="240" w:lineRule="auto" w:after="0" w:before="0"/>
            </w:pPr>
            <w:r>
              <w:rPr>
                <w:b/>
              </w:rPr>
            </w:r>
            <w:r>
              <w:rPr>
                <w:b/>
                <w:sz w:val="16"/>
              </w:rPr>
              <w:t>see dataset</w:t>
            </w:r>
          </w:p>
        </w:tc>
        <w:tc>
          <w:tcPr>
            <w:tcW w:type="dxa" w:w="825"/>
            <w:shd w:val="clear" w:fill="F2F2F2"/>
          </w:tcPr>
          <w:p>
            <w:pPr>
              <w:spacing w:line="240" w:lineRule="auto" w:after="0" w:before="0"/>
            </w:pPr>
            <w:r>
              <w:rPr>
                <w:b/>
              </w:rPr>
            </w:r>
            <w:r>
              <w:rPr>
                <w:b/>
                <w:sz w:val="16"/>
              </w:rPr>
              <w:t>labs of first 24 h + temperature</w:t>
            </w:r>
          </w:p>
        </w:tc>
        <w:tc>
          <w:tcPr>
            <w:tcW w:type="dxa" w:w="825"/>
            <w:shd w:val="clear" w:fill="F2F2F2"/>
          </w:tcPr>
          <w:p>
            <w:pPr>
              <w:spacing w:line="240" w:lineRule="auto" w:after="0" w:before="0"/>
            </w:pPr>
            <w:r>
              <w:rPr>
                <w:b/>
              </w:rPr>
            </w:r>
            <w:r>
              <w:rPr>
                <w:b/>
                <w:sz w:val="16"/>
              </w:rPr>
              <w:t>Sepsis-3 onset label</w:t>
            </w:r>
          </w:p>
        </w:tc>
        <w:tc>
          <w:tcPr>
            <w:tcW w:type="dxa" w:w="825"/>
            <w:shd w:val="clear" w:fill="F2F2F2"/>
          </w:tcPr>
          <w:p>
            <w:pPr>
              <w:spacing w:line="240" w:lineRule="auto" w:after="0" w:before="0"/>
            </w:pPr>
            <w:r>
              <w:rPr>
                <w:b/>
              </w:rPr>
            </w:r>
            <w:r>
              <w:rPr>
                <w:b/>
                <w:sz w:val="16"/>
              </w:rPr>
              <w:t>held-out, single-target prediction</w:t>
            </w:r>
          </w:p>
        </w:tc>
      </w:tr>
      <w:tr>
        <w:trPr>
          <w:cantSplit/>
        </w:trPr>
        <w:tc>
          <w:tcPr>
            <w:tcW w:type="dxa" w:w="825"/>
          </w:tcPr>
          <w:p>
            <w:pPr>
              <w:spacing w:line="240" w:lineRule="auto" w:after="0" w:before="0"/>
            </w:pPr>
            <w:r/>
            <w:r>
              <w:rPr>
                <w:sz w:val="16"/>
              </w:rPr>
              <w:t>Sepsis 2019 — post-hoc concurrent re-analysis (SAP Am. 13)</w:t>
            </w:r>
          </w:p>
        </w:tc>
        <w:tc>
          <w:tcPr>
            <w:tcW w:type="dxa" w:w="825"/>
          </w:tcPr>
          <w:p>
            <w:pPr>
              <w:spacing w:line="240" w:lineRule="auto" w:after="0" w:before="0"/>
            </w:pPr>
            <w:r/>
            <w:r>
              <w:rPr>
                <w:sz w:val="16"/>
              </w:rPr>
              <w:t>same files</w:t>
            </w:r>
          </w:p>
        </w:tc>
        <w:tc>
          <w:tcPr>
            <w:tcW w:type="dxa" w:w="825"/>
          </w:tcPr>
          <w:p>
            <w:pPr>
              <w:spacing w:line="240" w:lineRule="auto" w:after="0" w:before="0"/>
            </w:pPr>
            <w:r/>
            <w:r>
              <w:rPr>
                <w:sz w:val="16"/>
              </w:rPr>
              <w:t>sepsis patients 438; non-sepsis 4,499</w:t>
            </w:r>
          </w:p>
        </w:tc>
        <w:tc>
          <w:tcPr>
            <w:tcW w:type="dxa" w:w="825"/>
          </w:tcPr>
          <w:p>
            <w:pPr>
              <w:spacing w:line="240" w:lineRule="auto" w:after="0" w:before="0"/>
            </w:pPr>
            <w:r/>
            <w:r>
              <w:rPr>
                <w:sz w:val="16"/>
              </w:rPr>
              <w:t>≥3 labs in 12 h around onset: 388 cases; seeded dwell-time-matched control windows 772 (2:1)</w:t>
            </w:r>
          </w:p>
        </w:tc>
        <w:tc>
          <w:tcPr>
            <w:tcW w:type="dxa" w:w="825"/>
          </w:tcPr>
          <w:p>
            <w:pPr>
              <w:spacing w:line="240" w:lineRule="auto" w:after="0" w:before="0"/>
            </w:pPr>
            <w:r/>
            <w:r>
              <w:rPr>
                <w:sz w:val="16"/>
              </w:rPr>
              <w:t>—</w:t>
            </w:r>
          </w:p>
        </w:tc>
        <w:tc>
          <w:tcPr>
            <w:tcW w:type="dxa" w:w="825"/>
          </w:tcPr>
          <w:p>
            <w:pPr>
              <w:spacing w:line="240" w:lineRule="auto" w:after="0" w:before="0"/>
            </w:pPr>
            <w:r/>
            <w:r>
              <w:rPr>
                <w:sz w:val="16"/>
              </w:rPr>
              <w:t>1,160 windows</w:t>
            </w:r>
          </w:p>
        </w:tc>
        <w:tc>
          <w:tcPr>
            <w:tcW w:type="dxa" w:w="825"/>
          </w:tcPr>
          <w:p>
            <w:pPr>
              <w:spacing w:line="240" w:lineRule="auto" w:after="0" w:before="0"/>
            </w:pPr>
            <w:r/>
            <w:r>
              <w:rPr>
                <w:sz w:val="16"/>
              </w:rPr>
              <w:t>see dataset</w:t>
            </w:r>
          </w:p>
        </w:tc>
        <w:tc>
          <w:tcPr>
            <w:tcW w:type="dxa" w:w="825"/>
          </w:tcPr>
          <w:p>
            <w:pPr>
              <w:spacing w:line="240" w:lineRule="auto" w:after="0" w:before="0"/>
            </w:pPr>
            <w:r/>
            <w:r>
              <w:rPr>
                <w:sz w:val="16"/>
              </w:rPr>
              <w:t>see dataset</w:t>
            </w:r>
          </w:p>
        </w:tc>
        <w:tc>
          <w:tcPr>
            <w:tcW w:type="dxa" w:w="825"/>
          </w:tcPr>
          <w:p>
            <w:pPr>
              <w:spacing w:line="240" w:lineRule="auto" w:after="0" w:before="0"/>
            </w:pPr>
            <w:r/>
            <w:r>
              <w:rPr>
                <w:sz w:val="16"/>
              </w:rPr>
              <w:t>arm A labs; arm B labs + HR/SBP/MAP/RR/Temp</w:t>
            </w:r>
          </w:p>
        </w:tc>
        <w:tc>
          <w:tcPr>
            <w:tcW w:type="dxa" w:w="825"/>
          </w:tcPr>
          <w:p>
            <w:pPr>
              <w:spacing w:line="240" w:lineRule="auto" w:after="0" w:before="0"/>
            </w:pPr>
            <w:r/>
            <w:r>
              <w:rPr>
                <w:sz w:val="16"/>
              </w:rPr>
              <w:t>Sepsis-3 onset in window</w:t>
            </w:r>
          </w:p>
        </w:tc>
        <w:tc>
          <w:tcPr>
            <w:tcW w:type="dxa" w:w="825"/>
          </w:tcPr>
          <w:p>
            <w:pPr>
              <w:spacing w:line="240" w:lineRule="auto" w:after="0" w:before="0"/>
            </w:pPr>
            <w:r/>
            <w:r>
              <w:rPr>
                <w:sz w:val="16"/>
              </w:rPr>
              <w:t>post-hoc, exploratory (Table S12)</w:t>
            </w:r>
          </w:p>
        </w:tc>
      </w:tr>
    </w:tbl>
    <w:p/>
    <w:p>
      <w:r>
        <w:t>All cohorts are public; no participant was contacted. eICU: exclusion for &lt;8 mapped analytes is the only data-driven exclusion (stays with sparse panels are not interpretable by any lab-only system). NHANES: participants without biochemistry/CBC subsample were not included. No imputation of missing analytes anywhere: absent analytes are treated as 'not measured' by the engine.</w:t>
      </w:r>
    </w:p>
    <w:p>
      <w:pPr>
        <w:pStyle w:val="Heading1"/>
      </w:pPr>
      <w:r>
        <w:rPr>
          <w:rFonts w:ascii="Times New Roman" w:hAnsi="Times New Roman" w:eastAsia="Times New Roman" w:cs="Times New Roman"/>
          <w:b/>
          <w:i w:val="0"/>
          <w:color w:val="000000"/>
        </w:rPr>
        <w:t>Supplementary Table S5 — Next-test utility on category-A misses (eICU-CRD demo; computed on engine v5.3, 2026-10-23; metric defined in SAP Amendment 6; not re-run on v7 because the recommendation layer was unchanged by C1–C16 and the metric is reported for completeness only)</w:t>
      </w:r>
    </w:p>
    <w:p>
      <w:r>
        <w:t xml:space="preserve">Category-A misses in the fixed-seed audit sample with a scorable discriminating test: 88. For each, the engine was re-run and its </w:t>
      </w:r>
      <w:r>
        <w:rPr>
          <w:rFonts w:ascii="Courier New" w:hAnsi="Courier New" w:eastAsia="Courier New" w:cs="Courier New"/>
          <w:color w:val="000000"/>
          <w:sz w:val="22"/>
        </w:rPr>
        <w:t>next_tests</w:t>
      </w:r>
      <w:r>
        <w:t xml:space="preserve"> / per-entity </w:t>
      </w:r>
      <w:r>
        <w:rPr>
          <w:rFonts w:ascii="Courier New" w:hAnsi="Courier New" w:eastAsia="Courier New" w:cs="Courier New"/>
          <w:color w:val="000000"/>
          <w:sz w:val="22"/>
        </w:rPr>
        <w:t>recommended_tests</w:t>
      </w:r>
      <w:r>
        <w:t xml:space="preserve"> were searched for the test that would establish the listed condition (e.g. BNP for heart failure, HbA1c for diabetes, lactate/procalcitonin/cultures for sepsis, prior creatinine/ACR/cystatin C for CKD).</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268"/>
            <w:shd w:val="clear" w:fill="F2F2F2"/>
          </w:tcPr>
          <w:p>
            <w:pPr>
              <w:spacing w:line="240" w:lineRule="auto" w:after="0" w:before="0"/>
            </w:pPr>
            <w:r>
              <w:rPr>
                <w:b/>
              </w:rPr>
            </w:r>
            <w:r>
              <w:rPr>
                <w:b/>
                <w:sz w:val="16"/>
              </w:rPr>
              <w:t>listed condition (no lab signature)</w:t>
            </w:r>
          </w:p>
        </w:tc>
        <w:tc>
          <w:tcPr>
            <w:tcW w:type="dxa" w:w="2268"/>
            <w:shd w:val="clear" w:fill="F2F2F2"/>
          </w:tcPr>
          <w:p>
            <w:pPr>
              <w:spacing w:line="240" w:lineRule="auto" w:after="0" w:before="0"/>
            </w:pPr>
            <w:r>
              <w:rPr>
                <w:b/>
              </w:rPr>
            </w:r>
            <w:r>
              <w:rPr>
                <w:b/>
                <w:sz w:val="16"/>
              </w:rPr>
              <w:t>n</w:t>
            </w:r>
          </w:p>
        </w:tc>
        <w:tc>
          <w:tcPr>
            <w:tcW w:type="dxa" w:w="2268"/>
            <w:shd w:val="clear" w:fill="F2F2F2"/>
          </w:tcPr>
          <w:p>
            <w:pPr>
              <w:spacing w:line="240" w:lineRule="auto" w:after="0" w:before="0"/>
            </w:pPr>
            <w:r>
              <w:rPr>
                <w:b/>
              </w:rPr>
            </w:r>
            <w:r>
              <w:rPr>
                <w:b/>
                <w:sz w:val="16"/>
              </w:rPr>
              <w:t>discriminating test recommended</w:t>
            </w:r>
          </w:p>
        </w:tc>
        <w:tc>
          <w:tcPr>
            <w:tcW w:type="dxa" w:w="2268"/>
            <w:shd w:val="clear" w:fill="F2F2F2"/>
          </w:tcPr>
          <w:p>
            <w:pPr>
              <w:spacing w:line="240" w:lineRule="auto" w:after="0" w:before="0"/>
            </w:pPr>
            <w:r>
              <w:rPr>
                <w:b/>
              </w:rPr>
            </w:r>
            <w:r>
              <w:rPr>
                <w:b/>
                <w:sz w:val="16"/>
              </w:rPr>
              <w:t>%</w:t>
            </w:r>
          </w:p>
        </w:tc>
      </w:tr>
      <w:tr>
        <w:trPr>
          <w:cantSplit/>
        </w:trPr>
        <w:tc>
          <w:tcPr>
            <w:tcW w:type="dxa" w:w="2268"/>
          </w:tcPr>
          <w:p>
            <w:pPr>
              <w:spacing w:line="240" w:lineRule="auto" w:after="0" w:before="0"/>
            </w:pPr>
            <w:r/>
            <w:r>
              <w:rPr>
                <w:sz w:val="16"/>
              </w:rPr>
              <w:t>heart failure</w:t>
            </w:r>
          </w:p>
        </w:tc>
        <w:tc>
          <w:tcPr>
            <w:tcW w:type="dxa" w:w="2268"/>
          </w:tcPr>
          <w:p>
            <w:pPr>
              <w:spacing w:line="240" w:lineRule="auto" w:after="0" w:before="0"/>
            </w:pPr>
            <w:r/>
            <w:r>
              <w:rPr>
                <w:sz w:val="16"/>
              </w:rPr>
              <w:t>27</w:t>
            </w:r>
          </w:p>
        </w:tc>
        <w:tc>
          <w:tcPr>
            <w:tcW w:type="dxa" w:w="2268"/>
          </w:tcPr>
          <w:p>
            <w:pPr>
              <w:spacing w:line="240" w:lineRule="auto" w:after="0" w:before="0"/>
            </w:pPr>
            <w:r/>
            <w:r>
              <w:rPr>
                <w:sz w:val="16"/>
              </w:rPr>
              <w:t>14</w:t>
            </w:r>
          </w:p>
        </w:tc>
        <w:tc>
          <w:tcPr>
            <w:tcW w:type="dxa" w:w="2268"/>
          </w:tcPr>
          <w:p>
            <w:pPr>
              <w:spacing w:line="240" w:lineRule="auto" w:after="0" w:before="0"/>
            </w:pPr>
            <w:r/>
            <w:r>
              <w:rPr>
                <w:sz w:val="16"/>
              </w:rPr>
              <w:t>52%</w:t>
            </w:r>
          </w:p>
        </w:tc>
      </w:tr>
      <w:tr>
        <w:trPr>
          <w:cantSplit/>
        </w:trPr>
        <w:tc>
          <w:tcPr>
            <w:tcW w:type="dxa" w:w="2268"/>
          </w:tcPr>
          <w:p>
            <w:pPr>
              <w:spacing w:line="240" w:lineRule="auto" w:after="0" w:before="0"/>
            </w:pPr>
            <w:r/>
            <w:r>
              <w:rPr>
                <w:sz w:val="16"/>
              </w:rPr>
              <w:t>diabetes</w:t>
            </w:r>
          </w:p>
        </w:tc>
        <w:tc>
          <w:tcPr>
            <w:tcW w:type="dxa" w:w="2268"/>
          </w:tcPr>
          <w:p>
            <w:pPr>
              <w:spacing w:line="240" w:lineRule="auto" w:after="0" w:before="0"/>
            </w:pPr>
            <w:r/>
            <w:r>
              <w:rPr>
                <w:sz w:val="16"/>
              </w:rPr>
              <w:t>21</w:t>
            </w:r>
          </w:p>
        </w:tc>
        <w:tc>
          <w:tcPr>
            <w:tcW w:type="dxa" w:w="2268"/>
          </w:tcPr>
          <w:p>
            <w:pPr>
              <w:spacing w:line="240" w:lineRule="auto" w:after="0" w:before="0"/>
            </w:pPr>
            <w:r/>
            <w:r>
              <w:rPr>
                <w:sz w:val="16"/>
              </w:rPr>
              <w:t>5</w:t>
            </w:r>
          </w:p>
        </w:tc>
        <w:tc>
          <w:tcPr>
            <w:tcW w:type="dxa" w:w="2268"/>
          </w:tcPr>
          <w:p>
            <w:pPr>
              <w:spacing w:line="240" w:lineRule="auto" w:after="0" w:before="0"/>
            </w:pPr>
            <w:r/>
            <w:r>
              <w:rPr>
                <w:sz w:val="16"/>
              </w:rPr>
              <w:t>24%</w:t>
            </w:r>
          </w:p>
        </w:tc>
      </w:tr>
      <w:tr>
        <w:trPr>
          <w:cantSplit/>
        </w:trPr>
        <w:tc>
          <w:tcPr>
            <w:tcW w:type="dxa" w:w="2268"/>
          </w:tcPr>
          <w:p>
            <w:pPr>
              <w:spacing w:line="240" w:lineRule="auto" w:after="0" w:before="0"/>
            </w:pPr>
            <w:r/>
            <w:r>
              <w:rPr>
                <w:sz w:val="16"/>
              </w:rPr>
              <w:t>hyperglycemia</w:t>
            </w:r>
          </w:p>
        </w:tc>
        <w:tc>
          <w:tcPr>
            <w:tcW w:type="dxa" w:w="2268"/>
          </w:tcPr>
          <w:p>
            <w:pPr>
              <w:spacing w:line="240" w:lineRule="auto" w:after="0" w:before="0"/>
            </w:pPr>
            <w:r/>
            <w:r>
              <w:rPr>
                <w:sz w:val="16"/>
              </w:rPr>
              <w:t>7</w:t>
            </w:r>
          </w:p>
        </w:tc>
        <w:tc>
          <w:tcPr>
            <w:tcW w:type="dxa" w:w="2268"/>
          </w:tcPr>
          <w:p>
            <w:pPr>
              <w:spacing w:line="240" w:lineRule="auto" w:after="0" w:before="0"/>
            </w:pPr>
            <w:r/>
            <w:r>
              <w:rPr>
                <w:sz w:val="16"/>
              </w:rPr>
              <w:t>3</w:t>
            </w:r>
          </w:p>
        </w:tc>
        <w:tc>
          <w:tcPr>
            <w:tcW w:type="dxa" w:w="2268"/>
          </w:tcPr>
          <w:p>
            <w:pPr>
              <w:spacing w:line="240" w:lineRule="auto" w:after="0" w:before="0"/>
            </w:pPr>
            <w:r/>
            <w:r>
              <w:rPr>
                <w:sz w:val="16"/>
              </w:rPr>
              <w:t>43%</w:t>
            </w:r>
          </w:p>
        </w:tc>
      </w:tr>
      <w:tr>
        <w:trPr>
          <w:cantSplit/>
        </w:trPr>
        <w:tc>
          <w:tcPr>
            <w:tcW w:type="dxa" w:w="2268"/>
          </w:tcPr>
          <w:p>
            <w:pPr>
              <w:spacing w:line="240" w:lineRule="auto" w:after="0" w:before="0"/>
            </w:pPr>
            <w:r/>
            <w:r>
              <w:rPr>
                <w:sz w:val="16"/>
              </w:rPr>
              <w:t>chronic kidney disease</w:t>
            </w:r>
          </w:p>
        </w:tc>
        <w:tc>
          <w:tcPr>
            <w:tcW w:type="dxa" w:w="2268"/>
          </w:tcPr>
          <w:p>
            <w:pPr>
              <w:spacing w:line="240" w:lineRule="auto" w:after="0" w:before="0"/>
            </w:pPr>
            <w:r/>
            <w:r>
              <w:rPr>
                <w:sz w:val="16"/>
              </w:rPr>
              <w:t>7</w:t>
            </w:r>
          </w:p>
        </w:tc>
        <w:tc>
          <w:tcPr>
            <w:tcW w:type="dxa" w:w="2268"/>
          </w:tcPr>
          <w:p>
            <w:pPr>
              <w:spacing w:line="240" w:lineRule="auto" w:after="0" w:before="0"/>
            </w:pPr>
            <w:r/>
            <w:r>
              <w:rPr>
                <w:sz w:val="16"/>
              </w:rPr>
              <w:t>3</w:t>
            </w:r>
          </w:p>
        </w:tc>
        <w:tc>
          <w:tcPr>
            <w:tcW w:type="dxa" w:w="2268"/>
          </w:tcPr>
          <w:p>
            <w:pPr>
              <w:spacing w:line="240" w:lineRule="auto" w:after="0" w:before="0"/>
            </w:pPr>
            <w:r/>
            <w:r>
              <w:rPr>
                <w:sz w:val="16"/>
              </w:rPr>
              <w:t>43%</w:t>
            </w:r>
          </w:p>
        </w:tc>
      </w:tr>
      <w:tr>
        <w:trPr>
          <w:cantSplit/>
        </w:trPr>
        <w:tc>
          <w:tcPr>
            <w:tcW w:type="dxa" w:w="2268"/>
          </w:tcPr>
          <w:p>
            <w:pPr>
              <w:spacing w:line="240" w:lineRule="auto" w:after="0" w:before="0"/>
            </w:pPr>
            <w:r/>
            <w:r>
              <w:rPr>
                <w:sz w:val="16"/>
              </w:rPr>
              <w:t>sepsis</w:t>
            </w:r>
          </w:p>
        </w:tc>
        <w:tc>
          <w:tcPr>
            <w:tcW w:type="dxa" w:w="2268"/>
          </w:tcPr>
          <w:p>
            <w:pPr>
              <w:spacing w:line="240" w:lineRule="auto" w:after="0" w:before="0"/>
            </w:pPr>
            <w:r/>
            <w:r>
              <w:rPr>
                <w:sz w:val="16"/>
              </w:rPr>
              <w:t>7</w:t>
            </w:r>
          </w:p>
        </w:tc>
        <w:tc>
          <w:tcPr>
            <w:tcW w:type="dxa" w:w="2268"/>
          </w:tcPr>
          <w:p>
            <w:pPr>
              <w:spacing w:line="240" w:lineRule="auto" w:after="0" w:before="0"/>
            </w:pPr>
            <w:r/>
            <w:r>
              <w:rPr>
                <w:sz w:val="16"/>
              </w:rPr>
              <w:t>5</w:t>
            </w:r>
          </w:p>
        </w:tc>
        <w:tc>
          <w:tcPr>
            <w:tcW w:type="dxa" w:w="2268"/>
          </w:tcPr>
          <w:p>
            <w:pPr>
              <w:spacing w:line="240" w:lineRule="auto" w:after="0" w:before="0"/>
            </w:pPr>
            <w:r/>
            <w:r>
              <w:rPr>
                <w:sz w:val="16"/>
              </w:rPr>
              <w:t>71%</w:t>
            </w:r>
          </w:p>
        </w:tc>
      </w:tr>
      <w:tr>
        <w:trPr>
          <w:cantSplit/>
        </w:trPr>
        <w:tc>
          <w:tcPr>
            <w:tcW w:type="dxa" w:w="2268"/>
          </w:tcPr>
          <w:p>
            <w:pPr>
              <w:spacing w:line="240" w:lineRule="auto" w:after="0" w:before="0"/>
            </w:pPr>
            <w:r/>
            <w:r>
              <w:rPr>
                <w:sz w:val="16"/>
              </w:rPr>
              <w:t>renal impairment</w:t>
            </w:r>
          </w:p>
        </w:tc>
        <w:tc>
          <w:tcPr>
            <w:tcW w:type="dxa" w:w="2268"/>
          </w:tcPr>
          <w:p>
            <w:pPr>
              <w:spacing w:line="240" w:lineRule="auto" w:after="0" w:before="0"/>
            </w:pPr>
            <w:r/>
            <w:r>
              <w:rPr>
                <w:sz w:val="16"/>
              </w:rPr>
              <w:t>6</w:t>
            </w:r>
          </w:p>
        </w:tc>
        <w:tc>
          <w:tcPr>
            <w:tcW w:type="dxa" w:w="2268"/>
          </w:tcPr>
          <w:p>
            <w:pPr>
              <w:spacing w:line="240" w:lineRule="auto" w:after="0" w:before="0"/>
            </w:pPr>
            <w:r/>
            <w:r>
              <w:rPr>
                <w:sz w:val="16"/>
              </w:rPr>
              <w:t>5</w:t>
            </w:r>
          </w:p>
        </w:tc>
        <w:tc>
          <w:tcPr>
            <w:tcW w:type="dxa" w:w="2268"/>
          </w:tcPr>
          <w:p>
            <w:pPr>
              <w:spacing w:line="240" w:lineRule="auto" w:after="0" w:before="0"/>
            </w:pPr>
            <w:r/>
            <w:r>
              <w:rPr>
                <w:sz w:val="16"/>
              </w:rPr>
              <w:t>83%</w:t>
            </w:r>
          </w:p>
        </w:tc>
      </w:tr>
      <w:tr>
        <w:trPr>
          <w:cantSplit/>
        </w:trPr>
        <w:tc>
          <w:tcPr>
            <w:tcW w:type="dxa" w:w="2268"/>
          </w:tcPr>
          <w:p>
            <w:pPr>
              <w:spacing w:line="240" w:lineRule="auto" w:after="0" w:before="0"/>
            </w:pPr>
            <w:r/>
            <w:r>
              <w:rPr>
                <w:sz w:val="16"/>
              </w:rPr>
              <w:t>acute kidney injury</w:t>
            </w:r>
          </w:p>
        </w:tc>
        <w:tc>
          <w:tcPr>
            <w:tcW w:type="dxa" w:w="2268"/>
          </w:tcPr>
          <w:p>
            <w:pPr>
              <w:spacing w:line="240" w:lineRule="auto" w:after="0" w:before="0"/>
            </w:pPr>
            <w:r/>
            <w:r>
              <w:rPr>
                <w:sz w:val="16"/>
              </w:rPr>
              <w:t>5</w:t>
            </w:r>
          </w:p>
        </w:tc>
        <w:tc>
          <w:tcPr>
            <w:tcW w:type="dxa" w:w="2268"/>
          </w:tcPr>
          <w:p>
            <w:pPr>
              <w:spacing w:line="240" w:lineRule="auto" w:after="0" w:before="0"/>
            </w:pPr>
            <w:r/>
            <w:r>
              <w:rPr>
                <w:sz w:val="16"/>
              </w:rPr>
              <w:t>2</w:t>
            </w:r>
          </w:p>
        </w:tc>
        <w:tc>
          <w:tcPr>
            <w:tcW w:type="dxa" w:w="2268"/>
          </w:tcPr>
          <w:p>
            <w:pPr>
              <w:spacing w:line="240" w:lineRule="auto" w:after="0" w:before="0"/>
            </w:pPr>
            <w:r/>
            <w:r>
              <w:rPr>
                <w:sz w:val="16"/>
              </w:rPr>
              <w:t>40%</w:t>
            </w:r>
          </w:p>
        </w:tc>
      </w:tr>
      <w:tr>
        <w:trPr>
          <w:cantSplit/>
        </w:trPr>
        <w:tc>
          <w:tcPr>
            <w:tcW w:type="dxa" w:w="2268"/>
          </w:tcPr>
          <w:p>
            <w:pPr>
              <w:spacing w:line="240" w:lineRule="auto" w:after="0" w:before="0"/>
            </w:pPr>
            <w:r/>
            <w:r>
              <w:rPr>
                <w:sz w:val="16"/>
              </w:rPr>
              <w:t>malnutrition</w:t>
            </w:r>
          </w:p>
        </w:tc>
        <w:tc>
          <w:tcPr>
            <w:tcW w:type="dxa" w:w="2268"/>
          </w:tcPr>
          <w:p>
            <w:pPr>
              <w:spacing w:line="240" w:lineRule="auto" w:after="0" w:before="0"/>
            </w:pPr>
            <w:r/>
            <w:r>
              <w:rPr>
                <w:sz w:val="16"/>
              </w:rPr>
              <w:t>4</w:t>
            </w:r>
          </w:p>
        </w:tc>
        <w:tc>
          <w:tcPr>
            <w:tcW w:type="dxa" w:w="2268"/>
          </w:tcPr>
          <w:p>
            <w:pPr>
              <w:spacing w:line="240" w:lineRule="auto" w:after="0" w:before="0"/>
            </w:pPr>
            <w:r/>
            <w:r>
              <w:rPr>
                <w:sz w:val="16"/>
              </w:rPr>
              <w:t>2</w:t>
            </w:r>
          </w:p>
        </w:tc>
        <w:tc>
          <w:tcPr>
            <w:tcW w:type="dxa" w:w="2268"/>
          </w:tcPr>
          <w:p>
            <w:pPr>
              <w:spacing w:line="240" w:lineRule="auto" w:after="0" w:before="0"/>
            </w:pPr>
            <w:r/>
            <w:r>
              <w:rPr>
                <w:sz w:val="16"/>
              </w:rPr>
              <w:t>50%</w:t>
            </w:r>
          </w:p>
        </w:tc>
      </w:tr>
      <w:tr>
        <w:trPr>
          <w:cantSplit/>
        </w:trPr>
        <w:tc>
          <w:tcPr>
            <w:tcW w:type="dxa" w:w="2268"/>
          </w:tcPr>
          <w:p>
            <w:pPr>
              <w:spacing w:line="240" w:lineRule="auto" w:after="0" w:before="0"/>
            </w:pPr>
            <w:r/>
            <w:r>
              <w:rPr>
                <w:sz w:val="16"/>
              </w:rPr>
              <w:t>alcohol withdrawal</w:t>
            </w:r>
          </w:p>
        </w:tc>
        <w:tc>
          <w:tcPr>
            <w:tcW w:type="dxa" w:w="2268"/>
          </w:tcPr>
          <w:p>
            <w:pPr>
              <w:spacing w:line="240" w:lineRule="auto" w:after="0" w:before="0"/>
            </w:pPr>
            <w:r/>
            <w:r>
              <w:rPr>
                <w:sz w:val="16"/>
              </w:rPr>
              <w:t>4</w:t>
            </w:r>
          </w:p>
        </w:tc>
        <w:tc>
          <w:tcPr>
            <w:tcW w:type="dxa" w:w="2268"/>
          </w:tcPr>
          <w:p>
            <w:pPr>
              <w:spacing w:line="240" w:lineRule="auto" w:after="0" w:before="0"/>
            </w:pPr>
            <w:r/>
            <w:r>
              <w:rPr>
                <w:sz w:val="16"/>
              </w:rPr>
              <w:t>3</w:t>
            </w:r>
          </w:p>
        </w:tc>
        <w:tc>
          <w:tcPr>
            <w:tcW w:type="dxa" w:w="2268"/>
          </w:tcPr>
          <w:p>
            <w:pPr>
              <w:spacing w:line="240" w:lineRule="auto" w:after="0" w:before="0"/>
            </w:pPr>
            <w:r/>
            <w:r>
              <w:rPr>
                <w:sz w:val="16"/>
              </w:rPr>
              <w:t>75%</w:t>
            </w:r>
          </w:p>
        </w:tc>
      </w:tr>
      <w:tr>
        <w:trPr>
          <w:cantSplit/>
        </w:trPr>
        <w:tc>
          <w:tcPr>
            <w:tcW w:type="dxa" w:w="2268"/>
          </w:tcPr>
          <w:p>
            <w:pPr>
              <w:spacing w:line="240" w:lineRule="auto" w:after="0" w:before="0"/>
            </w:pPr>
            <w:r/>
            <w:r>
              <w:rPr>
                <w:b/>
                <w:sz w:val="16"/>
              </w:rPr>
              <w:t>all</w:t>
            </w:r>
          </w:p>
        </w:tc>
        <w:tc>
          <w:tcPr>
            <w:tcW w:type="dxa" w:w="2268"/>
          </w:tcPr>
          <w:p>
            <w:pPr>
              <w:spacing w:line="240" w:lineRule="auto" w:after="0" w:before="0"/>
            </w:pPr>
            <w:r/>
            <w:r>
              <w:rPr>
                <w:b/>
                <w:sz w:val="16"/>
              </w:rPr>
              <w:t>88</w:t>
            </w:r>
          </w:p>
        </w:tc>
        <w:tc>
          <w:tcPr>
            <w:tcW w:type="dxa" w:w="2268"/>
          </w:tcPr>
          <w:p>
            <w:pPr>
              <w:spacing w:line="240" w:lineRule="auto" w:after="0" w:before="0"/>
            </w:pPr>
            <w:r/>
            <w:r>
              <w:rPr>
                <w:b/>
                <w:sz w:val="16"/>
              </w:rPr>
              <w:t>42</w:t>
            </w:r>
          </w:p>
        </w:tc>
        <w:tc>
          <w:tcPr>
            <w:tcW w:type="dxa" w:w="2268"/>
          </w:tcPr>
          <w:p>
            <w:pPr>
              <w:spacing w:line="240" w:lineRule="auto" w:after="0" w:before="0"/>
            </w:pPr>
            <w:r/>
            <w:r>
              <w:rPr>
                <w:b/>
                <w:sz w:val="16"/>
              </w:rPr>
              <w:t>48%</w:t>
            </w:r>
          </w:p>
        </w:tc>
      </w:tr>
    </w:tbl>
    <w:p/>
    <w:p>
      <w:r>
        <w:t>Median number of next-test recommendations per stay: 12.</w:t>
      </w:r>
    </w:p>
    <w:p>
      <w:r>
        <w:rPr>
          <w:i/>
        </w:rPr>
        <w:t>Companion to `Paper1_Hemoglyph_npj_EN_v7_R1` and `Paper1_Hemoglyph_SampleStyle_v7_R1`. Every table below is generated from a file in `eval/results/` named in its heading; the numbers are not retyped.</w:t>
      </w:r>
    </w:p>
    <w:p>
      <w:r>
        <w:t xml:space="preserve">Contents: Supplementary Note 1 (SAP and amendments) =; Note 2 (LLM protocol) = </w:t>
      </w:r>
      <w:r>
        <w:rPr>
          <w:rFonts w:ascii="Courier New" w:hAnsi="Courier New" w:eastAsia="Courier New" w:cs="Courier New"/>
          <w:color w:val="000000"/>
          <w:sz w:val="22"/>
        </w:rPr>
        <w:t>LLM_COMPARISON_PROTOCOL.md</w:t>
      </w:r>
      <w:r>
        <w:t>; Note 3 (fusion and Theory-of-Evidence algorithm) below; Table S1 (cohort flow) =; Tables S6–S12 below; Supplementary Figure S (historical LLM comparison) below; TRIPOD+AI checklist =.</w:t>
      </w:r>
    </w:p>
    <w:p>
      <w:r>
        <w:t>---</w:t>
      </w:r>
    </w:p>
    <w:p>
      <w:pPr>
        <w:pStyle w:val="Heading1"/>
      </w:pPr>
      <w:r>
        <w:rPr>
          <w:rFonts w:ascii="Times New Roman" w:hAnsi="Times New Roman" w:eastAsia="Times New Roman" w:cs="Times New Roman"/>
          <w:b/>
          <w:i w:val="0"/>
          <w:color w:val="000000"/>
        </w:rPr>
        <w:t>Supplementary Note 3 — Fusion and Theory-of-Evidence layer, as implemented (`analyse_gidlines.py`, `tarkib_ensemble`, `_yager_binary_combine`, v7)</w:t>
      </w:r>
    </w:p>
    <w:p>
      <w:r>
        <w:rPr>
          <w:b/>
        </w:rPr>
        <w:t>Inputs.</w:t>
      </w:r>
      <w:r>
        <w:t xml:space="preserve"> For each candidate entity </w:t>
      </w:r>
      <w:r>
        <w:rPr>
          <w:i/>
        </w:rPr>
        <w:t>D</w:t>
      </w:r>
      <w:r>
        <w:t xml:space="preserve"> the five layers return a vote in [0, 1] or abstain: rule engine </w:t>
      </w:r>
      <w:r>
        <w:rPr>
          <w:i/>
        </w:rPr>
        <w:t>v_R</w:t>
      </w:r>
      <w:r>
        <w:t xml:space="preserve"> (abstains when &lt; 0.05, because the rule layer reports support only, never refutation), Bayesian network </w:t>
      </w:r>
      <w:r>
        <w:rPr>
          <w:i/>
        </w:rPr>
        <w:t>v_B</w:t>
      </w:r>
      <w:r>
        <w:t xml:space="preserve">, fuzzy engine </w:t>
      </w:r>
      <w:r>
        <w:rPr>
          <w:i/>
        </w:rPr>
        <w:t>v_F</w:t>
      </w:r>
      <w:r>
        <w:t xml:space="preserve">, knowledge graph </w:t>
      </w:r>
      <w:r>
        <w:rPr>
          <w:i/>
        </w:rPr>
        <w:t>v_G</w:t>
      </w:r>
      <w:r>
        <w:t xml:space="preserve">, risk models </w:t>
      </w:r>
      <w:r>
        <w:rPr>
          <w:i/>
        </w:rPr>
        <w:t>v_K</w:t>
      </w:r>
      <w:r>
        <w:t xml:space="preserve">. Let </w:t>
      </w:r>
      <w:r>
        <w:rPr>
          <w:i/>
        </w:rPr>
        <w:t>P</w:t>
      </w:r>
      <w:r>
        <w:t xml:space="preserve"> be the set of participating (non-abstaining) layers.</w:t>
      </w:r>
    </w:p>
    <w:p>
      <w:r>
        <w:rPr>
          <w:b/>
        </w:rPr>
        <w:t>Step 1 — weighted mean with a domain profile.</w:t>
      </w:r>
      <w:r>
        <w:t xml:space="preserve"> Weights </w:t>
      </w:r>
      <w:r>
        <w:rPr>
          <w:i/>
        </w:rPr>
        <w:t>w_m</w:t>
      </w:r>
      <w:r>
        <w:t xml:space="preserve"> come from the entity's domain profile (Table N3-1); they are renormalised over </w:t>
      </w:r>
      <w:r>
        <w:rPr>
          <w:i/>
        </w:rPr>
        <w:t>P</w:t>
      </w:r>
      <w:r>
        <w:t xml:space="preserve"> (</w:t>
      </w:r>
      <w:r>
        <w:rPr>
          <w:i/>
        </w:rPr>
        <w:t>ŵ_m = w_m / Σ_{m∈P} w_m</w:t>
      </w:r>
      <w:r>
        <w:t xml:space="preserve">). The weighted mean is </w:t>
      </w:r>
      <w:r>
        <w:rPr>
          <w:i/>
        </w:rPr>
        <w:t>μ = Σ ŵ_m v_m</w:t>
      </w:r>
      <w:r>
        <w:t xml:space="preserve">. The share of profile weight that spoke, </w:t>
      </w:r>
      <w:r>
        <w:rPr>
          <w:i/>
        </w:rPr>
        <w:t>s = Σ_{m∈P} w_m / Σ_all w_m</w:t>
      </w:r>
      <w:r>
        <w:t xml:space="preserve">, penalises thin evidence: </w:t>
      </w:r>
      <w:r>
        <w:rPr>
          <w:i/>
        </w:rPr>
        <w:t>score₀ = μ · (0.60 + 0.40 s)</w:t>
      </w:r>
      <w:r>
        <w:t xml:space="preserve">. For guideline-anchored entities with a rule vote </w:t>
      </w:r>
      <w:r>
        <w:rPr>
          <w:i/>
        </w:rPr>
        <w:t>s ≥ 0.75</w:t>
      </w:r>
      <w:r>
        <w:t xml:space="preserve">; for a met expert-syndrome constellation </w:t>
      </w:r>
      <w:r>
        <w:rPr>
          <w:i/>
        </w:rPr>
        <w:t>s = 1</w:t>
      </w:r>
      <w:r>
        <w:t>.</w:t>
      </w:r>
    </w:p>
    <w:p>
      <w:r>
        <w:rPr>
          <w:b/>
        </w:rPr>
        <w:t>Step 2 — conflict and confidence.</w:t>
      </w:r>
      <w:r>
        <w:t xml:space="preserve"> Conflict </w:t>
      </w:r>
      <w:r>
        <w:rPr>
          <w:i/>
        </w:rPr>
        <w:t>c</w:t>
      </w:r>
      <w:r>
        <w:t xml:space="preserve"> = weighted mean absolute pairwise disagreement, </w:t>
      </w:r>
      <w:r>
        <w:rPr>
          <w:i/>
        </w:rPr>
        <w:t>c = Σ_{i&lt;j} ŵ_i ŵ_j |v_i − v_j| / Σ_{i&lt;j} ŵ_i ŵ_j</w:t>
      </w:r>
      <w:r>
        <w:t xml:space="preserve">. Confidence = (1 − </w:t>
      </w:r>
      <w:r>
        <w:rPr>
          <w:i/>
        </w:rPr>
        <w:t>c</w:t>
      </w:r>
      <w:r>
        <w:t>) if |</w:t>
      </w:r>
      <w:r>
        <w:rPr>
          <w:i/>
        </w:rPr>
        <w:t>P</w:t>
      </w:r>
      <w:r>
        <w:t>| &gt; 1 else 0.4, multiplied by min(1, 0.45 + 0.2 |</w:t>
      </w:r>
      <w:r>
        <w:rPr>
          <w:i/>
        </w:rPr>
        <w:t>P</w:t>
      </w:r>
      <w:r>
        <w:t xml:space="preserve">|) and by (0.5 + 0.5 </w:t>
      </w:r>
      <w:r>
        <w:rPr>
          <w:i/>
        </w:rPr>
        <w:t>r</w:t>
      </w:r>
      <w:r>
        <w:t xml:space="preserve">), where </w:t>
      </w:r>
      <w:r>
        <w:rPr>
          <w:i/>
        </w:rPr>
        <w:t>r</w:t>
      </w:r>
      <w:r>
        <w:t xml:space="preserve"> is the input-reliability factor (OCR confidence; 1 for structured input).</w:t>
      </w:r>
    </w:p>
    <w:p>
      <w:r>
        <w:rPr>
          <w:b/>
        </w:rPr>
        <w:t>Step 3 — discord shrinkage toward the sceptical cluster.</w:t>
      </w:r>
      <w:r>
        <w:t xml:space="preserve"> Soft sceptic membership </w:t>
      </w:r>
      <w:r>
        <w:rPr>
          <w:i/>
        </w:rPr>
        <w:t>m_i = clip((μ − v_i)/0.15, 0, 1)</w:t>
      </w:r>
      <w:r>
        <w:t xml:space="preserve">; sceptic weight </w:t>
      </w:r>
      <w:r>
        <w:rPr>
          <w:i/>
        </w:rPr>
        <w:t>W = Σ ŵ_i m_i</w:t>
      </w:r>
      <w:r>
        <w:t xml:space="preserve">; sceptic target </w:t>
      </w:r>
      <w:r>
        <w:rPr>
          <w:i/>
        </w:rPr>
        <w:t>T = Σ v_i ŵ_i m_i / W</w:t>
      </w:r>
      <w:r>
        <w:t xml:space="preserve">; shrink </w:t>
      </w:r>
      <w:r>
        <w:rPr>
          <w:i/>
        </w:rPr>
        <w:t>λ = min(0.45, 0.45 · c · min(1, W/0.35))</w:t>
      </w:r>
      <w:r>
        <w:t xml:space="preserve">; </w:t>
      </w:r>
      <w:r>
        <w:rPr>
          <w:i/>
        </w:rPr>
        <w:t>score₁ = (1 − λ) score₀ + λ T</w:t>
      </w:r>
      <w:r>
        <w:t>.</w:t>
      </w:r>
    </w:p>
    <w:p>
      <w:r>
        <w:rPr>
          <w:b/>
        </w:rPr>
        <w:t>Step 4 — floors.</w:t>
      </w:r>
      <w:r>
        <w:t xml:space="preserve"> If </w:t>
      </w:r>
      <w:r>
        <w:rPr>
          <w:i/>
        </w:rPr>
        <w:t>v_R ≥ 0.70</w:t>
      </w:r>
      <w:r>
        <w:t xml:space="preserve"> (red-flag rule): </w:t>
      </w:r>
      <w:r>
        <w:rPr>
          <w:i/>
        </w:rPr>
        <w:t>score ≥ 0.65 v_R</w:t>
      </w:r>
      <w:r>
        <w:t xml:space="preserve">. Met expert constellation: </w:t>
      </w:r>
      <w:r>
        <w:rPr>
          <w:i/>
        </w:rPr>
        <w:t>score ≥ 0.90 v_R</w:t>
      </w:r>
      <w:r>
        <w:t xml:space="preserve">; anchor-strength (definitional) constellation: </w:t>
      </w:r>
      <w:r>
        <w:rPr>
          <w:i/>
        </w:rPr>
        <w:t>score ≥ v_R</w:t>
      </w:r>
      <w:r>
        <w:t>.</w:t>
      </w:r>
    </w:p>
    <w:p>
      <w:r>
        <w:rPr>
          <w:b/>
        </w:rPr>
        <w:t>Step 5 — mass assignment and reliability discounting (Shafer discounting).</w:t>
      </w:r>
      <w:r>
        <w:t xml:space="preserve"> Discount factor per layer </w:t>
      </w:r>
      <w:r>
        <w:rPr>
          <w:i/>
        </w:rPr>
        <w:t>α_m = ρ_m · (0.5 + 0.5 r) · min(1, w_m^profile / w_m^default)</w:t>
      </w:r>
      <w:r>
        <w:t xml:space="preserve">, with </w:t>
      </w:r>
      <w:r>
        <w:rPr>
          <w:i/>
        </w:rPr>
        <w:t>ρ_m = min(0.95, w_m^default / 0.35)</w:t>
      </w:r>
      <w:r>
        <w:t xml:space="preserve"> (Table N3-1). If only one layer participates and the entity is not anchored, </w:t>
      </w:r>
      <w:r>
        <w:rPr>
          <w:i/>
        </w:rPr>
        <w:t>α</w:t>
      </w:r>
      <w:r>
        <w:t xml:space="preserve"> is multiplied by 0.70 (single-source discount). On the binary frame Θ = {D, ¬D}: rule layer (one-sided evidence) </w:t>
      </w:r>
      <w:r>
        <w:rPr>
          <w:i/>
        </w:rPr>
        <w:t>m(D) = α v_R, m(¬D) = 0, m(Θ) = 1 − α v_R</w:t>
      </w:r>
      <w:r>
        <w:t xml:space="preserve">; every other layer </w:t>
      </w:r>
      <w:r>
        <w:rPr>
          <w:i/>
        </w:rPr>
        <w:t>m(D) = α v, m(¬D) = α(1 − v), m(Θ) = 1 − α</w:t>
      </w:r>
      <w:r>
        <w:t>.</w:t>
      </w:r>
    </w:p>
    <w:p>
      <w:r>
        <w:rPr>
          <w:b/>
        </w:rPr>
        <w:t>Step 6 — closed-form Yager combination.</w:t>
      </w:r>
      <w:r>
        <w:t xml:space="preserve"> With </w:t>
      </w:r>
      <w:r>
        <w:rPr>
          <w:i/>
        </w:rPr>
        <w:t>n</w:t>
      </w:r>
      <w:r>
        <w:t xml:space="preserve"> masses (</w:t>
      </w:r>
      <w:r>
        <w:rPr>
          <w:i/>
        </w:rPr>
        <w:t>d_i, n_i, t_i</w:t>
      </w:r>
      <w:r>
        <w:t xml:space="preserve">): </w:t>
      </w:r>
      <w:r>
        <w:rPr>
          <w:i/>
        </w:rPr>
        <w:t>q(D) = Π(d_i + t_i) − Π t_i</w:t>
      </w:r>
      <w:r>
        <w:t xml:space="preserve">, </w:t>
      </w:r>
      <w:r>
        <w:rPr>
          <w:i/>
        </w:rPr>
        <w:t>q(¬D) = Π(n_i + t_i) − Π t_i</w:t>
      </w:r>
      <w:r>
        <w:t xml:space="preserve">, </w:t>
      </w:r>
      <w:r>
        <w:rPr>
          <w:i/>
        </w:rPr>
        <w:t>q(Θ) = Π t_i</w:t>
      </w:r>
      <w:r>
        <w:t xml:space="preserve">, conflict mass </w:t>
      </w:r>
      <w:r>
        <w:rPr>
          <w:i/>
        </w:rPr>
        <w:t>K = 1 − q(D) − q(¬D) − q(Θ)</w:t>
      </w:r>
      <w:r>
        <w:t xml:space="preserve">. Yager's rule assigns </w:t>
      </w:r>
      <w:r>
        <w:rPr>
          <w:i/>
        </w:rPr>
        <w:t>K</w:t>
      </w:r>
      <w:r>
        <w:t xml:space="preserve"> to Θ instead of renormalising: </w:t>
      </w:r>
      <w:r>
        <w:rPr>
          <w:i/>
        </w:rPr>
        <w:t>m(Θ) ← q(Θ) + K</w:t>
      </w:r>
      <w:r>
        <w:t xml:space="preserve">. The closed form is used because a sequential pairwise Yager fold is not associative. Outputs: Belief = </w:t>
      </w:r>
      <w:r>
        <w:rPr>
          <w:i/>
        </w:rPr>
        <w:t>m(D)</w:t>
      </w:r>
      <w:r>
        <w:t xml:space="preserve">, Plausibility = </w:t>
      </w:r>
      <w:r>
        <w:rPr>
          <w:i/>
        </w:rPr>
        <w:t>m(D) + m(Θ)</w:t>
      </w:r>
      <w:r>
        <w:t xml:space="preserve">, ignorance = </w:t>
      </w:r>
      <w:r>
        <w:rPr>
          <w:i/>
        </w:rPr>
        <w:t>m(Θ)</w:t>
      </w:r>
      <w:r>
        <w:t xml:space="preserve">, conflict = </w:t>
      </w:r>
      <w:r>
        <w:rPr>
          <w:i/>
        </w:rPr>
        <w:t>K</w:t>
      </w:r>
      <w:r>
        <w:t>.</w:t>
      </w:r>
    </w:p>
    <w:p>
      <w:r>
        <w:rPr>
          <w:b/>
        </w:rPr>
        <w:t>Step 7 — evidence state.</w:t>
      </w:r>
      <w:r>
        <w:t xml:space="preserve"> </w:t>
      </w:r>
      <w:r>
        <w:rPr>
          <w:rFonts w:ascii="Courier New" w:hAnsi="Courier New" w:eastAsia="Courier New" w:cs="Courier New"/>
          <w:color w:val="000000"/>
          <w:sz w:val="22"/>
        </w:rPr>
        <w:t>conflicting</w:t>
      </w:r>
      <w:r>
        <w:t xml:space="preserve"> if pairwise conflict </w:t>
      </w:r>
      <w:r>
        <w:rPr>
          <w:i/>
        </w:rPr>
        <w:t>c ≥ 0.45</w:t>
      </w:r>
      <w:r>
        <w:t xml:space="preserve">; else </w:t>
      </w:r>
      <w:r>
        <w:rPr>
          <w:rFonts w:ascii="Courier New" w:hAnsi="Courier New" w:eastAsia="Courier New" w:cs="Courier New"/>
          <w:color w:val="000000"/>
          <w:sz w:val="22"/>
        </w:rPr>
        <w:t>supported</w:t>
      </w:r>
      <w:r>
        <w:t xml:space="preserve"> if Bel ≥ 0.5; else </w:t>
      </w:r>
      <w:r>
        <w:rPr>
          <w:rFonts w:ascii="Courier New" w:hAnsi="Courier New" w:eastAsia="Courier New" w:cs="Courier New"/>
          <w:color w:val="000000"/>
          <w:sz w:val="22"/>
        </w:rPr>
        <w:t>refuted</w:t>
      </w:r>
      <w:r>
        <w:t xml:space="preserve"> if Pl ≤ 0.35; else </w:t>
      </w:r>
      <w:r>
        <w:rPr>
          <w:rFonts w:ascii="Courier New" w:hAnsi="Courier New" w:eastAsia="Courier New" w:cs="Courier New"/>
          <w:color w:val="000000"/>
          <w:sz w:val="22"/>
        </w:rPr>
        <w:t>insufficient</w:t>
      </w:r>
      <w:r>
        <w:t xml:space="preserve"> if Pl − Bel ≥ 0.40; else </w:t>
      </w:r>
      <w:r>
        <w:rPr>
          <w:rFonts w:ascii="Courier New" w:hAnsi="Courier New" w:eastAsia="Courier New" w:cs="Courier New"/>
          <w:color w:val="000000"/>
          <w:sz w:val="22"/>
        </w:rPr>
        <w:t>weak</w:t>
      </w:r>
      <w:r>
        <w:t xml:space="preserve">. A met expert constellation that lands in conflicting/weak/insufficient is reported </w:t>
      </w:r>
      <w:r>
        <w:rPr>
          <w:rFonts w:ascii="Courier New" w:hAnsi="Courier New" w:eastAsia="Courier New" w:cs="Courier New"/>
          <w:color w:val="000000"/>
          <w:sz w:val="22"/>
        </w:rPr>
        <w:t>supported</w:t>
      </w:r>
      <w:r>
        <w:t>.</w:t>
      </w:r>
    </w:p>
    <w:p>
      <w:r>
        <w:rPr>
          <w:b/>
        </w:rPr>
        <w:t>Step 8 — ceilings and final score.</w:t>
      </w:r>
      <w:r>
        <w:t xml:space="preserve"> Single non-rule layer: </w:t>
      </w:r>
      <w:r>
        <w:rPr>
          <w:i/>
        </w:rPr>
        <w:t>score ≤ (Bel + Pl)/2</w:t>
      </w:r>
      <w:r>
        <w:t xml:space="preserve">. </w:t>
      </w:r>
      <w:r>
        <w:rPr>
          <w:rFonts w:ascii="Courier New" w:hAnsi="Courier New" w:eastAsia="Courier New" w:cs="Courier New"/>
          <w:color w:val="000000"/>
          <w:sz w:val="22"/>
        </w:rPr>
        <w:t>insufficient</w:t>
      </w:r>
      <w:r>
        <w:t xml:space="preserve"> single-source non-anchored non-finding entity: </w:t>
      </w:r>
      <w:r>
        <w:rPr>
          <w:i/>
        </w:rPr>
        <w:t>score ≤ 0.49</w:t>
      </w:r>
      <w:r>
        <w:t xml:space="preserve"> (below the 0.5 assertion point). Entities whose rules read only ubiquitous analytes: </w:t>
      </w:r>
      <w:r>
        <w:rPr>
          <w:i/>
        </w:rPr>
        <w:t>score ≤ 0.35</w:t>
      </w:r>
      <w:r>
        <w:t xml:space="preserve">. Finally </w:t>
      </w:r>
      <w:r>
        <w:rPr>
          <w:i/>
        </w:rPr>
        <w:t>score_cal = score</w:t>
      </w:r>
      <w:r>
        <w:t xml:space="preserve"> if confidence ≥ 0.3, else </w:t>
      </w:r>
      <w:r>
        <w:rPr>
          <w:i/>
        </w:rPr>
        <w:t>score · confidence/0.3</w:t>
      </w:r>
      <w:r>
        <w:t xml:space="preserve"> when score &lt; 0.5 and </w:t>
      </w:r>
      <w:r>
        <w:rPr>
          <w:i/>
        </w:rPr>
        <w:t>0.5 + (score − 0.5)·confidence</w:t>
      </w:r>
      <w:r>
        <w:t xml:space="preserve"> otherwise. </w:t>
      </w:r>
      <w:r>
        <w:rPr>
          <w:b/>
        </w:rPr>
        <w:t>This final value is the rank score; it is not a probability</w:t>
      </w:r>
      <w:r>
        <w:t xml:space="preserve"> (calibration slope 0.25, main text Section on calibration). Ranking uses the rank score; Bel/Pl/state are displayed, not ranked.</w:t>
      </w:r>
    </w:p>
    <w:p>
      <w:r>
        <w:rPr>
          <w:b/>
        </w:rPr>
        <w:t>Table N3-1. Fusion weights, profiles and reliability.</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cantSplit/>
          <w:tblHeader/>
        </w:trPr>
        <w:tc>
          <w:tcPr>
            <w:tcW w:type="dxa" w:w="1512"/>
            <w:shd w:val="clear" w:fill="F2F2F2"/>
          </w:tcPr>
          <w:p>
            <w:pPr>
              <w:spacing w:line="240" w:lineRule="auto" w:after="0" w:before="0"/>
            </w:pPr>
            <w:r>
              <w:rPr>
                <w:b/>
              </w:rPr>
            </w:r>
            <w:r>
              <w:rPr>
                <w:b/>
                <w:sz w:val="16"/>
              </w:rPr>
              <w:t>profile (trigger domains)</w:t>
            </w:r>
          </w:p>
        </w:tc>
        <w:tc>
          <w:tcPr>
            <w:tcW w:type="dxa" w:w="1512"/>
            <w:shd w:val="clear" w:fill="F2F2F2"/>
          </w:tcPr>
          <w:p>
            <w:pPr>
              <w:spacing w:line="240" w:lineRule="auto" w:after="0" w:before="0"/>
            </w:pPr>
            <w:r>
              <w:rPr>
                <w:b/>
              </w:rPr>
            </w:r>
            <w:r>
              <w:rPr>
                <w:b/>
                <w:sz w:val="16"/>
              </w:rPr>
              <w:t>rule</w:t>
            </w:r>
          </w:p>
        </w:tc>
        <w:tc>
          <w:tcPr>
            <w:tcW w:type="dxa" w:w="1512"/>
            <w:shd w:val="clear" w:fill="F2F2F2"/>
          </w:tcPr>
          <w:p>
            <w:pPr>
              <w:spacing w:line="240" w:lineRule="auto" w:after="0" w:before="0"/>
            </w:pPr>
            <w:r>
              <w:rPr>
                <w:b/>
              </w:rPr>
            </w:r>
            <w:r>
              <w:rPr>
                <w:b/>
                <w:sz w:val="16"/>
              </w:rPr>
              <w:t>Bayesian</w:t>
            </w:r>
          </w:p>
        </w:tc>
        <w:tc>
          <w:tcPr>
            <w:tcW w:type="dxa" w:w="1512"/>
            <w:shd w:val="clear" w:fill="F2F2F2"/>
          </w:tcPr>
          <w:p>
            <w:pPr>
              <w:spacing w:line="240" w:lineRule="auto" w:after="0" w:before="0"/>
            </w:pPr>
            <w:r>
              <w:rPr>
                <w:b/>
              </w:rPr>
            </w:r>
            <w:r>
              <w:rPr>
                <w:b/>
                <w:sz w:val="16"/>
              </w:rPr>
              <w:t>fuzzy</w:t>
            </w:r>
          </w:p>
        </w:tc>
        <w:tc>
          <w:tcPr>
            <w:tcW w:type="dxa" w:w="1512"/>
            <w:shd w:val="clear" w:fill="F2F2F2"/>
          </w:tcPr>
          <w:p>
            <w:pPr>
              <w:spacing w:line="240" w:lineRule="auto" w:after="0" w:before="0"/>
            </w:pPr>
            <w:r>
              <w:rPr>
                <w:b/>
              </w:rPr>
            </w:r>
            <w:r>
              <w:rPr>
                <w:b/>
                <w:sz w:val="16"/>
              </w:rPr>
              <w:t>graph</w:t>
            </w:r>
          </w:p>
        </w:tc>
        <w:tc>
          <w:tcPr>
            <w:tcW w:type="dxa" w:w="1512"/>
            <w:shd w:val="clear" w:fill="F2F2F2"/>
          </w:tcPr>
          <w:p>
            <w:pPr>
              <w:spacing w:line="240" w:lineRule="auto" w:after="0" w:before="0"/>
            </w:pPr>
            <w:r>
              <w:rPr>
                <w:b/>
              </w:rPr>
            </w:r>
            <w:r>
              <w:rPr>
                <w:b/>
                <w:sz w:val="16"/>
              </w:rPr>
              <w:t>risk</w:t>
            </w:r>
          </w:p>
        </w:tc>
      </w:tr>
      <w:tr>
        <w:trPr>
          <w:cantSplit/>
        </w:trPr>
        <w:tc>
          <w:tcPr>
            <w:tcW w:type="dxa" w:w="1512"/>
          </w:tcPr>
          <w:p>
            <w:pPr>
              <w:spacing w:line="240" w:lineRule="auto" w:after="0" w:before="0"/>
            </w:pPr>
            <w:r/>
            <w:r>
              <w:rPr>
                <w:sz w:val="16"/>
              </w:rPr>
              <w:t>default</w:t>
            </w:r>
          </w:p>
        </w:tc>
        <w:tc>
          <w:tcPr>
            <w:tcW w:type="dxa" w:w="1512"/>
          </w:tcPr>
          <w:p>
            <w:pPr>
              <w:spacing w:line="240" w:lineRule="auto" w:after="0" w:before="0"/>
            </w:pPr>
            <w:r/>
            <w:r>
              <w:rPr>
                <w:sz w:val="16"/>
              </w:rPr>
              <w:t>0.35</w:t>
            </w:r>
          </w:p>
        </w:tc>
        <w:tc>
          <w:tcPr>
            <w:tcW w:type="dxa" w:w="1512"/>
          </w:tcPr>
          <w:p>
            <w:pPr>
              <w:spacing w:line="240" w:lineRule="auto" w:after="0" w:before="0"/>
            </w:pPr>
            <w:r/>
            <w:r>
              <w:rPr>
                <w:sz w:val="16"/>
              </w:rPr>
              <w:t>0.25</w:t>
            </w:r>
          </w:p>
        </w:tc>
        <w:tc>
          <w:tcPr>
            <w:tcW w:type="dxa" w:w="1512"/>
          </w:tcPr>
          <w:p>
            <w:pPr>
              <w:spacing w:line="240" w:lineRule="auto" w:after="0" w:before="0"/>
            </w:pPr>
            <w:r/>
            <w:r>
              <w:rPr>
                <w:sz w:val="16"/>
              </w:rPr>
              <w:t>0.20</w:t>
            </w:r>
          </w:p>
        </w:tc>
        <w:tc>
          <w:tcPr>
            <w:tcW w:type="dxa" w:w="1512"/>
          </w:tcPr>
          <w:p>
            <w:pPr>
              <w:spacing w:line="240" w:lineRule="auto" w:after="0" w:before="0"/>
            </w:pPr>
            <w:r/>
            <w:r>
              <w:rPr>
                <w:sz w:val="16"/>
              </w:rPr>
              <w:t>0.10</w:t>
            </w:r>
          </w:p>
        </w:tc>
        <w:tc>
          <w:tcPr>
            <w:tcW w:type="dxa" w:w="1512"/>
          </w:tcPr>
          <w:p>
            <w:pPr>
              <w:spacing w:line="240" w:lineRule="auto" w:after="0" w:before="0"/>
            </w:pPr>
            <w:r/>
            <w:r>
              <w:rPr>
                <w:sz w:val="16"/>
              </w:rPr>
              <w:t>0.10</w:t>
            </w:r>
          </w:p>
        </w:tc>
      </w:tr>
      <w:tr>
        <w:trPr>
          <w:cantSplit/>
        </w:trPr>
        <w:tc>
          <w:tcPr>
            <w:tcW w:type="dxa" w:w="1512"/>
          </w:tcPr>
          <w:p>
            <w:pPr>
              <w:spacing w:line="240" w:lineRule="auto" w:after="0" w:before="0"/>
            </w:pPr>
            <w:r/>
            <w:r>
              <w:rPr>
                <w:sz w:val="16"/>
              </w:rPr>
              <w:t>toxicology (toxicology, TDM, poisoning)</w:t>
            </w:r>
          </w:p>
        </w:tc>
        <w:tc>
          <w:tcPr>
            <w:tcW w:type="dxa" w:w="1512"/>
          </w:tcPr>
          <w:p>
            <w:pPr>
              <w:spacing w:line="240" w:lineRule="auto" w:after="0" w:before="0"/>
            </w:pPr>
            <w:r/>
            <w:r>
              <w:rPr>
                <w:sz w:val="16"/>
              </w:rPr>
              <w:t>0.55</w:t>
            </w:r>
          </w:p>
        </w:tc>
        <w:tc>
          <w:tcPr>
            <w:tcW w:type="dxa" w:w="1512"/>
          </w:tcPr>
          <w:p>
            <w:pPr>
              <w:spacing w:line="240" w:lineRule="auto" w:after="0" w:before="0"/>
            </w:pPr>
            <w:r/>
            <w:r>
              <w:rPr>
                <w:sz w:val="16"/>
              </w:rPr>
              <w:t>0.15</w:t>
            </w:r>
          </w:p>
        </w:tc>
        <w:tc>
          <w:tcPr>
            <w:tcW w:type="dxa" w:w="1512"/>
          </w:tcPr>
          <w:p>
            <w:pPr>
              <w:spacing w:line="240" w:lineRule="auto" w:after="0" w:before="0"/>
            </w:pPr>
            <w:r/>
            <w:r>
              <w:rPr>
                <w:sz w:val="16"/>
              </w:rPr>
              <w:t>0.15</w:t>
            </w:r>
          </w:p>
        </w:tc>
        <w:tc>
          <w:tcPr>
            <w:tcW w:type="dxa" w:w="1512"/>
          </w:tcPr>
          <w:p>
            <w:pPr>
              <w:spacing w:line="240" w:lineRule="auto" w:after="0" w:before="0"/>
            </w:pPr>
            <w:r/>
            <w:r>
              <w:rPr>
                <w:sz w:val="16"/>
              </w:rPr>
              <w:t>0.05</w:t>
            </w:r>
          </w:p>
        </w:tc>
        <w:tc>
          <w:tcPr>
            <w:tcW w:type="dxa" w:w="1512"/>
          </w:tcPr>
          <w:p>
            <w:pPr>
              <w:spacing w:line="240" w:lineRule="auto" w:after="0" w:before="0"/>
            </w:pPr>
            <w:r/>
            <w:r>
              <w:rPr>
                <w:sz w:val="16"/>
              </w:rPr>
              <w:t>0.10</w:t>
            </w:r>
          </w:p>
        </w:tc>
      </w:tr>
      <w:tr>
        <w:trPr>
          <w:cantSplit/>
        </w:trPr>
        <w:tc>
          <w:tcPr>
            <w:tcW w:type="dxa" w:w="1512"/>
          </w:tcPr>
          <w:p>
            <w:pPr>
              <w:spacing w:line="240" w:lineRule="auto" w:after="0" w:before="0"/>
            </w:pPr>
            <w:r/>
            <w:r>
              <w:rPr>
                <w:sz w:val="16"/>
              </w:rPr>
              <w:t>critical (critical care, acid–base, blood gas, electrolyte, emergency)</w:t>
            </w:r>
          </w:p>
        </w:tc>
        <w:tc>
          <w:tcPr>
            <w:tcW w:type="dxa" w:w="1512"/>
          </w:tcPr>
          <w:p>
            <w:pPr>
              <w:spacing w:line="240" w:lineRule="auto" w:after="0" w:before="0"/>
            </w:pPr>
            <w:r/>
            <w:r>
              <w:rPr>
                <w:sz w:val="16"/>
              </w:rPr>
              <w:t>0.50</w:t>
            </w:r>
          </w:p>
        </w:tc>
        <w:tc>
          <w:tcPr>
            <w:tcW w:type="dxa" w:w="1512"/>
          </w:tcPr>
          <w:p>
            <w:pPr>
              <w:spacing w:line="240" w:lineRule="auto" w:after="0" w:before="0"/>
            </w:pPr>
            <w:r/>
            <w:r>
              <w:rPr>
                <w:sz w:val="16"/>
              </w:rPr>
              <w:t>0.20</w:t>
            </w:r>
          </w:p>
        </w:tc>
        <w:tc>
          <w:tcPr>
            <w:tcW w:type="dxa" w:w="1512"/>
          </w:tcPr>
          <w:p>
            <w:pPr>
              <w:spacing w:line="240" w:lineRule="auto" w:after="0" w:before="0"/>
            </w:pPr>
            <w:r/>
            <w:r>
              <w:rPr>
                <w:sz w:val="16"/>
              </w:rPr>
              <w:t>0.15</w:t>
            </w:r>
          </w:p>
        </w:tc>
        <w:tc>
          <w:tcPr>
            <w:tcW w:type="dxa" w:w="1512"/>
          </w:tcPr>
          <w:p>
            <w:pPr>
              <w:spacing w:line="240" w:lineRule="auto" w:after="0" w:before="0"/>
            </w:pPr>
            <w:r/>
            <w:r>
              <w:rPr>
                <w:sz w:val="16"/>
              </w:rPr>
              <w:t>0.05</w:t>
            </w:r>
          </w:p>
        </w:tc>
        <w:tc>
          <w:tcPr>
            <w:tcW w:type="dxa" w:w="1512"/>
          </w:tcPr>
          <w:p>
            <w:pPr>
              <w:spacing w:line="240" w:lineRule="auto" w:after="0" w:before="0"/>
            </w:pPr>
            <w:r/>
            <w:r>
              <w:rPr>
                <w:sz w:val="16"/>
              </w:rPr>
              <w:t>0.10</w:t>
            </w:r>
          </w:p>
        </w:tc>
      </w:tr>
      <w:tr>
        <w:trPr>
          <w:cantSplit/>
        </w:trPr>
        <w:tc>
          <w:tcPr>
            <w:tcW w:type="dxa" w:w="1512"/>
          </w:tcPr>
          <w:p>
            <w:pPr>
              <w:spacing w:line="240" w:lineRule="auto" w:after="0" w:before="0"/>
            </w:pPr>
            <w:r/>
            <w:r>
              <w:rPr>
                <w:sz w:val="16"/>
              </w:rPr>
              <w:t>autoimmune (autoimmune, rheumatology, immunology, vasculitis)</w:t>
            </w:r>
          </w:p>
        </w:tc>
        <w:tc>
          <w:tcPr>
            <w:tcW w:type="dxa" w:w="1512"/>
          </w:tcPr>
          <w:p>
            <w:pPr>
              <w:spacing w:line="240" w:lineRule="auto" w:after="0" w:before="0"/>
            </w:pPr>
            <w:r/>
            <w:r>
              <w:rPr>
                <w:sz w:val="16"/>
              </w:rPr>
              <w:t>0.30</w:t>
            </w:r>
          </w:p>
        </w:tc>
        <w:tc>
          <w:tcPr>
            <w:tcW w:type="dxa" w:w="1512"/>
          </w:tcPr>
          <w:p>
            <w:pPr>
              <w:spacing w:line="240" w:lineRule="auto" w:after="0" w:before="0"/>
            </w:pPr>
            <w:r/>
            <w:r>
              <w:rPr>
                <w:sz w:val="16"/>
              </w:rPr>
              <w:t>0.20</w:t>
            </w:r>
          </w:p>
        </w:tc>
        <w:tc>
          <w:tcPr>
            <w:tcW w:type="dxa" w:w="1512"/>
          </w:tcPr>
          <w:p>
            <w:pPr>
              <w:spacing w:line="240" w:lineRule="auto" w:after="0" w:before="0"/>
            </w:pPr>
            <w:r/>
            <w:r>
              <w:rPr>
                <w:sz w:val="16"/>
              </w:rPr>
              <w:t>0.20</w:t>
            </w:r>
          </w:p>
        </w:tc>
        <w:tc>
          <w:tcPr>
            <w:tcW w:type="dxa" w:w="1512"/>
          </w:tcPr>
          <w:p>
            <w:pPr>
              <w:spacing w:line="240" w:lineRule="auto" w:after="0" w:before="0"/>
            </w:pPr>
            <w:r/>
            <w:r>
              <w:rPr>
                <w:sz w:val="16"/>
              </w:rPr>
              <w:t>0.25</w:t>
            </w:r>
          </w:p>
        </w:tc>
        <w:tc>
          <w:tcPr>
            <w:tcW w:type="dxa" w:w="1512"/>
          </w:tcPr>
          <w:p>
            <w:pPr>
              <w:spacing w:line="240" w:lineRule="auto" w:after="0" w:before="0"/>
            </w:pPr>
            <w:r/>
            <w:r>
              <w:rPr>
                <w:sz w:val="16"/>
              </w:rPr>
              <w:t>0.05</w:t>
            </w:r>
          </w:p>
        </w:tc>
      </w:tr>
      <w:tr>
        <w:trPr>
          <w:cantSplit/>
        </w:trPr>
        <w:tc>
          <w:tcPr>
            <w:tcW w:type="dxa" w:w="1512"/>
          </w:tcPr>
          <w:p>
            <w:pPr>
              <w:spacing w:line="240" w:lineRule="auto" w:after="0" w:before="0"/>
            </w:pPr>
            <w:r/>
            <w:r>
              <w:rPr>
                <w:sz w:val="16"/>
              </w:rPr>
              <w:t>oncology (oncology, tumour markers, haematologic malignancy)</w:t>
            </w:r>
          </w:p>
        </w:tc>
        <w:tc>
          <w:tcPr>
            <w:tcW w:type="dxa" w:w="1512"/>
          </w:tcPr>
          <w:p>
            <w:pPr>
              <w:spacing w:line="240" w:lineRule="auto" w:after="0" w:before="0"/>
            </w:pPr>
            <w:r/>
            <w:r>
              <w:rPr>
                <w:sz w:val="16"/>
              </w:rPr>
              <w:t>0.30</w:t>
            </w:r>
          </w:p>
        </w:tc>
        <w:tc>
          <w:tcPr>
            <w:tcW w:type="dxa" w:w="1512"/>
          </w:tcPr>
          <w:p>
            <w:pPr>
              <w:spacing w:line="240" w:lineRule="auto" w:after="0" w:before="0"/>
            </w:pPr>
            <w:r/>
            <w:r>
              <w:rPr>
                <w:sz w:val="16"/>
              </w:rPr>
              <w:t>0.35</w:t>
            </w:r>
          </w:p>
        </w:tc>
        <w:tc>
          <w:tcPr>
            <w:tcW w:type="dxa" w:w="1512"/>
          </w:tcPr>
          <w:p>
            <w:pPr>
              <w:spacing w:line="240" w:lineRule="auto" w:after="0" w:before="0"/>
            </w:pPr>
            <w:r/>
            <w:r>
              <w:rPr>
                <w:sz w:val="16"/>
              </w:rPr>
              <w:t>0.15</w:t>
            </w:r>
          </w:p>
        </w:tc>
        <w:tc>
          <w:tcPr>
            <w:tcW w:type="dxa" w:w="1512"/>
          </w:tcPr>
          <w:p>
            <w:pPr>
              <w:spacing w:line="240" w:lineRule="auto" w:after="0" w:before="0"/>
            </w:pPr>
            <w:r/>
            <w:r>
              <w:rPr>
                <w:sz w:val="16"/>
              </w:rPr>
              <w:t>0.15</w:t>
            </w:r>
          </w:p>
        </w:tc>
        <w:tc>
          <w:tcPr>
            <w:tcW w:type="dxa" w:w="1512"/>
          </w:tcPr>
          <w:p>
            <w:pPr>
              <w:spacing w:line="240" w:lineRule="auto" w:after="0" w:before="0"/>
            </w:pPr>
            <w:r/>
            <w:r>
              <w:rPr>
                <w:sz w:val="16"/>
              </w:rPr>
              <w:t>0.05</w:t>
            </w:r>
          </w:p>
        </w:tc>
      </w:tr>
      <w:tr>
        <w:trPr>
          <w:cantSplit/>
        </w:trPr>
        <w:tc>
          <w:tcPr>
            <w:tcW w:type="dxa" w:w="1512"/>
          </w:tcPr>
          <w:p>
            <w:pPr>
              <w:spacing w:line="240" w:lineRule="auto" w:after="0" w:before="0"/>
            </w:pPr>
            <w:r/>
            <w:r>
              <w:rPr>
                <w:sz w:val="16"/>
              </w:rPr>
              <w:t>endocrine (endocrine, thyroid, adrenal, pituitary, reproductive)</w:t>
            </w:r>
          </w:p>
        </w:tc>
        <w:tc>
          <w:tcPr>
            <w:tcW w:type="dxa" w:w="1512"/>
          </w:tcPr>
          <w:p>
            <w:pPr>
              <w:spacing w:line="240" w:lineRule="auto" w:after="0" w:before="0"/>
            </w:pPr>
            <w:r/>
            <w:r>
              <w:rPr>
                <w:sz w:val="16"/>
              </w:rPr>
              <w:t>0.35</w:t>
            </w:r>
          </w:p>
        </w:tc>
        <w:tc>
          <w:tcPr>
            <w:tcW w:type="dxa" w:w="1512"/>
          </w:tcPr>
          <w:p>
            <w:pPr>
              <w:spacing w:line="240" w:lineRule="auto" w:after="0" w:before="0"/>
            </w:pPr>
            <w:r/>
            <w:r>
              <w:rPr>
                <w:sz w:val="16"/>
              </w:rPr>
              <w:t>0.25</w:t>
            </w:r>
          </w:p>
        </w:tc>
        <w:tc>
          <w:tcPr>
            <w:tcW w:type="dxa" w:w="1512"/>
          </w:tcPr>
          <w:p>
            <w:pPr>
              <w:spacing w:line="240" w:lineRule="auto" w:after="0" w:before="0"/>
            </w:pPr>
            <w:r/>
            <w:r>
              <w:rPr>
                <w:sz w:val="16"/>
              </w:rPr>
              <w:t>0.25</w:t>
            </w:r>
          </w:p>
        </w:tc>
        <w:tc>
          <w:tcPr>
            <w:tcW w:type="dxa" w:w="1512"/>
          </w:tcPr>
          <w:p>
            <w:pPr>
              <w:spacing w:line="240" w:lineRule="auto" w:after="0" w:before="0"/>
            </w:pPr>
            <w:r/>
            <w:r>
              <w:rPr>
                <w:sz w:val="16"/>
              </w:rPr>
              <w:t>0.10</w:t>
            </w:r>
          </w:p>
        </w:tc>
        <w:tc>
          <w:tcPr>
            <w:tcW w:type="dxa" w:w="1512"/>
          </w:tcPr>
          <w:p>
            <w:pPr>
              <w:spacing w:line="240" w:lineRule="auto" w:after="0" w:before="0"/>
            </w:pPr>
            <w:r/>
            <w:r>
              <w:rPr>
                <w:sz w:val="16"/>
              </w:rPr>
              <w:t>0.05</w:t>
            </w:r>
          </w:p>
        </w:tc>
      </w:tr>
      <w:tr>
        <w:trPr>
          <w:cantSplit/>
        </w:trPr>
        <w:tc>
          <w:tcPr>
            <w:tcW w:type="dxa" w:w="1512"/>
          </w:tcPr>
          <w:p>
            <w:pPr>
              <w:spacing w:line="240" w:lineRule="auto" w:after="0" w:before="0"/>
            </w:pPr>
            <w:r/>
            <w:r>
              <w:rPr>
                <w:sz w:val="16"/>
              </w:rPr>
              <w:t>cardiometabolic (cardiovascular, lipid, metabolic, diabetes)</w:t>
            </w:r>
          </w:p>
        </w:tc>
        <w:tc>
          <w:tcPr>
            <w:tcW w:type="dxa" w:w="1512"/>
          </w:tcPr>
          <w:p>
            <w:pPr>
              <w:spacing w:line="240" w:lineRule="auto" w:after="0" w:before="0"/>
            </w:pPr>
            <w:r/>
            <w:r>
              <w:rPr>
                <w:sz w:val="16"/>
              </w:rPr>
              <w:t>0.30</w:t>
            </w:r>
          </w:p>
        </w:tc>
        <w:tc>
          <w:tcPr>
            <w:tcW w:type="dxa" w:w="1512"/>
          </w:tcPr>
          <w:p>
            <w:pPr>
              <w:spacing w:line="240" w:lineRule="auto" w:after="0" w:before="0"/>
            </w:pPr>
            <w:r/>
            <w:r>
              <w:rPr>
                <w:sz w:val="16"/>
              </w:rPr>
              <w:t>0.20</w:t>
            </w:r>
          </w:p>
        </w:tc>
        <w:tc>
          <w:tcPr>
            <w:tcW w:type="dxa" w:w="1512"/>
          </w:tcPr>
          <w:p>
            <w:pPr>
              <w:spacing w:line="240" w:lineRule="auto" w:after="0" w:before="0"/>
            </w:pPr>
            <w:r/>
            <w:r>
              <w:rPr>
                <w:sz w:val="16"/>
              </w:rPr>
              <w:t>0.15</w:t>
            </w:r>
          </w:p>
        </w:tc>
        <w:tc>
          <w:tcPr>
            <w:tcW w:type="dxa" w:w="1512"/>
          </w:tcPr>
          <w:p>
            <w:pPr>
              <w:spacing w:line="240" w:lineRule="auto" w:after="0" w:before="0"/>
            </w:pPr>
            <w:r/>
            <w:r>
              <w:rPr>
                <w:sz w:val="16"/>
              </w:rPr>
              <w:t>0.10</w:t>
            </w:r>
          </w:p>
        </w:tc>
        <w:tc>
          <w:tcPr>
            <w:tcW w:type="dxa" w:w="1512"/>
          </w:tcPr>
          <w:p>
            <w:pPr>
              <w:spacing w:line="240" w:lineRule="auto" w:after="0" w:before="0"/>
            </w:pPr>
            <w:r/>
            <w:r>
              <w:rPr>
                <w:sz w:val="16"/>
              </w:rPr>
              <w:t>0.25</w:t>
            </w:r>
          </w:p>
        </w:tc>
      </w:tr>
      <w:tr>
        <w:trPr>
          <w:cantSplit/>
        </w:trPr>
        <w:tc>
          <w:tcPr>
            <w:tcW w:type="dxa" w:w="1512"/>
          </w:tcPr>
          <w:p>
            <w:pPr>
              <w:spacing w:line="240" w:lineRule="auto" w:after="0" w:before="0"/>
            </w:pPr>
            <w:r/>
            <w:r>
              <w:rPr>
                <w:sz w:val="16"/>
              </w:rPr>
              <w:t>reliability ρ_m = min(0.95, w/0.35)</w:t>
            </w:r>
          </w:p>
        </w:tc>
        <w:tc>
          <w:tcPr>
            <w:tcW w:type="dxa" w:w="1512"/>
          </w:tcPr>
          <w:p>
            <w:pPr>
              <w:spacing w:line="240" w:lineRule="auto" w:after="0" w:before="0"/>
            </w:pPr>
            <w:r/>
            <w:r>
              <w:rPr>
                <w:sz w:val="16"/>
              </w:rPr>
              <w:t>0.95</w:t>
            </w:r>
          </w:p>
        </w:tc>
        <w:tc>
          <w:tcPr>
            <w:tcW w:type="dxa" w:w="1512"/>
          </w:tcPr>
          <w:p>
            <w:pPr>
              <w:spacing w:line="240" w:lineRule="auto" w:after="0" w:before="0"/>
            </w:pPr>
            <w:r/>
            <w:r>
              <w:rPr>
                <w:sz w:val="16"/>
              </w:rPr>
              <w:t>0.71</w:t>
            </w:r>
          </w:p>
        </w:tc>
        <w:tc>
          <w:tcPr>
            <w:tcW w:type="dxa" w:w="1512"/>
          </w:tcPr>
          <w:p>
            <w:pPr>
              <w:spacing w:line="240" w:lineRule="auto" w:after="0" w:before="0"/>
            </w:pPr>
            <w:r/>
            <w:r>
              <w:rPr>
                <w:sz w:val="16"/>
              </w:rPr>
              <w:t>0.57</w:t>
            </w:r>
          </w:p>
        </w:tc>
        <w:tc>
          <w:tcPr>
            <w:tcW w:type="dxa" w:w="1512"/>
          </w:tcPr>
          <w:p>
            <w:pPr>
              <w:spacing w:line="240" w:lineRule="auto" w:after="0" w:before="0"/>
            </w:pPr>
            <w:r/>
            <w:r>
              <w:rPr>
                <w:sz w:val="16"/>
              </w:rPr>
              <w:t>0.29</w:t>
            </w:r>
          </w:p>
        </w:tc>
        <w:tc>
          <w:tcPr>
            <w:tcW w:type="dxa" w:w="1512"/>
          </w:tcPr>
          <w:p>
            <w:pPr>
              <w:spacing w:line="240" w:lineRule="auto" w:after="0" w:before="0"/>
            </w:pPr>
            <w:r/>
            <w:r>
              <w:rPr>
                <w:sz w:val="16"/>
              </w:rPr>
              <w:t>0.29</w:t>
            </w:r>
          </w:p>
        </w:tc>
      </w:tr>
    </w:tbl>
    <w:p/>
    <w:p>
      <w:r>
        <w:t xml:space="preserve">Constants: </w:t>
      </w:r>
      <w:r>
        <w:rPr>
          <w:rFonts w:ascii="Courier New" w:hAnsi="Courier New" w:eastAsia="Courier New" w:cs="Courier New"/>
          <w:color w:val="000000"/>
          <w:sz w:val="22"/>
        </w:rPr>
        <w:t>RULE_ABSTAIN_BELOW</w:t>
      </w:r>
      <w:r>
        <w:t xml:space="preserve"> 0.05, </w:t>
      </w:r>
      <w:r>
        <w:rPr>
          <w:rFonts w:ascii="Courier New" w:hAnsi="Courier New" w:eastAsia="Courier New" w:cs="Courier New"/>
          <w:color w:val="000000"/>
          <w:sz w:val="22"/>
        </w:rPr>
        <w:t>SCEPTIC_SOFTNESS</w:t>
      </w:r>
      <w:r>
        <w:t xml:space="preserve"> 0.15, </w:t>
      </w:r>
      <w:r>
        <w:rPr>
          <w:rFonts w:ascii="Courier New" w:hAnsi="Courier New" w:eastAsia="Courier New" w:cs="Courier New"/>
          <w:color w:val="000000"/>
          <w:sz w:val="22"/>
        </w:rPr>
        <w:t>MAX_DISCORD_SHRINK</w:t>
      </w:r>
      <w:r>
        <w:t xml:space="preserve"> 0.45, </w:t>
      </w:r>
      <w:r>
        <w:rPr>
          <w:rFonts w:ascii="Courier New" w:hAnsi="Courier New" w:eastAsia="Courier New" w:cs="Courier New"/>
          <w:color w:val="000000"/>
          <w:sz w:val="22"/>
        </w:rPr>
        <w:t>SINGLE_SOURCE_DISCOUNT</w:t>
      </w:r>
      <w:r>
        <w:t xml:space="preserve"> 0.70, </w:t>
      </w:r>
      <w:r>
        <w:rPr>
          <w:rFonts w:ascii="Courier New" w:hAnsi="Courier New" w:eastAsia="Courier New" w:cs="Courier New"/>
          <w:color w:val="000000"/>
          <w:sz w:val="22"/>
        </w:rPr>
        <w:t>RED_FLAG_RULE_VOTE</w:t>
      </w:r>
      <w:r>
        <w:t xml:space="preserve"> 0.70, </w:t>
      </w:r>
      <w:r>
        <w:rPr>
          <w:rFonts w:ascii="Courier New" w:hAnsi="Courier New" w:eastAsia="Courier New" w:cs="Courier New"/>
          <w:color w:val="000000"/>
          <w:sz w:val="22"/>
        </w:rPr>
        <w:t>RED_FLAG_FLOOR_FRACTION</w:t>
      </w:r>
      <w:r>
        <w:t xml:space="preserve"> 0.65, </w:t>
      </w:r>
      <w:r>
        <w:rPr>
          <w:rFonts w:ascii="Courier New" w:hAnsi="Courier New" w:eastAsia="Courier New" w:cs="Courier New"/>
          <w:color w:val="000000"/>
          <w:sz w:val="22"/>
        </w:rPr>
        <w:t>GUIDELINE_ANCHOR_MIN_WEIGHT_SHARE</w:t>
      </w:r>
      <w:r>
        <w:t xml:space="preserve"> 0.75, </w:t>
      </w:r>
      <w:r>
        <w:rPr>
          <w:rFonts w:ascii="Courier New" w:hAnsi="Courier New" w:eastAsia="Courier New" w:cs="Courier New"/>
          <w:color w:val="000000"/>
          <w:sz w:val="22"/>
        </w:rPr>
        <w:t>INSUFFICIENT_CEILING</w:t>
      </w:r>
      <w:r>
        <w:t xml:space="preserve"> 0.49, </w:t>
      </w:r>
      <w:r>
        <w:rPr>
          <w:rFonts w:ascii="Courier New" w:hAnsi="Courier New" w:eastAsia="Courier New" w:cs="Courier New"/>
          <w:color w:val="000000"/>
          <w:sz w:val="22"/>
        </w:rPr>
        <w:t>NONSPECIFIC_ONLY_CEILING</w:t>
      </w:r>
      <w:r>
        <w:t xml:space="preserve"> 0.35. The weights were set by the first author a priori and never fitted; their influence is measured in Table 5 (uniform weights −1.4 points; Dempster instead of Yager −0.1) and Table S12.</w:t>
      </w:r>
    </w:p>
    <w:p>
      <w:r>
        <w:rPr>
          <w:b/>
        </w:rPr>
        <w:t>Table N3-2. The 27 cross-field consistency identities of the post-OCR solver (`ocr_consistency.py`, `CHECKS`).</w:t>
      </w:r>
      <w:r>
        <w:t xml:space="preserve"> Each identity is evaluated when all its analytes are present; a failed identity triggers a search for a single-field repair (decimal shift ×0.1–×1000, glyph confusions 1↔7, 0↔8, 5↔6, 3↔8, 6↔8, 2↔7, 4↔9, 0↔6, 1↔4, 6↔9) that is kept only if every identity involving that field then passes. The solver is structural (no data, no model) and acts only on the OCR path, not on the structured-input evaluations in this paper.</w:t>
      </w:r>
    </w:p>
    <w:tbl>
      <w:tblPr>
        <w:tblStyle w:val="TableGrid"/>
        <w:tblW w:type="auto" w:w="0"/>
        <w:jc w:val="center"/>
        <w:tblLook w:firstColumn="1" w:firstRow="1" w:lastColumn="0" w:lastRow="0" w:noHBand="0" w:noVBand="1" w:val="04A0"/>
      </w:tblPr>
      <w:tblGrid>
        <w:gridCol w:w="3024"/>
        <w:gridCol w:w="3024"/>
        <w:gridCol w:w="3024"/>
      </w:tblGrid>
      <w:tr>
        <w:trPr>
          <w:cantSplit/>
          <w:tblHeader/>
        </w:trPr>
        <w:tc>
          <w:tcPr>
            <w:tcW w:type="dxa" w:w="3024"/>
            <w:shd w:val="clear" w:fill="F2F2F2"/>
          </w:tcPr>
          <w:p>
            <w:pPr>
              <w:spacing w:line="240" w:lineRule="auto" w:after="0" w:before="0"/>
            </w:pPr>
            <w:r>
              <w:rPr>
                <w:b/>
              </w:rPr>
            </w:r>
            <w:r>
              <w:rPr>
                <w:b/>
                <w:sz w:val="16"/>
              </w:rPr>
              <w:t>#</w:t>
            </w:r>
          </w:p>
        </w:tc>
        <w:tc>
          <w:tcPr>
            <w:tcW w:type="dxa" w:w="3024"/>
            <w:shd w:val="clear" w:fill="F2F2F2"/>
          </w:tcPr>
          <w:p>
            <w:pPr>
              <w:spacing w:line="240" w:lineRule="auto" w:after="0" w:before="0"/>
            </w:pPr>
            <w:r>
              <w:rPr>
                <w:b/>
              </w:rPr>
            </w:r>
            <w:r>
              <w:rPr>
                <w:b/>
                <w:sz w:val="16"/>
              </w:rPr>
              <w:t>identity</w:t>
            </w:r>
          </w:p>
        </w:tc>
        <w:tc>
          <w:tcPr>
            <w:tcW w:type="dxa" w:w="3024"/>
            <w:shd w:val="clear" w:fill="F2F2F2"/>
          </w:tcPr>
          <w:p>
            <w:pPr>
              <w:spacing w:line="240" w:lineRule="auto" w:after="0" w:before="0"/>
            </w:pPr>
            <w:r>
              <w:rPr>
                <w:b/>
              </w:rPr>
            </w:r>
            <w:r>
              <w:rPr>
                <w:b/>
                <w:sz w:val="16"/>
              </w:rPr>
              <w:t>analytes</w:t>
            </w:r>
          </w:p>
        </w:tc>
      </w:tr>
      <w:tr>
        <w:trPr>
          <w:cantSplit/>
        </w:trPr>
        <w:tc>
          <w:tcPr>
            <w:tcW w:type="dxa" w:w="3024"/>
          </w:tcPr>
          <w:p>
            <w:pPr>
              <w:spacing w:line="240" w:lineRule="auto" w:after="0" w:before="0"/>
            </w:pPr>
            <w:r/>
            <w:r>
              <w:rPr>
                <w:sz w:val="16"/>
              </w:rPr>
              <w:t>1</w:t>
            </w:r>
          </w:p>
        </w:tc>
        <w:tc>
          <w:tcPr>
            <w:tcW w:type="dxa" w:w="3024"/>
          </w:tcPr>
          <w:p>
            <w:pPr>
              <w:spacing w:line="240" w:lineRule="auto" w:after="0" w:before="0"/>
            </w:pPr>
            <w:r/>
            <w:r>
              <w:rPr>
                <w:rFonts w:ascii="Courier New" w:hAnsi="Courier New" w:eastAsia="Courier New" w:cs="Courier New"/>
                <w:color w:val="000000"/>
                <w:sz w:val="16"/>
              </w:rPr>
              <w:t>mchc_identity</w:t>
            </w:r>
          </w:p>
        </w:tc>
        <w:tc>
          <w:tcPr>
            <w:tcW w:type="dxa" w:w="3024"/>
          </w:tcPr>
          <w:p>
            <w:pPr>
              <w:spacing w:line="240" w:lineRule="auto" w:after="0" w:before="0"/>
            </w:pPr>
            <w:r/>
            <w:r>
              <w:rPr>
                <w:sz w:val="16"/>
              </w:rPr>
              <w:t>hemoglobin, hematocrit, mean_corpuscular_hemoglobin_concentration</w:t>
            </w:r>
          </w:p>
        </w:tc>
      </w:tr>
      <w:tr>
        <w:trPr>
          <w:cantSplit/>
        </w:trPr>
        <w:tc>
          <w:tcPr>
            <w:tcW w:type="dxa" w:w="3024"/>
          </w:tcPr>
          <w:p>
            <w:pPr>
              <w:spacing w:line="240" w:lineRule="auto" w:after="0" w:before="0"/>
            </w:pPr>
            <w:r/>
            <w:r>
              <w:rPr>
                <w:sz w:val="16"/>
              </w:rPr>
              <w:t>2</w:t>
            </w:r>
          </w:p>
        </w:tc>
        <w:tc>
          <w:tcPr>
            <w:tcW w:type="dxa" w:w="3024"/>
          </w:tcPr>
          <w:p>
            <w:pPr>
              <w:spacing w:line="240" w:lineRule="auto" w:after="0" w:before="0"/>
            </w:pPr>
            <w:r/>
            <w:r>
              <w:rPr>
                <w:rFonts w:ascii="Courier New" w:hAnsi="Courier New" w:eastAsia="Courier New" w:cs="Courier New"/>
                <w:color w:val="000000"/>
                <w:sz w:val="16"/>
              </w:rPr>
              <w:t>mcv_identity</w:t>
            </w:r>
          </w:p>
        </w:tc>
        <w:tc>
          <w:tcPr>
            <w:tcW w:type="dxa" w:w="3024"/>
          </w:tcPr>
          <w:p>
            <w:pPr>
              <w:spacing w:line="240" w:lineRule="auto" w:after="0" w:before="0"/>
            </w:pPr>
            <w:r/>
            <w:r>
              <w:rPr>
                <w:sz w:val="16"/>
              </w:rPr>
              <w:t>hematocrit, red_blood_cell_count, mean_corpuscular_volume</w:t>
            </w:r>
          </w:p>
        </w:tc>
      </w:tr>
      <w:tr>
        <w:trPr>
          <w:cantSplit/>
        </w:trPr>
        <w:tc>
          <w:tcPr>
            <w:tcW w:type="dxa" w:w="3024"/>
          </w:tcPr>
          <w:p>
            <w:pPr>
              <w:spacing w:line="240" w:lineRule="auto" w:after="0" w:before="0"/>
            </w:pPr>
            <w:r/>
            <w:r>
              <w:rPr>
                <w:sz w:val="16"/>
              </w:rPr>
              <w:t>3</w:t>
            </w:r>
          </w:p>
        </w:tc>
        <w:tc>
          <w:tcPr>
            <w:tcW w:type="dxa" w:w="3024"/>
          </w:tcPr>
          <w:p>
            <w:pPr>
              <w:spacing w:line="240" w:lineRule="auto" w:after="0" w:before="0"/>
            </w:pPr>
            <w:r/>
            <w:r>
              <w:rPr>
                <w:rFonts w:ascii="Courier New" w:hAnsi="Courier New" w:eastAsia="Courier New" w:cs="Courier New"/>
                <w:color w:val="000000"/>
                <w:sz w:val="16"/>
              </w:rPr>
              <w:t>mch_identity</w:t>
            </w:r>
          </w:p>
        </w:tc>
        <w:tc>
          <w:tcPr>
            <w:tcW w:type="dxa" w:w="3024"/>
          </w:tcPr>
          <w:p>
            <w:pPr>
              <w:spacing w:line="240" w:lineRule="auto" w:after="0" w:before="0"/>
            </w:pPr>
            <w:r/>
            <w:r>
              <w:rPr>
                <w:sz w:val="16"/>
              </w:rPr>
              <w:t>hemoglobin, red_blood_cell_count, mean_corpuscular_hemoglobin</w:t>
            </w:r>
          </w:p>
        </w:tc>
      </w:tr>
      <w:tr>
        <w:trPr>
          <w:cantSplit/>
        </w:trPr>
        <w:tc>
          <w:tcPr>
            <w:tcW w:type="dxa" w:w="3024"/>
          </w:tcPr>
          <w:p>
            <w:pPr>
              <w:spacing w:line="240" w:lineRule="auto" w:after="0" w:before="0"/>
            </w:pPr>
            <w:r/>
            <w:r>
              <w:rPr>
                <w:sz w:val="16"/>
              </w:rPr>
              <w:t>4</w:t>
            </w:r>
          </w:p>
        </w:tc>
        <w:tc>
          <w:tcPr>
            <w:tcW w:type="dxa" w:w="3024"/>
          </w:tcPr>
          <w:p>
            <w:pPr>
              <w:spacing w:line="240" w:lineRule="auto" w:after="0" w:before="0"/>
            </w:pPr>
            <w:r/>
            <w:r>
              <w:rPr>
                <w:rFonts w:ascii="Courier New" w:hAnsi="Courier New" w:eastAsia="Courier New" w:cs="Courier New"/>
                <w:color w:val="000000"/>
                <w:sz w:val="16"/>
              </w:rPr>
              <w:t>rule_of_three</w:t>
            </w:r>
          </w:p>
        </w:tc>
        <w:tc>
          <w:tcPr>
            <w:tcW w:type="dxa" w:w="3024"/>
          </w:tcPr>
          <w:p>
            <w:pPr>
              <w:spacing w:line="240" w:lineRule="auto" w:after="0" w:before="0"/>
            </w:pPr>
            <w:r/>
            <w:r>
              <w:rPr>
                <w:sz w:val="16"/>
              </w:rPr>
              <w:t>hemoglobin, hematocrit</w:t>
            </w:r>
          </w:p>
        </w:tc>
      </w:tr>
      <w:tr>
        <w:trPr>
          <w:cantSplit/>
        </w:trPr>
        <w:tc>
          <w:tcPr>
            <w:tcW w:type="dxa" w:w="3024"/>
          </w:tcPr>
          <w:p>
            <w:pPr>
              <w:spacing w:line="240" w:lineRule="auto" w:after="0" w:before="0"/>
            </w:pPr>
            <w:r/>
            <w:r>
              <w:rPr>
                <w:sz w:val="16"/>
              </w:rPr>
              <w:t>5</w:t>
            </w:r>
          </w:p>
        </w:tc>
        <w:tc>
          <w:tcPr>
            <w:tcW w:type="dxa" w:w="3024"/>
          </w:tcPr>
          <w:p>
            <w:pPr>
              <w:spacing w:line="240" w:lineRule="auto" w:after="0" w:before="0"/>
            </w:pPr>
            <w:r/>
            <w:r>
              <w:rPr>
                <w:rFonts w:ascii="Courier New" w:hAnsi="Courier New" w:eastAsia="Courier New" w:cs="Courier New"/>
                <w:color w:val="000000"/>
                <w:sz w:val="16"/>
              </w:rPr>
              <w:t>differential_sum</w:t>
            </w:r>
          </w:p>
        </w:tc>
        <w:tc>
          <w:tcPr>
            <w:tcW w:type="dxa" w:w="3024"/>
          </w:tcPr>
          <w:p>
            <w:pPr>
              <w:spacing w:line="240" w:lineRule="auto" w:after="0" w:before="0"/>
            </w:pPr>
            <w:r/>
            <w:r>
              <w:rPr>
                <w:sz w:val="16"/>
              </w:rPr>
              <w:t>neutrophils_percent, lymphocytes_percent, monocytes_percent, eosinophils_percent, basophils_percent</w:t>
            </w:r>
          </w:p>
        </w:tc>
      </w:tr>
      <w:tr>
        <w:trPr>
          <w:cantSplit/>
        </w:trPr>
        <w:tc>
          <w:tcPr>
            <w:tcW w:type="dxa" w:w="3024"/>
          </w:tcPr>
          <w:p>
            <w:pPr>
              <w:spacing w:line="240" w:lineRule="auto" w:after="0" w:before="0"/>
            </w:pPr>
            <w:r/>
            <w:r>
              <w:rPr>
                <w:sz w:val="16"/>
              </w:rPr>
              <w:t>6</w:t>
            </w:r>
          </w:p>
        </w:tc>
        <w:tc>
          <w:tcPr>
            <w:tcW w:type="dxa" w:w="3024"/>
          </w:tcPr>
          <w:p>
            <w:pPr>
              <w:spacing w:line="240" w:lineRule="auto" w:after="0" w:before="0"/>
            </w:pPr>
            <w:r/>
            <w:r>
              <w:rPr>
                <w:rFonts w:ascii="Courier New" w:hAnsi="Courier New" w:eastAsia="Courier New" w:cs="Courier New"/>
                <w:color w:val="000000"/>
                <w:sz w:val="16"/>
              </w:rPr>
              <w:t>anc_identity</w:t>
            </w:r>
          </w:p>
        </w:tc>
        <w:tc>
          <w:tcPr>
            <w:tcW w:type="dxa" w:w="3024"/>
          </w:tcPr>
          <w:p>
            <w:pPr>
              <w:spacing w:line="240" w:lineRule="auto" w:after="0" w:before="0"/>
            </w:pPr>
            <w:r/>
            <w:r>
              <w:rPr>
                <w:sz w:val="16"/>
              </w:rPr>
              <w:t>white_blood_cell_count, neutrophils_percent, neutrophil_count_absolute</w:t>
            </w:r>
          </w:p>
        </w:tc>
      </w:tr>
      <w:tr>
        <w:trPr>
          <w:cantSplit/>
        </w:trPr>
        <w:tc>
          <w:tcPr>
            <w:tcW w:type="dxa" w:w="3024"/>
          </w:tcPr>
          <w:p>
            <w:pPr>
              <w:spacing w:line="240" w:lineRule="auto" w:after="0" w:before="0"/>
            </w:pPr>
            <w:r/>
            <w:r>
              <w:rPr>
                <w:sz w:val="16"/>
              </w:rPr>
              <w:t>7</w:t>
            </w:r>
          </w:p>
        </w:tc>
        <w:tc>
          <w:tcPr>
            <w:tcW w:type="dxa" w:w="3024"/>
          </w:tcPr>
          <w:p>
            <w:pPr>
              <w:spacing w:line="240" w:lineRule="auto" w:after="0" w:before="0"/>
            </w:pPr>
            <w:r/>
            <w:r>
              <w:rPr>
                <w:rFonts w:ascii="Courier New" w:hAnsi="Courier New" w:eastAsia="Courier New" w:cs="Courier New"/>
                <w:color w:val="000000"/>
                <w:sz w:val="16"/>
              </w:rPr>
              <w:t>alc_identity</w:t>
            </w:r>
          </w:p>
        </w:tc>
        <w:tc>
          <w:tcPr>
            <w:tcW w:type="dxa" w:w="3024"/>
          </w:tcPr>
          <w:p>
            <w:pPr>
              <w:spacing w:line="240" w:lineRule="auto" w:after="0" w:before="0"/>
            </w:pPr>
            <w:r/>
            <w:r>
              <w:rPr>
                <w:sz w:val="16"/>
              </w:rPr>
              <w:t>white_blood_cell_count, lymphocytes_percent, lymphocyte_count_absolute</w:t>
            </w:r>
          </w:p>
        </w:tc>
      </w:tr>
      <w:tr>
        <w:trPr>
          <w:cantSplit/>
        </w:trPr>
        <w:tc>
          <w:tcPr>
            <w:tcW w:type="dxa" w:w="3024"/>
          </w:tcPr>
          <w:p>
            <w:pPr>
              <w:spacing w:line="240" w:lineRule="auto" w:after="0" w:before="0"/>
            </w:pPr>
            <w:r/>
            <w:r>
              <w:rPr>
                <w:sz w:val="16"/>
              </w:rPr>
              <w:t>8</w:t>
            </w:r>
          </w:p>
        </w:tc>
        <w:tc>
          <w:tcPr>
            <w:tcW w:type="dxa" w:w="3024"/>
          </w:tcPr>
          <w:p>
            <w:pPr>
              <w:spacing w:line="240" w:lineRule="auto" w:after="0" w:before="0"/>
            </w:pPr>
            <w:r/>
            <w:r>
              <w:rPr>
                <w:rFonts w:ascii="Courier New" w:hAnsi="Courier New" w:eastAsia="Courier New" w:cs="Courier New"/>
                <w:color w:val="000000"/>
                <w:sz w:val="16"/>
              </w:rPr>
              <w:t>direct_le_total_bilirubin</w:t>
            </w:r>
          </w:p>
        </w:tc>
        <w:tc>
          <w:tcPr>
            <w:tcW w:type="dxa" w:w="3024"/>
          </w:tcPr>
          <w:p>
            <w:pPr>
              <w:spacing w:line="240" w:lineRule="auto" w:after="0" w:before="0"/>
            </w:pPr>
            <w:r/>
            <w:r>
              <w:rPr>
                <w:sz w:val="16"/>
              </w:rPr>
              <w:t>total_bilirubin, direct_bilirubin</w:t>
            </w:r>
          </w:p>
        </w:tc>
      </w:tr>
      <w:tr>
        <w:trPr>
          <w:cantSplit/>
        </w:trPr>
        <w:tc>
          <w:tcPr>
            <w:tcW w:type="dxa" w:w="3024"/>
          </w:tcPr>
          <w:p>
            <w:pPr>
              <w:spacing w:line="240" w:lineRule="auto" w:after="0" w:before="0"/>
            </w:pPr>
            <w:r/>
            <w:r>
              <w:rPr>
                <w:sz w:val="16"/>
              </w:rPr>
              <w:t>9</w:t>
            </w:r>
          </w:p>
        </w:tc>
        <w:tc>
          <w:tcPr>
            <w:tcW w:type="dxa" w:w="3024"/>
          </w:tcPr>
          <w:p>
            <w:pPr>
              <w:spacing w:line="240" w:lineRule="auto" w:after="0" w:before="0"/>
            </w:pPr>
            <w:r/>
            <w:r>
              <w:rPr>
                <w:rFonts w:ascii="Courier New" w:hAnsi="Courier New" w:eastAsia="Courier New" w:cs="Courier New"/>
                <w:color w:val="000000"/>
                <w:sz w:val="16"/>
              </w:rPr>
              <w:t>bilirubin_sum</w:t>
            </w:r>
          </w:p>
        </w:tc>
        <w:tc>
          <w:tcPr>
            <w:tcW w:type="dxa" w:w="3024"/>
          </w:tcPr>
          <w:p>
            <w:pPr>
              <w:spacing w:line="240" w:lineRule="auto" w:after="0" w:before="0"/>
            </w:pPr>
            <w:r/>
            <w:r>
              <w:rPr>
                <w:sz w:val="16"/>
              </w:rPr>
              <w:t>total_bilirubin, direct_bilirubin, indirect_bilirubin</w:t>
            </w:r>
          </w:p>
        </w:tc>
      </w:tr>
      <w:tr>
        <w:trPr>
          <w:cantSplit/>
        </w:trPr>
        <w:tc>
          <w:tcPr>
            <w:tcW w:type="dxa" w:w="3024"/>
          </w:tcPr>
          <w:p>
            <w:pPr>
              <w:spacing w:line="240" w:lineRule="auto" w:after="0" w:before="0"/>
            </w:pPr>
            <w:r/>
            <w:r>
              <w:rPr>
                <w:sz w:val="16"/>
              </w:rPr>
              <w:t>10</w:t>
            </w:r>
          </w:p>
        </w:tc>
        <w:tc>
          <w:tcPr>
            <w:tcW w:type="dxa" w:w="3024"/>
          </w:tcPr>
          <w:p>
            <w:pPr>
              <w:spacing w:line="240" w:lineRule="auto" w:after="0" w:before="0"/>
            </w:pPr>
            <w:r/>
            <w:r>
              <w:rPr>
                <w:rFonts w:ascii="Courier New" w:hAnsi="Courier New" w:eastAsia="Courier New" w:cs="Courier New"/>
                <w:color w:val="000000"/>
                <w:sz w:val="16"/>
              </w:rPr>
              <w:t>albumin_le_total_protein</w:t>
            </w:r>
          </w:p>
        </w:tc>
        <w:tc>
          <w:tcPr>
            <w:tcW w:type="dxa" w:w="3024"/>
          </w:tcPr>
          <w:p>
            <w:pPr>
              <w:spacing w:line="240" w:lineRule="auto" w:after="0" w:before="0"/>
            </w:pPr>
            <w:r/>
            <w:r>
              <w:rPr>
                <w:sz w:val="16"/>
              </w:rPr>
              <w:t>albumin, total_protein</w:t>
            </w:r>
          </w:p>
        </w:tc>
      </w:tr>
      <w:tr>
        <w:trPr>
          <w:cantSplit/>
        </w:trPr>
        <w:tc>
          <w:tcPr>
            <w:tcW w:type="dxa" w:w="3024"/>
          </w:tcPr>
          <w:p>
            <w:pPr>
              <w:spacing w:line="240" w:lineRule="auto" w:after="0" w:before="0"/>
            </w:pPr>
            <w:r/>
            <w:r>
              <w:rPr>
                <w:sz w:val="16"/>
              </w:rPr>
              <w:t>11</w:t>
            </w:r>
          </w:p>
        </w:tc>
        <w:tc>
          <w:tcPr>
            <w:tcW w:type="dxa" w:w="3024"/>
          </w:tcPr>
          <w:p>
            <w:pPr>
              <w:spacing w:line="240" w:lineRule="auto" w:after="0" w:before="0"/>
            </w:pPr>
            <w:r/>
            <w:r>
              <w:rPr>
                <w:rFonts w:ascii="Courier New" w:hAnsi="Courier New" w:eastAsia="Courier New" w:cs="Courier New"/>
                <w:color w:val="000000"/>
                <w:sz w:val="16"/>
              </w:rPr>
              <w:t>globulin_identity</w:t>
            </w:r>
          </w:p>
        </w:tc>
        <w:tc>
          <w:tcPr>
            <w:tcW w:type="dxa" w:w="3024"/>
          </w:tcPr>
          <w:p>
            <w:pPr>
              <w:spacing w:line="240" w:lineRule="auto" w:after="0" w:before="0"/>
            </w:pPr>
            <w:r/>
            <w:r>
              <w:rPr>
                <w:sz w:val="16"/>
              </w:rPr>
              <w:t>albumin, total_protein, globulin</w:t>
            </w:r>
          </w:p>
        </w:tc>
      </w:tr>
      <w:tr>
        <w:trPr>
          <w:cantSplit/>
        </w:trPr>
        <w:tc>
          <w:tcPr>
            <w:tcW w:type="dxa" w:w="3024"/>
          </w:tcPr>
          <w:p>
            <w:pPr>
              <w:spacing w:line="240" w:lineRule="auto" w:after="0" w:before="0"/>
            </w:pPr>
            <w:r/>
            <w:r>
              <w:rPr>
                <w:sz w:val="16"/>
              </w:rPr>
              <w:t>12</w:t>
            </w:r>
          </w:p>
        </w:tc>
        <w:tc>
          <w:tcPr>
            <w:tcW w:type="dxa" w:w="3024"/>
          </w:tcPr>
          <w:p>
            <w:pPr>
              <w:spacing w:line="240" w:lineRule="auto" w:after="0" w:before="0"/>
            </w:pPr>
            <w:r/>
            <w:r>
              <w:rPr>
                <w:rFonts w:ascii="Courier New" w:hAnsi="Courier New" w:eastAsia="Courier New" w:cs="Courier New"/>
                <w:color w:val="000000"/>
                <w:sz w:val="16"/>
              </w:rPr>
              <w:t>ldl_hdl_le_tc</w:t>
            </w:r>
          </w:p>
        </w:tc>
        <w:tc>
          <w:tcPr>
            <w:tcW w:type="dxa" w:w="3024"/>
          </w:tcPr>
          <w:p>
            <w:pPr>
              <w:spacing w:line="240" w:lineRule="auto" w:after="0" w:before="0"/>
            </w:pPr>
            <w:r/>
            <w:r>
              <w:rPr>
                <w:sz w:val="16"/>
              </w:rPr>
              <w:t>total_cholesterol, ldl_cholesterol_calculated, ldl_cholesterol_direct, hdl_cholesterol</w:t>
            </w:r>
          </w:p>
        </w:tc>
      </w:tr>
      <w:tr>
        <w:trPr>
          <w:cantSplit/>
        </w:trPr>
        <w:tc>
          <w:tcPr>
            <w:tcW w:type="dxa" w:w="3024"/>
          </w:tcPr>
          <w:p>
            <w:pPr>
              <w:spacing w:line="240" w:lineRule="auto" w:after="0" w:before="0"/>
            </w:pPr>
            <w:r/>
            <w:r>
              <w:rPr>
                <w:sz w:val="16"/>
              </w:rPr>
              <w:t>13</w:t>
            </w:r>
          </w:p>
        </w:tc>
        <w:tc>
          <w:tcPr>
            <w:tcW w:type="dxa" w:w="3024"/>
          </w:tcPr>
          <w:p>
            <w:pPr>
              <w:spacing w:line="240" w:lineRule="auto" w:after="0" w:before="0"/>
            </w:pPr>
            <w:r/>
            <w:r>
              <w:rPr>
                <w:rFonts w:ascii="Courier New" w:hAnsi="Courier New" w:eastAsia="Courier New" w:cs="Courier New"/>
                <w:color w:val="000000"/>
                <w:sz w:val="16"/>
              </w:rPr>
              <w:t>friedewald</w:t>
            </w:r>
          </w:p>
        </w:tc>
        <w:tc>
          <w:tcPr>
            <w:tcW w:type="dxa" w:w="3024"/>
          </w:tcPr>
          <w:p>
            <w:pPr>
              <w:spacing w:line="240" w:lineRule="auto" w:after="0" w:before="0"/>
            </w:pPr>
            <w:r/>
            <w:r>
              <w:rPr>
                <w:sz w:val="16"/>
              </w:rPr>
              <w:t>total_cholesterol, hdl_cholesterol, triglycerides, ldl_cholesterol_calculated, ldl_cholesterol_direct</w:t>
            </w:r>
          </w:p>
        </w:tc>
      </w:tr>
      <w:tr>
        <w:trPr>
          <w:cantSplit/>
        </w:trPr>
        <w:tc>
          <w:tcPr>
            <w:tcW w:type="dxa" w:w="3024"/>
          </w:tcPr>
          <w:p>
            <w:pPr>
              <w:spacing w:line="240" w:lineRule="auto" w:after="0" w:before="0"/>
            </w:pPr>
            <w:r/>
            <w:r>
              <w:rPr>
                <w:sz w:val="16"/>
              </w:rPr>
              <w:t>14</w:t>
            </w:r>
          </w:p>
        </w:tc>
        <w:tc>
          <w:tcPr>
            <w:tcW w:type="dxa" w:w="3024"/>
          </w:tcPr>
          <w:p>
            <w:pPr>
              <w:spacing w:line="240" w:lineRule="auto" w:after="0" w:before="0"/>
            </w:pPr>
            <w:r/>
            <w:r>
              <w:rPr>
                <w:rFonts w:ascii="Courier New" w:hAnsi="Courier New" w:eastAsia="Courier New" w:cs="Courier New"/>
                <w:color w:val="000000"/>
                <w:sz w:val="16"/>
              </w:rPr>
              <w:t>non_hdl_identity</w:t>
            </w:r>
          </w:p>
        </w:tc>
        <w:tc>
          <w:tcPr>
            <w:tcW w:type="dxa" w:w="3024"/>
          </w:tcPr>
          <w:p>
            <w:pPr>
              <w:spacing w:line="240" w:lineRule="auto" w:after="0" w:before="0"/>
            </w:pPr>
            <w:r/>
            <w:r>
              <w:rPr>
                <w:sz w:val="16"/>
              </w:rPr>
              <w:t>total_cholesterol, hdl_cholesterol, non_hdl_cholesterol</w:t>
            </w:r>
          </w:p>
        </w:tc>
      </w:tr>
      <w:tr>
        <w:trPr>
          <w:cantSplit/>
        </w:trPr>
        <w:tc>
          <w:tcPr>
            <w:tcW w:type="dxa" w:w="3024"/>
          </w:tcPr>
          <w:p>
            <w:pPr>
              <w:spacing w:line="240" w:lineRule="auto" w:after="0" w:before="0"/>
            </w:pPr>
            <w:r/>
            <w:r>
              <w:rPr>
                <w:sz w:val="16"/>
              </w:rPr>
              <w:t>15</w:t>
            </w:r>
          </w:p>
        </w:tc>
        <w:tc>
          <w:tcPr>
            <w:tcW w:type="dxa" w:w="3024"/>
          </w:tcPr>
          <w:p>
            <w:pPr>
              <w:spacing w:line="240" w:lineRule="auto" w:after="0" w:before="0"/>
            </w:pPr>
            <w:r/>
            <w:r>
              <w:rPr>
                <w:rFonts w:ascii="Courier New" w:hAnsi="Courier New" w:eastAsia="Courier New" w:cs="Courier New"/>
                <w:color w:val="000000"/>
                <w:sz w:val="16"/>
              </w:rPr>
              <w:t>urea_bun_ratio</w:t>
            </w:r>
          </w:p>
        </w:tc>
        <w:tc>
          <w:tcPr>
            <w:tcW w:type="dxa" w:w="3024"/>
          </w:tcPr>
          <w:p>
            <w:pPr>
              <w:spacing w:line="240" w:lineRule="auto" w:after="0" w:before="0"/>
            </w:pPr>
            <w:r/>
            <w:r>
              <w:rPr>
                <w:sz w:val="16"/>
              </w:rPr>
              <w:t>blood_urea_nitrogen, urea</w:t>
            </w:r>
          </w:p>
        </w:tc>
      </w:tr>
      <w:tr>
        <w:trPr>
          <w:cantSplit/>
        </w:trPr>
        <w:tc>
          <w:tcPr>
            <w:tcW w:type="dxa" w:w="3024"/>
          </w:tcPr>
          <w:p>
            <w:pPr>
              <w:spacing w:line="240" w:lineRule="auto" w:after="0" w:before="0"/>
            </w:pPr>
            <w:r/>
            <w:r>
              <w:rPr>
                <w:sz w:val="16"/>
              </w:rPr>
              <w:t>16</w:t>
            </w:r>
          </w:p>
        </w:tc>
        <w:tc>
          <w:tcPr>
            <w:tcW w:type="dxa" w:w="3024"/>
          </w:tcPr>
          <w:p>
            <w:pPr>
              <w:spacing w:line="240" w:lineRule="auto" w:after="0" w:before="0"/>
            </w:pPr>
            <w:r/>
            <w:r>
              <w:rPr>
                <w:rFonts w:ascii="Courier New" w:hAnsi="Courier New" w:eastAsia="Courier New" w:cs="Courier New"/>
                <w:color w:val="000000"/>
                <w:sz w:val="16"/>
              </w:rPr>
              <w:t>anion_gap</w:t>
            </w:r>
          </w:p>
        </w:tc>
        <w:tc>
          <w:tcPr>
            <w:tcW w:type="dxa" w:w="3024"/>
          </w:tcPr>
          <w:p>
            <w:pPr>
              <w:spacing w:line="240" w:lineRule="auto" w:after="0" w:before="0"/>
            </w:pPr>
            <w:r/>
            <w:r>
              <w:rPr>
                <w:sz w:val="16"/>
              </w:rPr>
              <w:t>sodium, chloride, bicarbonate, anion_gap, potassium</w:t>
            </w:r>
          </w:p>
        </w:tc>
      </w:tr>
      <w:tr>
        <w:trPr>
          <w:cantSplit/>
        </w:trPr>
        <w:tc>
          <w:tcPr>
            <w:tcW w:type="dxa" w:w="3024"/>
          </w:tcPr>
          <w:p>
            <w:pPr>
              <w:spacing w:line="240" w:lineRule="auto" w:after="0" w:before="0"/>
            </w:pPr>
            <w:r/>
            <w:r>
              <w:rPr>
                <w:sz w:val="16"/>
              </w:rPr>
              <w:t>17</w:t>
            </w:r>
          </w:p>
        </w:tc>
        <w:tc>
          <w:tcPr>
            <w:tcW w:type="dxa" w:w="3024"/>
          </w:tcPr>
          <w:p>
            <w:pPr>
              <w:spacing w:line="240" w:lineRule="auto" w:after="0" w:before="0"/>
            </w:pPr>
            <w:r/>
            <w:r>
              <w:rPr>
                <w:rFonts w:ascii="Courier New" w:hAnsi="Courier New" w:eastAsia="Courier New" w:cs="Courier New"/>
                <w:color w:val="000000"/>
                <w:sz w:val="16"/>
              </w:rPr>
              <w:t>tsat_identity</w:t>
            </w:r>
          </w:p>
        </w:tc>
        <w:tc>
          <w:tcPr>
            <w:tcW w:type="dxa" w:w="3024"/>
          </w:tcPr>
          <w:p>
            <w:pPr>
              <w:spacing w:line="240" w:lineRule="auto" w:after="0" w:before="0"/>
            </w:pPr>
            <w:r/>
            <w:r>
              <w:rPr>
                <w:sz w:val="16"/>
              </w:rPr>
              <w:t>serum_iron, total_iron_binding_capacity, transferrin_saturation</w:t>
            </w:r>
          </w:p>
        </w:tc>
      </w:tr>
      <w:tr>
        <w:trPr>
          <w:cantSplit/>
        </w:trPr>
        <w:tc>
          <w:tcPr>
            <w:tcW w:type="dxa" w:w="3024"/>
          </w:tcPr>
          <w:p>
            <w:pPr>
              <w:spacing w:line="240" w:lineRule="auto" w:after="0" w:before="0"/>
            </w:pPr>
            <w:r/>
            <w:r>
              <w:rPr>
                <w:sz w:val="16"/>
              </w:rPr>
              <w:t>18</w:t>
            </w:r>
          </w:p>
        </w:tc>
        <w:tc>
          <w:tcPr>
            <w:tcW w:type="dxa" w:w="3024"/>
          </w:tcPr>
          <w:p>
            <w:pPr>
              <w:spacing w:line="240" w:lineRule="auto" w:after="0" w:before="0"/>
            </w:pPr>
            <w:r/>
            <w:r>
              <w:rPr>
                <w:rFonts w:ascii="Courier New" w:hAnsi="Courier New" w:eastAsia="Courier New" w:cs="Courier New"/>
                <w:color w:val="000000"/>
                <w:sz w:val="16"/>
              </w:rPr>
              <w:t>egfr_creatinine_monotonic</w:t>
            </w:r>
          </w:p>
        </w:tc>
        <w:tc>
          <w:tcPr>
            <w:tcW w:type="dxa" w:w="3024"/>
          </w:tcPr>
          <w:p>
            <w:pPr>
              <w:spacing w:line="240" w:lineRule="auto" w:after="0" w:before="0"/>
            </w:pPr>
            <w:r/>
            <w:r>
              <w:rPr>
                <w:sz w:val="16"/>
              </w:rPr>
              <w:t>creatinine, egfr_ckd_epi_creatinine</w:t>
            </w:r>
          </w:p>
        </w:tc>
      </w:tr>
      <w:tr>
        <w:trPr>
          <w:cantSplit/>
        </w:trPr>
        <w:tc>
          <w:tcPr>
            <w:tcW w:type="dxa" w:w="3024"/>
          </w:tcPr>
          <w:p>
            <w:pPr>
              <w:spacing w:line="240" w:lineRule="auto" w:after="0" w:before="0"/>
            </w:pPr>
            <w:r/>
            <w:r>
              <w:rPr>
                <w:sz w:val="16"/>
              </w:rPr>
              <w:t>19</w:t>
            </w:r>
          </w:p>
        </w:tc>
        <w:tc>
          <w:tcPr>
            <w:tcW w:type="dxa" w:w="3024"/>
          </w:tcPr>
          <w:p>
            <w:pPr>
              <w:spacing w:line="240" w:lineRule="auto" w:after="0" w:before="0"/>
            </w:pPr>
            <w:r/>
            <w:r>
              <w:rPr>
                <w:rFonts w:ascii="Courier New" w:hAnsi="Courier New" w:eastAsia="Courier New" w:cs="Courier New"/>
                <w:color w:val="000000"/>
                <w:sz w:val="16"/>
              </w:rPr>
              <w:t>amc_identity</w:t>
            </w:r>
          </w:p>
        </w:tc>
        <w:tc>
          <w:tcPr>
            <w:tcW w:type="dxa" w:w="3024"/>
          </w:tcPr>
          <w:p>
            <w:pPr>
              <w:spacing w:line="240" w:lineRule="auto" w:after="0" w:before="0"/>
            </w:pPr>
            <w:r/>
            <w:r>
              <w:rPr>
                <w:sz w:val="16"/>
              </w:rPr>
              <w:t>white_blood_cell_count, monocytes_percent, monocyte_count_absolute</w:t>
            </w:r>
          </w:p>
        </w:tc>
      </w:tr>
      <w:tr>
        <w:trPr>
          <w:cantSplit/>
        </w:trPr>
        <w:tc>
          <w:tcPr>
            <w:tcW w:type="dxa" w:w="3024"/>
          </w:tcPr>
          <w:p>
            <w:pPr>
              <w:spacing w:line="240" w:lineRule="auto" w:after="0" w:before="0"/>
            </w:pPr>
            <w:r/>
            <w:r>
              <w:rPr>
                <w:sz w:val="16"/>
              </w:rPr>
              <w:t>20</w:t>
            </w:r>
          </w:p>
        </w:tc>
        <w:tc>
          <w:tcPr>
            <w:tcW w:type="dxa" w:w="3024"/>
          </w:tcPr>
          <w:p>
            <w:pPr>
              <w:spacing w:line="240" w:lineRule="auto" w:after="0" w:before="0"/>
            </w:pPr>
            <w:r/>
            <w:r>
              <w:rPr>
                <w:rFonts w:ascii="Courier New" w:hAnsi="Courier New" w:eastAsia="Courier New" w:cs="Courier New"/>
                <w:color w:val="000000"/>
                <w:sz w:val="16"/>
              </w:rPr>
              <w:t>aec_identity</w:t>
            </w:r>
          </w:p>
        </w:tc>
        <w:tc>
          <w:tcPr>
            <w:tcW w:type="dxa" w:w="3024"/>
          </w:tcPr>
          <w:p>
            <w:pPr>
              <w:spacing w:line="240" w:lineRule="auto" w:after="0" w:before="0"/>
            </w:pPr>
            <w:r/>
            <w:r>
              <w:rPr>
                <w:sz w:val="16"/>
              </w:rPr>
              <w:t>white_blood_cell_count, eosinophils_percent, eosinophil_count_absolute</w:t>
            </w:r>
          </w:p>
        </w:tc>
      </w:tr>
      <w:tr>
        <w:trPr>
          <w:cantSplit/>
        </w:trPr>
        <w:tc>
          <w:tcPr>
            <w:tcW w:type="dxa" w:w="3024"/>
          </w:tcPr>
          <w:p>
            <w:pPr>
              <w:spacing w:line="240" w:lineRule="auto" w:after="0" w:before="0"/>
            </w:pPr>
            <w:r/>
            <w:r>
              <w:rPr>
                <w:sz w:val="16"/>
              </w:rPr>
              <w:t>21</w:t>
            </w:r>
          </w:p>
        </w:tc>
        <w:tc>
          <w:tcPr>
            <w:tcW w:type="dxa" w:w="3024"/>
          </w:tcPr>
          <w:p>
            <w:pPr>
              <w:spacing w:line="240" w:lineRule="auto" w:after="0" w:before="0"/>
            </w:pPr>
            <w:r/>
            <w:r>
              <w:rPr>
                <w:rFonts w:ascii="Courier New" w:hAnsi="Courier New" w:eastAsia="Courier New" w:cs="Courier New"/>
                <w:color w:val="000000"/>
                <w:sz w:val="16"/>
              </w:rPr>
              <w:t>abc_identity</w:t>
            </w:r>
          </w:p>
        </w:tc>
        <w:tc>
          <w:tcPr>
            <w:tcW w:type="dxa" w:w="3024"/>
          </w:tcPr>
          <w:p>
            <w:pPr>
              <w:spacing w:line="240" w:lineRule="auto" w:after="0" w:before="0"/>
            </w:pPr>
            <w:r/>
            <w:r>
              <w:rPr>
                <w:sz w:val="16"/>
              </w:rPr>
              <w:t>white_blood_cell_count, basophils_percent, basophil_count_absolute</w:t>
            </w:r>
          </w:p>
        </w:tc>
      </w:tr>
      <w:tr>
        <w:trPr>
          <w:cantSplit/>
        </w:trPr>
        <w:tc>
          <w:tcPr>
            <w:tcW w:type="dxa" w:w="3024"/>
          </w:tcPr>
          <w:p>
            <w:pPr>
              <w:spacing w:line="240" w:lineRule="auto" w:after="0" w:before="0"/>
            </w:pPr>
            <w:r/>
            <w:r>
              <w:rPr>
                <w:sz w:val="16"/>
              </w:rPr>
              <w:t>22</w:t>
            </w:r>
          </w:p>
        </w:tc>
        <w:tc>
          <w:tcPr>
            <w:tcW w:type="dxa" w:w="3024"/>
          </w:tcPr>
          <w:p>
            <w:pPr>
              <w:spacing w:line="240" w:lineRule="auto" w:after="0" w:before="0"/>
            </w:pPr>
            <w:r/>
            <w:r>
              <w:rPr>
                <w:rFonts w:ascii="Courier New" w:hAnsi="Courier New" w:eastAsia="Courier New" w:cs="Courier New"/>
                <w:color w:val="000000"/>
                <w:sz w:val="16"/>
              </w:rPr>
              <w:t>ag_ratio_identity</w:t>
            </w:r>
          </w:p>
        </w:tc>
        <w:tc>
          <w:tcPr>
            <w:tcW w:type="dxa" w:w="3024"/>
          </w:tcPr>
          <w:p>
            <w:pPr>
              <w:spacing w:line="240" w:lineRule="auto" w:after="0" w:before="0"/>
            </w:pPr>
            <w:r/>
            <w:r>
              <w:rPr>
                <w:sz w:val="16"/>
              </w:rPr>
              <w:t>albumin, globulin, albumin_to_globulin_ratio</w:t>
            </w:r>
          </w:p>
        </w:tc>
      </w:tr>
      <w:tr>
        <w:trPr>
          <w:cantSplit/>
        </w:trPr>
        <w:tc>
          <w:tcPr>
            <w:tcW w:type="dxa" w:w="3024"/>
          </w:tcPr>
          <w:p>
            <w:pPr>
              <w:spacing w:line="240" w:lineRule="auto" w:after="0" w:before="0"/>
            </w:pPr>
            <w:r/>
            <w:r>
              <w:rPr>
                <w:sz w:val="16"/>
              </w:rPr>
              <w:t>23</w:t>
            </w:r>
          </w:p>
        </w:tc>
        <w:tc>
          <w:tcPr>
            <w:tcW w:type="dxa" w:w="3024"/>
          </w:tcPr>
          <w:p>
            <w:pPr>
              <w:spacing w:line="240" w:lineRule="auto" w:after="0" w:before="0"/>
            </w:pPr>
            <w:r/>
            <w:r>
              <w:rPr>
                <w:rFonts w:ascii="Courier New" w:hAnsi="Courier New" w:eastAsia="Courier New" w:cs="Courier New"/>
                <w:color w:val="000000"/>
                <w:sz w:val="16"/>
              </w:rPr>
              <w:t>vldl_identity</w:t>
            </w:r>
          </w:p>
        </w:tc>
        <w:tc>
          <w:tcPr>
            <w:tcW w:type="dxa" w:w="3024"/>
          </w:tcPr>
          <w:p>
            <w:pPr>
              <w:spacing w:line="240" w:lineRule="auto" w:after="0" w:before="0"/>
            </w:pPr>
            <w:r/>
            <w:r>
              <w:rPr>
                <w:sz w:val="16"/>
              </w:rPr>
              <w:t>triglycerides, vldl_cholesterol</w:t>
            </w:r>
          </w:p>
        </w:tc>
      </w:tr>
      <w:tr>
        <w:trPr>
          <w:cantSplit/>
        </w:trPr>
        <w:tc>
          <w:tcPr>
            <w:tcW w:type="dxa" w:w="3024"/>
          </w:tcPr>
          <w:p>
            <w:pPr>
              <w:spacing w:line="240" w:lineRule="auto" w:after="0" w:before="0"/>
            </w:pPr>
            <w:r/>
            <w:r>
              <w:rPr>
                <w:sz w:val="16"/>
              </w:rPr>
              <w:t>24</w:t>
            </w:r>
          </w:p>
        </w:tc>
        <w:tc>
          <w:tcPr>
            <w:tcW w:type="dxa" w:w="3024"/>
          </w:tcPr>
          <w:p>
            <w:pPr>
              <w:spacing w:line="240" w:lineRule="auto" w:after="0" w:before="0"/>
            </w:pPr>
            <w:r/>
            <w:r>
              <w:rPr>
                <w:rFonts w:ascii="Courier New" w:hAnsi="Courier New" w:eastAsia="Courier New" w:cs="Courier New"/>
                <w:color w:val="000000"/>
                <w:sz w:val="16"/>
              </w:rPr>
              <w:t>eag_identity</w:t>
            </w:r>
          </w:p>
        </w:tc>
        <w:tc>
          <w:tcPr>
            <w:tcW w:type="dxa" w:w="3024"/>
          </w:tcPr>
          <w:p>
            <w:pPr>
              <w:spacing w:line="240" w:lineRule="auto" w:after="0" w:before="0"/>
            </w:pPr>
            <w:r/>
            <w:r>
              <w:rPr>
                <w:sz w:val="16"/>
              </w:rPr>
              <w:t>hemoglobin_a1c, estimated_average_glucose</w:t>
            </w:r>
          </w:p>
        </w:tc>
      </w:tr>
      <w:tr>
        <w:trPr>
          <w:cantSplit/>
        </w:trPr>
        <w:tc>
          <w:tcPr>
            <w:tcW w:type="dxa" w:w="3024"/>
          </w:tcPr>
          <w:p>
            <w:pPr>
              <w:spacing w:line="240" w:lineRule="auto" w:after="0" w:before="0"/>
            </w:pPr>
            <w:r/>
            <w:r>
              <w:rPr>
                <w:sz w:val="16"/>
              </w:rPr>
              <w:t>25</w:t>
            </w:r>
          </w:p>
        </w:tc>
        <w:tc>
          <w:tcPr>
            <w:tcW w:type="dxa" w:w="3024"/>
          </w:tcPr>
          <w:p>
            <w:pPr>
              <w:spacing w:line="240" w:lineRule="auto" w:after="0" w:before="0"/>
            </w:pPr>
            <w:r/>
            <w:r>
              <w:rPr>
                <w:rFonts w:ascii="Courier New" w:hAnsi="Courier New" w:eastAsia="Courier New" w:cs="Courier New"/>
                <w:color w:val="000000"/>
                <w:sz w:val="16"/>
              </w:rPr>
              <w:t>corrected_calcium_identity</w:t>
            </w:r>
          </w:p>
        </w:tc>
        <w:tc>
          <w:tcPr>
            <w:tcW w:type="dxa" w:w="3024"/>
          </w:tcPr>
          <w:p>
            <w:pPr>
              <w:spacing w:line="240" w:lineRule="auto" w:after="0" w:before="0"/>
            </w:pPr>
            <w:r/>
            <w:r>
              <w:rPr>
                <w:sz w:val="16"/>
              </w:rPr>
              <w:t>calcium_total, albumin, corrected_calcium_for_serum_albumin</w:t>
            </w:r>
          </w:p>
        </w:tc>
      </w:tr>
      <w:tr>
        <w:trPr>
          <w:cantSplit/>
        </w:trPr>
        <w:tc>
          <w:tcPr>
            <w:tcW w:type="dxa" w:w="3024"/>
          </w:tcPr>
          <w:p>
            <w:pPr>
              <w:spacing w:line="240" w:lineRule="auto" w:after="0" w:before="0"/>
            </w:pPr>
            <w:r/>
            <w:r>
              <w:rPr>
                <w:sz w:val="16"/>
              </w:rPr>
              <w:t>26</w:t>
            </w:r>
          </w:p>
        </w:tc>
        <w:tc>
          <w:tcPr>
            <w:tcW w:type="dxa" w:w="3024"/>
          </w:tcPr>
          <w:p>
            <w:pPr>
              <w:spacing w:line="240" w:lineRule="auto" w:after="0" w:before="0"/>
            </w:pPr>
            <w:r/>
            <w:r>
              <w:rPr>
                <w:rFonts w:ascii="Courier New" w:hAnsi="Courier New" w:eastAsia="Courier New" w:cs="Courier New"/>
                <w:color w:val="000000"/>
                <w:sz w:val="16"/>
              </w:rPr>
              <w:t>transferrin_tibc</w:t>
            </w:r>
          </w:p>
        </w:tc>
        <w:tc>
          <w:tcPr>
            <w:tcW w:type="dxa" w:w="3024"/>
          </w:tcPr>
          <w:p>
            <w:pPr>
              <w:spacing w:line="240" w:lineRule="auto" w:after="0" w:before="0"/>
            </w:pPr>
            <w:r/>
            <w:r>
              <w:rPr>
                <w:sz w:val="16"/>
              </w:rPr>
              <w:t>transferrin, total_iron_binding_capacity</w:t>
            </w:r>
          </w:p>
        </w:tc>
      </w:tr>
      <w:tr>
        <w:trPr>
          <w:cantSplit/>
        </w:trPr>
        <w:tc>
          <w:tcPr>
            <w:tcW w:type="dxa" w:w="3024"/>
          </w:tcPr>
          <w:p>
            <w:pPr>
              <w:spacing w:line="240" w:lineRule="auto" w:after="0" w:before="0"/>
            </w:pPr>
            <w:r/>
            <w:r>
              <w:rPr>
                <w:sz w:val="16"/>
              </w:rPr>
              <w:t>27</w:t>
            </w:r>
          </w:p>
        </w:tc>
        <w:tc>
          <w:tcPr>
            <w:tcW w:type="dxa" w:w="3024"/>
          </w:tcPr>
          <w:p>
            <w:pPr>
              <w:spacing w:line="240" w:lineRule="auto" w:after="0" w:before="0"/>
            </w:pPr>
            <w:r/>
            <w:r>
              <w:rPr>
                <w:rFonts w:ascii="Courier New" w:hAnsi="Courier New" w:eastAsia="Courier New" w:cs="Courier New"/>
                <w:color w:val="000000"/>
                <w:sz w:val="16"/>
              </w:rPr>
              <w:t>ldl_direct_vs_calculated</w:t>
            </w:r>
          </w:p>
        </w:tc>
        <w:tc>
          <w:tcPr>
            <w:tcW w:type="dxa" w:w="3024"/>
          </w:tcPr>
          <w:p>
            <w:pPr>
              <w:spacing w:line="240" w:lineRule="auto" w:after="0" w:before="0"/>
            </w:pPr>
            <w:r/>
            <w:r>
              <w:rPr>
                <w:sz w:val="16"/>
              </w:rPr>
              <w:t>ldl_cholesterol_direct, ldl_cholesterol_calculated, triglycerides</w:t>
            </w:r>
          </w:p>
        </w:tc>
      </w:tr>
    </w:tbl>
    <w:p/>
    <w:p>
      <w:r>
        <w:t>---</w:t>
      </w:r>
    </w:p>
    <w:p>
      <w:r>
        <w:rPr>
          <w:b/>
        </w:rPr>
        <w:t>Table N3-3. Ablation arm definitions (`eval/ablation/run_ablation.py`).</w:t>
      </w:r>
    </w:p>
    <w:tbl>
      <w:tblPr>
        <w:tblStyle w:val="TableGrid"/>
        <w:tblW w:type="auto" w:w="0"/>
        <w:jc w:val="center"/>
        <w:tblLook w:firstColumn="1" w:firstRow="1" w:lastColumn="0" w:lastRow="0" w:noHBand="0" w:noVBand="1" w:val="04A0"/>
      </w:tblPr>
      <w:tblGrid>
        <w:gridCol w:w="4536"/>
        <w:gridCol w:w="4536"/>
      </w:tblGrid>
      <w:tr>
        <w:trPr>
          <w:cantSplit/>
          <w:tblHeader/>
        </w:trPr>
        <w:tc>
          <w:tcPr>
            <w:tcW w:type="dxa" w:w="4536"/>
            <w:shd w:val="clear" w:fill="F2F2F2"/>
          </w:tcPr>
          <w:p>
            <w:pPr>
              <w:spacing w:line="240" w:lineRule="auto" w:after="0" w:before="0"/>
            </w:pPr>
            <w:r>
              <w:rPr>
                <w:b/>
              </w:rPr>
            </w:r>
            <w:r>
              <w:rPr>
                <w:b/>
                <w:sz w:val="16"/>
              </w:rPr>
              <w:t>arm</w:t>
            </w:r>
          </w:p>
        </w:tc>
        <w:tc>
          <w:tcPr>
            <w:tcW w:type="dxa" w:w="4536"/>
            <w:shd w:val="clear" w:fill="F2F2F2"/>
          </w:tcPr>
          <w:p>
            <w:pPr>
              <w:spacing w:line="240" w:lineRule="auto" w:after="0" w:before="0"/>
            </w:pPr>
            <w:r>
              <w:rPr>
                <w:b/>
              </w:rPr>
            </w:r>
            <w:r>
              <w:rPr>
                <w:b/>
                <w:sz w:val="16"/>
              </w:rPr>
              <w:t>exact change</w:t>
            </w:r>
          </w:p>
        </w:tc>
      </w:tr>
      <w:tr>
        <w:trPr>
          <w:cantSplit/>
        </w:trPr>
        <w:tc>
          <w:tcPr>
            <w:tcW w:type="dxa" w:w="4536"/>
          </w:tcPr>
          <w:p>
            <w:pPr>
              <w:spacing w:line="240" w:lineRule="auto" w:after="0" w:before="0"/>
            </w:pPr>
            <w:r/>
            <w:r>
              <w:rPr>
                <w:sz w:val="16"/>
              </w:rPr>
              <w:t>no_bayesian / no_fuzzy / no_graph / no_risk</w:t>
            </w:r>
          </w:p>
        </w:tc>
        <w:tc>
          <w:tcPr>
            <w:tcW w:type="dxa" w:w="4536"/>
          </w:tcPr>
          <w:p>
            <w:pPr>
              <w:spacing w:line="240" w:lineRule="auto" w:after="0" w:before="0"/>
            </w:pPr>
            <w:r/>
            <w:r>
              <w:rPr>
                <w:sz w:val="16"/>
              </w:rPr>
              <w:t>that layer's vote set to abstain in fusion (</w:t>
            </w:r>
            <w:r>
              <w:rPr>
                <w:rFonts w:ascii="Courier New" w:hAnsi="Courier New" w:eastAsia="Courier New" w:cs="Courier New"/>
                <w:color w:val="000000"/>
                <w:sz w:val="16"/>
              </w:rPr>
              <w:t>HEMOGLYPH_DISABLE_LAYERS</w:t>
            </w:r>
            <w:r>
              <w:rPr>
                <w:sz w:val="16"/>
              </w:rPr>
              <w:t>)</w:t>
            </w:r>
          </w:p>
        </w:tc>
      </w:tr>
      <w:tr>
        <w:trPr>
          <w:cantSplit/>
        </w:trPr>
        <w:tc>
          <w:tcPr>
            <w:tcW w:type="dxa" w:w="4536"/>
          </w:tcPr>
          <w:p>
            <w:pPr>
              <w:spacing w:line="240" w:lineRule="auto" w:after="0" w:before="0"/>
            </w:pPr>
            <w:r/>
            <w:r>
              <w:rPr>
                <w:sz w:val="16"/>
              </w:rPr>
              <w:t>no_rule</w:t>
            </w:r>
          </w:p>
        </w:tc>
        <w:tc>
          <w:tcPr>
            <w:tcW w:type="dxa" w:w="4536"/>
          </w:tcPr>
          <w:p>
            <w:pPr>
              <w:spacing w:line="240" w:lineRule="auto" w:after="0" w:before="0"/>
            </w:pPr>
            <w:r/>
            <w:r>
              <w:rPr>
                <w:sz w:val="16"/>
              </w:rPr>
              <w:t>the rule_engine channel set to abstain; both registry rules and expert-syndrome constellations enter fusion through this channel, so this arm is a superset of no_esl</w:t>
            </w:r>
          </w:p>
        </w:tc>
      </w:tr>
      <w:tr>
        <w:trPr>
          <w:cantSplit/>
        </w:trPr>
        <w:tc>
          <w:tcPr>
            <w:tcW w:type="dxa" w:w="4536"/>
          </w:tcPr>
          <w:p>
            <w:pPr>
              <w:spacing w:line="240" w:lineRule="auto" w:after="0" w:before="0"/>
            </w:pPr>
            <w:r/>
            <w:r>
              <w:rPr>
                <w:sz w:val="16"/>
              </w:rPr>
              <w:t>no_esl</w:t>
            </w:r>
          </w:p>
        </w:tc>
        <w:tc>
          <w:tcPr>
            <w:tcW w:type="dxa" w:w="4536"/>
          </w:tcPr>
          <w:p>
            <w:pPr>
              <w:spacing w:line="240" w:lineRule="auto" w:after="0" w:before="0"/>
            </w:pPr>
            <w:r/>
            <w:r>
              <w:rPr>
                <w:sz w:val="16"/>
              </w:rPr>
              <w:t>expert syndrome layer returns no hits; registry rules intact</w:t>
            </w:r>
          </w:p>
        </w:tc>
      </w:tr>
      <w:tr>
        <w:trPr>
          <w:cantSplit/>
        </w:trPr>
        <w:tc>
          <w:tcPr>
            <w:tcW w:type="dxa" w:w="4536"/>
          </w:tcPr>
          <w:p>
            <w:pPr>
              <w:spacing w:line="240" w:lineRule="auto" w:after="0" w:before="0"/>
            </w:pPr>
            <w:r/>
            <w:r>
              <w:rPr>
                <w:sz w:val="16"/>
              </w:rPr>
              <w:t>dempster</w:t>
            </w:r>
          </w:p>
        </w:tc>
        <w:tc>
          <w:tcPr>
            <w:tcW w:type="dxa" w:w="4536"/>
          </w:tcPr>
          <w:p>
            <w:pPr>
              <w:spacing w:line="240" w:lineRule="auto" w:after="0" w:before="0"/>
            </w:pPr>
            <w:r/>
            <w:r>
              <w:rPr>
                <w:sz w:val="16"/>
              </w:rPr>
              <w:t>conflict mass renormalised (Dempster) instead of assigned to Θ (Yager)</w:t>
            </w:r>
          </w:p>
        </w:tc>
      </w:tr>
      <w:tr>
        <w:trPr>
          <w:cantSplit/>
        </w:trPr>
        <w:tc>
          <w:tcPr>
            <w:tcW w:type="dxa" w:w="4536"/>
          </w:tcPr>
          <w:p>
            <w:pPr>
              <w:spacing w:line="240" w:lineRule="auto" w:after="0" w:before="0"/>
            </w:pPr>
            <w:r/>
            <w:r>
              <w:rPr>
                <w:sz w:val="16"/>
              </w:rPr>
              <w:t>uniform_w / w_rule_heavy / w_rule_light</w:t>
            </w:r>
          </w:p>
        </w:tc>
        <w:tc>
          <w:tcPr>
            <w:tcW w:type="dxa" w:w="4536"/>
          </w:tcPr>
          <w:p>
            <w:pPr>
              <w:spacing w:line="240" w:lineRule="auto" w:after="0" w:before="0"/>
            </w:pPr>
            <w:r/>
            <w:r>
              <w:rPr>
                <w:sz w:val="16"/>
              </w:rPr>
              <w:t>weights and all profiles replaced as given in Table S12; reliability ρ recomputed from the new weights</w:t>
            </w:r>
          </w:p>
        </w:tc>
      </w:tr>
      <w:tr>
        <w:trPr>
          <w:cantSplit/>
        </w:trPr>
        <w:tc>
          <w:tcPr>
            <w:tcW w:type="dxa" w:w="4536"/>
          </w:tcPr>
          <w:p>
            <w:pPr>
              <w:spacing w:line="240" w:lineRule="auto" w:after="0" w:before="0"/>
            </w:pPr>
            <w:r/>
            <w:r>
              <w:rPr>
                <w:sz w:val="16"/>
              </w:rPr>
              <w:t>no_shrink</w:t>
            </w:r>
          </w:p>
        </w:tc>
        <w:tc>
          <w:tcPr>
            <w:tcW w:type="dxa" w:w="4536"/>
          </w:tcPr>
          <w:p>
            <w:pPr>
              <w:spacing w:line="240" w:lineRule="auto" w:after="0" w:before="0"/>
            </w:pPr>
            <w:r/>
            <w:r>
              <w:rPr>
                <w:sz w:val="16"/>
              </w:rPr>
              <w:t>MAX_DISCORD_SHRINK = 0 and SINGLE_SOURCE_DISCOUNT = 1</w:t>
            </w:r>
          </w:p>
        </w:tc>
      </w:tr>
      <w:tr>
        <w:trPr>
          <w:cantSplit/>
        </w:trPr>
        <w:tc>
          <w:tcPr>
            <w:tcW w:type="dxa" w:w="4536"/>
          </w:tcPr>
          <w:p>
            <w:pPr>
              <w:spacing w:line="240" w:lineRule="auto" w:after="0" w:before="0"/>
            </w:pPr>
            <w:r/>
            <w:r>
              <w:rPr>
                <w:sz w:val="16"/>
              </w:rPr>
              <w:t>anchor_only</w:t>
            </w:r>
          </w:p>
        </w:tc>
        <w:tc>
          <w:tcPr>
            <w:tcW w:type="dxa" w:w="4536"/>
          </w:tcPr>
          <w:p>
            <w:pPr>
              <w:spacing w:line="240" w:lineRule="auto" w:after="0" w:before="0"/>
            </w:pPr>
            <w:r/>
            <w:r>
              <w:rPr>
                <w:sz w:val="16"/>
              </w:rPr>
              <w:t>registry with only the 272 curated anchor rules executable</w:t>
            </w:r>
          </w:p>
        </w:tc>
      </w:tr>
      <w:tr>
        <w:trPr>
          <w:cantSplit/>
        </w:trPr>
        <w:tc>
          <w:tcPr>
            <w:tcW w:type="dxa" w:w="4536"/>
          </w:tcPr>
          <w:p>
            <w:pPr>
              <w:spacing w:line="240" w:lineRule="auto" w:after="0" w:before="0"/>
            </w:pPr>
            <w:r/>
            <w:r>
              <w:rPr>
                <w:sz w:val="16"/>
              </w:rPr>
              <w:t>no_unverified</w:t>
            </w:r>
          </w:p>
        </w:tc>
        <w:tc>
          <w:tcPr>
            <w:tcW w:type="dxa" w:w="4536"/>
          </w:tcPr>
          <w:p>
            <w:pPr>
              <w:spacing w:line="240" w:lineRule="auto" w:after="0" w:before="0"/>
            </w:pPr>
            <w:r/>
            <w:r>
              <w:rPr>
                <w:sz w:val="16"/>
              </w:rPr>
              <w:t xml:space="preserve">28 </w:t>
            </w:r>
            <w:r>
              <w:rPr>
                <w:rFonts w:ascii="Courier New" w:hAnsi="Courier New" w:eastAsia="Courier New" w:cs="Courier New"/>
                <w:color w:val="000000"/>
                <w:sz w:val="16"/>
              </w:rPr>
              <w:t>unverified_source</w:t>
            </w:r>
            <w:r>
              <w:rPr>
                <w:sz w:val="16"/>
              </w:rPr>
              <w:t xml:space="preserve"> rules non-executable</w:t>
            </w:r>
          </w:p>
        </w:tc>
      </w:tr>
      <w:tr>
        <w:trPr>
          <w:cantSplit/>
        </w:trPr>
        <w:tc>
          <w:tcPr>
            <w:tcW w:type="dxa" w:w="4536"/>
          </w:tcPr>
          <w:p>
            <w:pPr>
              <w:spacing w:line="240" w:lineRule="auto" w:after="0" w:before="0"/>
            </w:pPr>
            <w:r/>
            <w:r>
              <w:rPr>
                <w:sz w:val="16"/>
              </w:rPr>
              <w:t>anchor_only_no_esl</w:t>
            </w:r>
          </w:p>
        </w:tc>
        <w:tc>
          <w:tcPr>
            <w:tcW w:type="dxa" w:w="4536"/>
          </w:tcPr>
          <w:p>
            <w:pPr>
              <w:spacing w:line="240" w:lineRule="auto" w:after="0" w:before="0"/>
            </w:pPr>
            <w:r/>
            <w:r>
              <w:rPr>
                <w:sz w:val="16"/>
              </w:rPr>
              <w:t xml:space="preserve">2 × 2 cell added in revision round 4: anchor-only registry </w:t>
            </w:r>
            <w:r>
              <w:rPr>
                <w:b/>
                <w:sz w:val="16"/>
              </w:rPr>
              <w:t>and</w:t>
            </w:r>
            <w:r>
              <w:rPr>
                <w:sz w:val="16"/>
              </w:rPr>
              <w:t xml:space="preserve"> syndrome layer off (flat@5 48.2 %, Δ −12.6 (−14.5 to −10.6); two-tier@5 60.9 %; mean AUROC 0.708). Interaction: AI-drafted rules contribute 0.9 points with the syndrome layer present and 3.1 points without it; the syndrome layer contributes 9.5 points with the full registry and 11.7 with anchors only</w:t>
            </w:r>
          </w:p>
        </w:tc>
      </w:tr>
    </w:tbl>
    <w:p/>
    <w:p>
      <w:pPr>
        <w:pStyle w:val="Heading1"/>
      </w:pPr>
      <w:r>
        <w:rPr>
          <w:rFonts w:ascii="Times New Roman" w:hAnsi="Times New Roman" w:eastAsia="Times New Roman" w:cs="Times New Roman"/>
          <w:b/>
          <w:i w:val="0"/>
          <w:color w:val="000000"/>
        </w:rPr>
        <w:t>Supplementary Table S6 — Calibration metrics, per group and pooled (engine v7, eICU demo)</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cantSplit/>
          <w:tblHeader/>
        </w:trPr>
        <w:tc>
          <w:tcPr>
            <w:tcW w:type="dxa" w:w="1134"/>
            <w:shd w:val="clear" w:fill="F2F2F2"/>
          </w:tcPr>
          <w:p>
            <w:pPr>
              <w:spacing w:line="240" w:lineRule="auto" w:after="0" w:before="0"/>
            </w:pPr>
            <w:r>
              <w:rPr>
                <w:b/>
              </w:rPr>
            </w:r>
            <w:r>
              <w:rPr>
                <w:b/>
                <w:sz w:val="16"/>
              </w:rPr>
              <w:t>set</w:t>
            </w:r>
          </w:p>
        </w:tc>
        <w:tc>
          <w:tcPr>
            <w:tcW w:type="dxa" w:w="1134"/>
            <w:shd w:val="clear" w:fill="F2F2F2"/>
          </w:tcPr>
          <w:p>
            <w:pPr>
              <w:spacing w:line="240" w:lineRule="auto" w:after="0" w:before="0"/>
            </w:pPr>
            <w:r>
              <w:rPr>
                <w:b/>
              </w:rPr>
            </w:r>
            <w:r>
              <w:rPr>
                <w:b/>
                <w:sz w:val="16"/>
              </w:rPr>
              <w:t>units</w:t>
            </w:r>
          </w:p>
        </w:tc>
        <w:tc>
          <w:tcPr>
            <w:tcW w:type="dxa" w:w="1134"/>
            <w:shd w:val="clear" w:fill="F2F2F2"/>
          </w:tcPr>
          <w:p>
            <w:pPr>
              <w:spacing w:line="240" w:lineRule="auto" w:after="0" w:before="0"/>
            </w:pPr>
            <w:r>
              <w:rPr>
                <w:b/>
              </w:rPr>
            </w:r>
            <w:r>
              <w:rPr>
                <w:b/>
                <w:sz w:val="16"/>
              </w:rPr>
              <w:t>prev</w:t>
            </w:r>
          </w:p>
        </w:tc>
        <w:tc>
          <w:tcPr>
            <w:tcW w:type="dxa" w:w="1134"/>
            <w:shd w:val="clear" w:fill="F2F2F2"/>
          </w:tcPr>
          <w:p>
            <w:pPr>
              <w:spacing w:line="240" w:lineRule="auto" w:after="0" w:before="0"/>
            </w:pPr>
            <w:r>
              <w:rPr>
                <w:b/>
              </w:rPr>
            </w:r>
            <w:r>
              <w:rPr>
                <w:b/>
                <w:sz w:val="16"/>
              </w:rPr>
              <w:t>calibration slope</w:t>
            </w:r>
          </w:p>
        </w:tc>
        <w:tc>
          <w:tcPr>
            <w:tcW w:type="dxa" w:w="1134"/>
            <w:shd w:val="clear" w:fill="F2F2F2"/>
          </w:tcPr>
          <w:p>
            <w:pPr>
              <w:spacing w:line="240" w:lineRule="auto" w:after="0" w:before="0"/>
            </w:pPr>
            <w:r>
              <w:rPr>
                <w:b/>
              </w:rPr>
            </w:r>
            <w:r>
              <w:rPr>
                <w:b/>
                <w:sz w:val="16"/>
              </w:rPr>
              <w:t>calibration-in-the-large (intercept)</w:t>
            </w:r>
          </w:p>
        </w:tc>
        <w:tc>
          <w:tcPr>
            <w:tcW w:type="dxa" w:w="1134"/>
            <w:shd w:val="clear" w:fill="F2F2F2"/>
          </w:tcPr>
          <w:p>
            <w:pPr>
              <w:spacing w:line="240" w:lineRule="auto" w:after="0" w:before="0"/>
            </w:pPr>
            <w:r>
              <w:rPr>
                <w:b/>
              </w:rPr>
            </w:r>
            <w:r>
              <w:rPr>
                <w:b/>
                <w:sz w:val="16"/>
              </w:rPr>
              <w:t>Brier (95% CI)</w:t>
            </w:r>
          </w:p>
        </w:tc>
        <w:tc>
          <w:tcPr>
            <w:tcW w:type="dxa" w:w="1134"/>
            <w:shd w:val="clear" w:fill="F2F2F2"/>
          </w:tcPr>
          <w:p>
            <w:pPr>
              <w:spacing w:line="240" w:lineRule="auto" w:after="0" w:before="0"/>
            </w:pPr>
            <w:r>
              <w:rPr>
                <w:b/>
              </w:rPr>
            </w:r>
            <w:r>
              <w:rPr>
                <w:b/>
                <w:sz w:val="16"/>
              </w:rPr>
              <w:t>log-loss</w:t>
            </w:r>
          </w:p>
        </w:tc>
        <w:tc>
          <w:tcPr>
            <w:tcW w:type="dxa" w:w="1134"/>
            <w:shd w:val="clear" w:fill="F2F2F2"/>
          </w:tcPr>
          <w:p>
            <w:pPr>
              <w:spacing w:line="240" w:lineRule="auto" w:after="0" w:before="0"/>
            </w:pPr>
            <w:r>
              <w:rPr>
                <w:b/>
              </w:rPr>
            </w:r>
            <w:r>
              <w:rPr>
                <w:b/>
                <w:sz w:val="16"/>
              </w:rPr>
              <w:t>AUROC</w:t>
            </w:r>
          </w:p>
        </w:tc>
      </w:tr>
      <w:tr>
        <w:trPr>
          <w:cantSplit/>
        </w:trPr>
        <w:tc>
          <w:tcPr>
            <w:tcW w:type="dxa" w:w="1134"/>
          </w:tcPr>
          <w:p>
            <w:pPr>
              <w:spacing w:line="240" w:lineRule="auto" w:after="0" w:before="0"/>
            </w:pPr>
            <w:r/>
            <w:r>
              <w:rPr>
                <w:sz w:val="16"/>
              </w:rPr>
              <w:t>ALL pooled</w:t>
            </w:r>
          </w:p>
        </w:tc>
        <w:tc>
          <w:tcPr>
            <w:tcW w:type="dxa" w:w="1134"/>
          </w:tcPr>
          <w:p>
            <w:pPr>
              <w:spacing w:line="240" w:lineRule="auto" w:after="0" w:before="0"/>
            </w:pPr>
            <w:r/>
            <w:r>
              <w:rPr>
                <w:sz w:val="16"/>
              </w:rPr>
              <w:t>52689</w:t>
            </w:r>
          </w:p>
        </w:tc>
        <w:tc>
          <w:tcPr>
            <w:tcW w:type="dxa" w:w="1134"/>
          </w:tcPr>
          <w:p>
            <w:pPr>
              <w:spacing w:line="240" w:lineRule="auto" w:after="0" w:before="0"/>
            </w:pPr>
            <w:r/>
            <w:r>
              <w:rPr>
                <w:sz w:val="16"/>
              </w:rPr>
              <w:t>0.046</w:t>
            </w:r>
          </w:p>
        </w:tc>
        <w:tc>
          <w:tcPr>
            <w:tcW w:type="dxa" w:w="1134"/>
          </w:tcPr>
          <w:p>
            <w:pPr>
              <w:spacing w:line="240" w:lineRule="auto" w:after="0" w:before="0"/>
            </w:pPr>
            <w:r/>
            <w:r>
              <w:rPr>
                <w:sz w:val="16"/>
              </w:rPr>
              <w:t>0.25</w:t>
            </w:r>
          </w:p>
        </w:tc>
        <w:tc>
          <w:tcPr>
            <w:tcW w:type="dxa" w:w="1134"/>
          </w:tcPr>
          <w:p>
            <w:pPr>
              <w:spacing w:line="240" w:lineRule="auto" w:after="0" w:before="0"/>
            </w:pPr>
            <w:r/>
            <w:r>
              <w:rPr>
                <w:sz w:val="16"/>
              </w:rPr>
              <w:t>-2.50</w:t>
            </w:r>
          </w:p>
        </w:tc>
        <w:tc>
          <w:tcPr>
            <w:tcW w:type="dxa" w:w="1134"/>
          </w:tcPr>
          <w:p>
            <w:pPr>
              <w:spacing w:line="240" w:lineRule="auto" w:after="0" w:before="0"/>
            </w:pPr>
            <w:r/>
            <w:r>
              <w:rPr>
                <w:sz w:val="16"/>
              </w:rPr>
              <w:t>0.117 (0.114–0.119)</w:t>
            </w:r>
          </w:p>
        </w:tc>
        <w:tc>
          <w:tcPr>
            <w:tcW w:type="dxa" w:w="1134"/>
          </w:tcPr>
          <w:p>
            <w:pPr>
              <w:spacing w:line="240" w:lineRule="auto" w:after="0" w:before="0"/>
            </w:pPr>
            <w:r/>
            <w:r>
              <w:rPr>
                <w:sz w:val="16"/>
              </w:rPr>
              <w:t>0.379</w:t>
            </w:r>
          </w:p>
        </w:tc>
        <w:tc>
          <w:tcPr>
            <w:tcW w:type="dxa" w:w="1134"/>
          </w:tcPr>
          <w:p>
            <w:pPr>
              <w:spacing w:line="240" w:lineRule="auto" w:after="0" w:before="0"/>
            </w:pPr>
            <w:r/>
            <w:r>
              <w:rPr>
                <w:sz w:val="16"/>
              </w:rPr>
              <w:t>0.797</w:t>
            </w:r>
          </w:p>
        </w:tc>
      </w:tr>
      <w:tr>
        <w:trPr>
          <w:cantSplit/>
        </w:trPr>
        <w:tc>
          <w:tcPr>
            <w:tcW w:type="dxa" w:w="1134"/>
          </w:tcPr>
          <w:p>
            <w:pPr>
              <w:spacing w:line="240" w:lineRule="auto" w:after="0" w:before="0"/>
            </w:pPr>
            <w:r/>
            <w:r>
              <w:rPr>
                <w:sz w:val="16"/>
              </w:rPr>
              <w:t>renal_impairment</w:t>
            </w:r>
          </w:p>
        </w:tc>
        <w:tc>
          <w:tcPr>
            <w:tcW w:type="dxa" w:w="1134"/>
          </w:tcPr>
          <w:p>
            <w:pPr>
              <w:spacing w:line="240" w:lineRule="auto" w:after="0" w:before="0"/>
            </w:pPr>
            <w:r/>
            <w:r>
              <w:rPr>
                <w:sz w:val="16"/>
              </w:rPr>
              <w:t>2266</w:t>
            </w:r>
          </w:p>
        </w:tc>
        <w:tc>
          <w:tcPr>
            <w:tcW w:type="dxa" w:w="1134"/>
          </w:tcPr>
          <w:p>
            <w:pPr>
              <w:spacing w:line="240" w:lineRule="auto" w:after="0" w:before="0"/>
            </w:pPr>
            <w:r/>
            <w:r>
              <w:rPr>
                <w:sz w:val="16"/>
              </w:rPr>
              <w:t>0.144</w:t>
            </w:r>
          </w:p>
        </w:tc>
        <w:tc>
          <w:tcPr>
            <w:tcW w:type="dxa" w:w="1134"/>
          </w:tcPr>
          <w:p>
            <w:pPr>
              <w:spacing w:line="240" w:lineRule="auto" w:after="0" w:before="0"/>
            </w:pPr>
            <w:r/>
            <w:r>
              <w:rPr>
                <w:sz w:val="16"/>
              </w:rPr>
              <w:t>0.25</w:t>
            </w:r>
          </w:p>
        </w:tc>
        <w:tc>
          <w:tcPr>
            <w:tcW w:type="dxa" w:w="1134"/>
          </w:tcPr>
          <w:p>
            <w:pPr>
              <w:spacing w:line="240" w:lineRule="auto" w:after="0" w:before="0"/>
            </w:pPr>
            <w:r/>
            <w:r>
              <w:rPr>
                <w:sz w:val="16"/>
              </w:rPr>
              <w:t>-2.23</w:t>
            </w:r>
          </w:p>
        </w:tc>
        <w:tc>
          <w:tcPr>
            <w:tcW w:type="dxa" w:w="1134"/>
          </w:tcPr>
          <w:p>
            <w:pPr>
              <w:spacing w:line="240" w:lineRule="auto" w:after="0" w:before="0"/>
            </w:pPr>
            <w:r/>
            <w:r>
              <w:rPr>
                <w:sz w:val="16"/>
              </w:rPr>
              <w:t>0.236 (0.224–0.247)</w:t>
            </w:r>
          </w:p>
        </w:tc>
        <w:tc>
          <w:tcPr>
            <w:tcW w:type="dxa" w:w="1134"/>
          </w:tcPr>
          <w:p>
            <w:pPr>
              <w:spacing w:line="240" w:lineRule="auto" w:after="0" w:before="0"/>
            </w:pPr>
            <w:r/>
            <w:r>
              <w:rPr>
                <w:sz w:val="16"/>
              </w:rPr>
              <w:t>0.727</w:t>
            </w:r>
          </w:p>
        </w:tc>
        <w:tc>
          <w:tcPr>
            <w:tcW w:type="dxa" w:w="1134"/>
          </w:tcPr>
          <w:p>
            <w:pPr>
              <w:spacing w:line="240" w:lineRule="auto" w:after="0" w:before="0"/>
            </w:pPr>
            <w:r/>
            <w:r>
              <w:rPr>
                <w:sz w:val="16"/>
              </w:rPr>
              <w:t>0.777</w:t>
            </w:r>
          </w:p>
        </w:tc>
      </w:tr>
      <w:tr>
        <w:trPr>
          <w:cantSplit/>
        </w:trPr>
        <w:tc>
          <w:tcPr>
            <w:tcW w:type="dxa" w:w="1134"/>
          </w:tcPr>
          <w:p>
            <w:pPr>
              <w:spacing w:line="240" w:lineRule="auto" w:after="0" w:before="0"/>
            </w:pPr>
            <w:r/>
            <w:r>
              <w:rPr>
                <w:sz w:val="16"/>
              </w:rPr>
              <w:t>sepsis</w:t>
            </w:r>
          </w:p>
        </w:tc>
        <w:tc>
          <w:tcPr>
            <w:tcW w:type="dxa" w:w="1134"/>
          </w:tcPr>
          <w:p>
            <w:pPr>
              <w:spacing w:line="240" w:lineRule="auto" w:after="0" w:before="0"/>
            </w:pPr>
            <w:r/>
            <w:r>
              <w:rPr>
                <w:sz w:val="16"/>
              </w:rPr>
              <w:t>2215</w:t>
            </w:r>
          </w:p>
        </w:tc>
        <w:tc>
          <w:tcPr>
            <w:tcW w:type="dxa" w:w="1134"/>
          </w:tcPr>
          <w:p>
            <w:pPr>
              <w:spacing w:line="240" w:lineRule="auto" w:after="0" w:before="0"/>
            </w:pPr>
            <w:r/>
            <w:r>
              <w:rPr>
                <w:sz w:val="16"/>
              </w:rPr>
              <w:t>0.130</w:t>
            </w:r>
          </w:p>
        </w:tc>
        <w:tc>
          <w:tcPr>
            <w:tcW w:type="dxa" w:w="1134"/>
          </w:tcPr>
          <w:p>
            <w:pPr>
              <w:spacing w:line="240" w:lineRule="auto" w:after="0" w:before="0"/>
            </w:pPr>
            <w:r/>
            <w:r>
              <w:rPr>
                <w:sz w:val="16"/>
              </w:rPr>
              <w:t>0.13</w:t>
            </w:r>
          </w:p>
        </w:tc>
        <w:tc>
          <w:tcPr>
            <w:tcW w:type="dxa" w:w="1134"/>
          </w:tcPr>
          <w:p>
            <w:pPr>
              <w:spacing w:line="240" w:lineRule="auto" w:after="0" w:before="0"/>
            </w:pPr>
            <w:r/>
            <w:r>
              <w:rPr>
                <w:sz w:val="16"/>
              </w:rPr>
              <w:t>-1.28</w:t>
            </w:r>
          </w:p>
        </w:tc>
        <w:tc>
          <w:tcPr>
            <w:tcW w:type="dxa" w:w="1134"/>
          </w:tcPr>
          <w:p>
            <w:pPr>
              <w:spacing w:line="240" w:lineRule="auto" w:after="0" w:before="0"/>
            </w:pPr>
            <w:r/>
            <w:r>
              <w:rPr>
                <w:sz w:val="16"/>
              </w:rPr>
              <w:t>0.171 (0.159–0.182)</w:t>
            </w:r>
          </w:p>
        </w:tc>
        <w:tc>
          <w:tcPr>
            <w:tcW w:type="dxa" w:w="1134"/>
          </w:tcPr>
          <w:p>
            <w:pPr>
              <w:spacing w:line="240" w:lineRule="auto" w:after="0" w:before="0"/>
            </w:pPr>
            <w:r/>
            <w:r>
              <w:rPr>
                <w:sz w:val="16"/>
              </w:rPr>
              <w:t>0.789</w:t>
            </w:r>
          </w:p>
        </w:tc>
        <w:tc>
          <w:tcPr>
            <w:tcW w:type="dxa" w:w="1134"/>
          </w:tcPr>
          <w:p>
            <w:pPr>
              <w:spacing w:line="240" w:lineRule="auto" w:after="0" w:before="0"/>
            </w:pPr>
            <w:r/>
            <w:r>
              <w:rPr>
                <w:sz w:val="16"/>
              </w:rPr>
              <w:t>0.682</w:t>
            </w:r>
          </w:p>
        </w:tc>
      </w:tr>
      <w:tr>
        <w:trPr>
          <w:cantSplit/>
        </w:trPr>
        <w:tc>
          <w:tcPr>
            <w:tcW w:type="dxa" w:w="1134"/>
          </w:tcPr>
          <w:p>
            <w:pPr>
              <w:spacing w:line="240" w:lineRule="auto" w:after="0" w:before="0"/>
            </w:pPr>
            <w:r/>
            <w:r>
              <w:rPr>
                <w:sz w:val="16"/>
              </w:rPr>
              <w:t>diabetes</w:t>
            </w:r>
          </w:p>
        </w:tc>
        <w:tc>
          <w:tcPr>
            <w:tcW w:type="dxa" w:w="1134"/>
          </w:tcPr>
          <w:p>
            <w:pPr>
              <w:spacing w:line="240" w:lineRule="auto" w:after="0" w:before="0"/>
            </w:pPr>
            <w:r/>
            <w:r>
              <w:rPr>
                <w:sz w:val="16"/>
              </w:rPr>
              <w:t>2247</w:t>
            </w:r>
          </w:p>
        </w:tc>
        <w:tc>
          <w:tcPr>
            <w:tcW w:type="dxa" w:w="1134"/>
          </w:tcPr>
          <w:p>
            <w:pPr>
              <w:spacing w:line="240" w:lineRule="auto" w:after="0" w:before="0"/>
            </w:pPr>
            <w:r/>
            <w:r>
              <w:rPr>
                <w:sz w:val="16"/>
              </w:rPr>
              <w:t>0.109</w:t>
            </w:r>
          </w:p>
        </w:tc>
        <w:tc>
          <w:tcPr>
            <w:tcW w:type="dxa" w:w="1134"/>
          </w:tcPr>
          <w:p>
            <w:pPr>
              <w:spacing w:line="240" w:lineRule="auto" w:after="0" w:before="0"/>
            </w:pPr>
            <w:r/>
            <w:r>
              <w:rPr>
                <w:sz w:val="16"/>
              </w:rPr>
              <w:t>0.14</w:t>
            </w:r>
          </w:p>
        </w:tc>
        <w:tc>
          <w:tcPr>
            <w:tcW w:type="dxa" w:w="1134"/>
          </w:tcPr>
          <w:p>
            <w:pPr>
              <w:spacing w:line="240" w:lineRule="auto" w:after="0" w:before="0"/>
            </w:pPr>
            <w:r/>
            <w:r>
              <w:rPr>
                <w:sz w:val="16"/>
              </w:rPr>
              <w:t>-1.43</w:t>
            </w:r>
          </w:p>
        </w:tc>
        <w:tc>
          <w:tcPr>
            <w:tcW w:type="dxa" w:w="1134"/>
          </w:tcPr>
          <w:p>
            <w:pPr>
              <w:spacing w:line="240" w:lineRule="auto" w:after="0" w:before="0"/>
            </w:pPr>
            <w:r/>
            <w:r>
              <w:rPr>
                <w:sz w:val="16"/>
              </w:rPr>
              <w:t>0.150 (0.142–0.158)</w:t>
            </w:r>
          </w:p>
        </w:tc>
        <w:tc>
          <w:tcPr>
            <w:tcW w:type="dxa" w:w="1134"/>
          </w:tcPr>
          <w:p>
            <w:pPr>
              <w:spacing w:line="240" w:lineRule="auto" w:after="0" w:before="0"/>
            </w:pPr>
            <w:r/>
            <w:r>
              <w:rPr>
                <w:sz w:val="16"/>
              </w:rPr>
              <w:t>0.572</w:t>
            </w:r>
          </w:p>
        </w:tc>
        <w:tc>
          <w:tcPr>
            <w:tcW w:type="dxa" w:w="1134"/>
          </w:tcPr>
          <w:p>
            <w:pPr>
              <w:spacing w:line="240" w:lineRule="auto" w:after="0" w:before="0"/>
            </w:pPr>
            <w:r/>
            <w:r>
              <w:rPr>
                <w:sz w:val="16"/>
              </w:rPr>
              <w:t>0.692</w:t>
            </w:r>
          </w:p>
        </w:tc>
      </w:tr>
      <w:tr>
        <w:trPr>
          <w:cantSplit/>
        </w:trPr>
        <w:tc>
          <w:tcPr>
            <w:tcW w:type="dxa" w:w="1134"/>
          </w:tcPr>
          <w:p>
            <w:pPr>
              <w:spacing w:line="240" w:lineRule="auto" w:after="0" w:before="0"/>
            </w:pPr>
            <w:r/>
            <w:r>
              <w:rPr>
                <w:sz w:val="16"/>
              </w:rPr>
              <w:t>acute_kidney_injury</w:t>
            </w:r>
          </w:p>
        </w:tc>
        <w:tc>
          <w:tcPr>
            <w:tcW w:type="dxa" w:w="1134"/>
          </w:tcPr>
          <w:p>
            <w:pPr>
              <w:spacing w:line="240" w:lineRule="auto" w:after="0" w:before="0"/>
            </w:pPr>
            <w:r/>
            <w:r>
              <w:rPr>
                <w:sz w:val="16"/>
              </w:rPr>
              <w:t>2266</w:t>
            </w:r>
          </w:p>
        </w:tc>
        <w:tc>
          <w:tcPr>
            <w:tcW w:type="dxa" w:w="1134"/>
          </w:tcPr>
          <w:p>
            <w:pPr>
              <w:spacing w:line="240" w:lineRule="auto" w:after="0" w:before="0"/>
            </w:pPr>
            <w:r/>
            <w:r>
              <w:rPr>
                <w:sz w:val="16"/>
              </w:rPr>
              <w:t>0.096</w:t>
            </w:r>
          </w:p>
        </w:tc>
        <w:tc>
          <w:tcPr>
            <w:tcW w:type="dxa" w:w="1134"/>
          </w:tcPr>
          <w:p>
            <w:pPr>
              <w:spacing w:line="240" w:lineRule="auto" w:after="0" w:before="0"/>
            </w:pPr>
            <w:r/>
            <w:r>
              <w:rPr>
                <w:sz w:val="16"/>
              </w:rPr>
              <w:t>0.26</w:t>
            </w:r>
          </w:p>
        </w:tc>
        <w:tc>
          <w:tcPr>
            <w:tcW w:type="dxa" w:w="1134"/>
          </w:tcPr>
          <w:p>
            <w:pPr>
              <w:spacing w:line="240" w:lineRule="auto" w:after="0" w:before="0"/>
            </w:pPr>
            <w:r/>
            <w:r>
              <w:rPr>
                <w:sz w:val="16"/>
              </w:rPr>
              <w:t>-2.37</w:t>
            </w:r>
          </w:p>
        </w:tc>
        <w:tc>
          <w:tcPr>
            <w:tcW w:type="dxa" w:w="1134"/>
          </w:tcPr>
          <w:p>
            <w:pPr>
              <w:spacing w:line="240" w:lineRule="auto" w:after="0" w:before="0"/>
            </w:pPr>
            <w:r/>
            <w:r>
              <w:rPr>
                <w:sz w:val="16"/>
              </w:rPr>
              <w:t>0.213 (0.204–0.223)</w:t>
            </w:r>
          </w:p>
        </w:tc>
        <w:tc>
          <w:tcPr>
            <w:tcW w:type="dxa" w:w="1134"/>
          </w:tcPr>
          <w:p>
            <w:pPr>
              <w:spacing w:line="240" w:lineRule="auto" w:after="0" w:before="0"/>
            </w:pPr>
            <w:r/>
            <w:r>
              <w:rPr>
                <w:sz w:val="16"/>
              </w:rPr>
              <w:t>0.621</w:t>
            </w:r>
          </w:p>
        </w:tc>
        <w:tc>
          <w:tcPr>
            <w:tcW w:type="dxa" w:w="1134"/>
          </w:tcPr>
          <w:p>
            <w:pPr>
              <w:spacing w:line="240" w:lineRule="auto" w:after="0" w:before="0"/>
            </w:pPr>
            <w:r/>
            <w:r>
              <w:rPr>
                <w:sz w:val="16"/>
              </w:rPr>
              <w:t>0.774</w:t>
            </w:r>
          </w:p>
        </w:tc>
      </w:tr>
      <w:tr>
        <w:trPr>
          <w:cantSplit/>
        </w:trPr>
        <w:tc>
          <w:tcPr>
            <w:tcW w:type="dxa" w:w="1134"/>
          </w:tcPr>
          <w:p>
            <w:pPr>
              <w:spacing w:line="240" w:lineRule="auto" w:after="0" w:before="0"/>
            </w:pPr>
            <w:r/>
            <w:r>
              <w:rPr>
                <w:sz w:val="16"/>
              </w:rPr>
              <w:t>anemia</w:t>
            </w:r>
          </w:p>
        </w:tc>
        <w:tc>
          <w:tcPr>
            <w:tcW w:type="dxa" w:w="1134"/>
          </w:tcPr>
          <w:p>
            <w:pPr>
              <w:spacing w:line="240" w:lineRule="auto" w:after="0" w:before="0"/>
            </w:pPr>
            <w:r/>
            <w:r>
              <w:rPr>
                <w:sz w:val="16"/>
              </w:rPr>
              <w:t>2207</w:t>
            </w:r>
          </w:p>
        </w:tc>
        <w:tc>
          <w:tcPr>
            <w:tcW w:type="dxa" w:w="1134"/>
          </w:tcPr>
          <w:p>
            <w:pPr>
              <w:spacing w:line="240" w:lineRule="auto" w:after="0" w:before="0"/>
            </w:pPr>
            <w:r/>
            <w:r>
              <w:rPr>
                <w:sz w:val="16"/>
              </w:rPr>
              <w:t>0.067</w:t>
            </w:r>
          </w:p>
        </w:tc>
        <w:tc>
          <w:tcPr>
            <w:tcW w:type="dxa" w:w="1134"/>
          </w:tcPr>
          <w:p>
            <w:pPr>
              <w:spacing w:line="240" w:lineRule="auto" w:after="0" w:before="0"/>
            </w:pPr>
            <w:r/>
            <w:r>
              <w:rPr>
                <w:sz w:val="16"/>
              </w:rPr>
              <w:t>0.36</w:t>
            </w:r>
          </w:p>
        </w:tc>
        <w:tc>
          <w:tcPr>
            <w:tcW w:type="dxa" w:w="1134"/>
          </w:tcPr>
          <w:p>
            <w:pPr>
              <w:spacing w:line="240" w:lineRule="auto" w:after="0" w:before="0"/>
            </w:pPr>
            <w:r/>
            <w:r>
              <w:rPr>
                <w:sz w:val="16"/>
              </w:rPr>
              <w:t>-2.94</w:t>
            </w:r>
          </w:p>
        </w:tc>
        <w:tc>
          <w:tcPr>
            <w:tcW w:type="dxa" w:w="1134"/>
          </w:tcPr>
          <w:p>
            <w:pPr>
              <w:spacing w:line="240" w:lineRule="auto" w:after="0" w:before="0"/>
            </w:pPr>
            <w:r/>
            <w:r>
              <w:rPr>
                <w:sz w:val="16"/>
              </w:rPr>
              <w:t>0.244 (0.235–0.254)</w:t>
            </w:r>
          </w:p>
        </w:tc>
        <w:tc>
          <w:tcPr>
            <w:tcW w:type="dxa" w:w="1134"/>
          </w:tcPr>
          <w:p>
            <w:pPr>
              <w:spacing w:line="240" w:lineRule="auto" w:after="0" w:before="0"/>
            </w:pPr>
            <w:r/>
            <w:r>
              <w:rPr>
                <w:sz w:val="16"/>
              </w:rPr>
              <w:t>0.662</w:t>
            </w:r>
          </w:p>
        </w:tc>
        <w:tc>
          <w:tcPr>
            <w:tcW w:type="dxa" w:w="1134"/>
          </w:tcPr>
          <w:p>
            <w:pPr>
              <w:spacing w:line="240" w:lineRule="auto" w:after="0" w:before="0"/>
            </w:pPr>
            <w:r/>
            <w:r>
              <w:rPr>
                <w:sz w:val="16"/>
              </w:rPr>
              <w:t>0.782</w:t>
            </w:r>
          </w:p>
        </w:tc>
      </w:tr>
      <w:tr>
        <w:trPr>
          <w:cantSplit/>
        </w:trPr>
        <w:tc>
          <w:tcPr>
            <w:tcW w:type="dxa" w:w="1134"/>
          </w:tcPr>
          <w:p>
            <w:pPr>
              <w:spacing w:line="240" w:lineRule="auto" w:after="0" w:before="0"/>
            </w:pPr>
            <w:r/>
            <w:r>
              <w:rPr>
                <w:sz w:val="16"/>
              </w:rPr>
              <w:t>acute_myocardial_infarction</w:t>
            </w:r>
          </w:p>
        </w:tc>
        <w:tc>
          <w:tcPr>
            <w:tcW w:type="dxa" w:w="1134"/>
          </w:tcPr>
          <w:p>
            <w:pPr>
              <w:spacing w:line="240" w:lineRule="auto" w:after="0" w:before="0"/>
            </w:pPr>
            <w:r/>
            <w:r>
              <w:rPr>
                <w:sz w:val="16"/>
              </w:rPr>
              <w:t>668</w:t>
            </w:r>
          </w:p>
        </w:tc>
        <w:tc>
          <w:tcPr>
            <w:tcW w:type="dxa" w:w="1134"/>
          </w:tcPr>
          <w:p>
            <w:pPr>
              <w:spacing w:line="240" w:lineRule="auto" w:after="0" w:before="0"/>
            </w:pPr>
            <w:r/>
            <w:r>
              <w:rPr>
                <w:sz w:val="16"/>
              </w:rPr>
              <w:t>0.126</w:t>
            </w:r>
          </w:p>
        </w:tc>
        <w:tc>
          <w:tcPr>
            <w:tcW w:type="dxa" w:w="1134"/>
          </w:tcPr>
          <w:p>
            <w:pPr>
              <w:spacing w:line="240" w:lineRule="auto" w:after="0" w:before="0"/>
            </w:pPr>
            <w:r/>
            <w:r>
              <w:rPr>
                <w:sz w:val="16"/>
              </w:rPr>
              <w:t>0.23</w:t>
            </w:r>
          </w:p>
        </w:tc>
        <w:tc>
          <w:tcPr>
            <w:tcW w:type="dxa" w:w="1134"/>
          </w:tcPr>
          <w:p>
            <w:pPr>
              <w:spacing w:line="240" w:lineRule="auto" w:after="0" w:before="0"/>
            </w:pPr>
            <w:r/>
            <w:r>
              <w:rPr>
                <w:sz w:val="16"/>
              </w:rPr>
              <w:t>+nan</w:t>
            </w:r>
          </w:p>
        </w:tc>
        <w:tc>
          <w:tcPr>
            <w:tcW w:type="dxa" w:w="1134"/>
          </w:tcPr>
          <w:p>
            <w:pPr>
              <w:spacing w:line="240" w:lineRule="auto" w:after="0" w:before="0"/>
            </w:pPr>
            <w:r/>
            <w:r>
              <w:rPr>
                <w:sz w:val="16"/>
              </w:rPr>
              <w:t>0.492 (0.467–0.518)</w:t>
            </w:r>
          </w:p>
        </w:tc>
        <w:tc>
          <w:tcPr>
            <w:tcW w:type="dxa" w:w="1134"/>
          </w:tcPr>
          <w:p>
            <w:pPr>
              <w:spacing w:line="240" w:lineRule="auto" w:after="0" w:before="0"/>
            </w:pPr>
            <w:r/>
            <w:r>
              <w:rPr>
                <w:sz w:val="16"/>
              </w:rPr>
              <w:t>1.412</w:t>
            </w:r>
          </w:p>
        </w:tc>
        <w:tc>
          <w:tcPr>
            <w:tcW w:type="dxa" w:w="1134"/>
          </w:tcPr>
          <w:p>
            <w:pPr>
              <w:spacing w:line="240" w:lineRule="auto" w:after="0" w:before="0"/>
            </w:pPr>
            <w:r/>
            <w:r>
              <w:rPr>
                <w:sz w:val="16"/>
              </w:rPr>
              <w:t>0.758</w:t>
            </w:r>
          </w:p>
        </w:tc>
      </w:tr>
      <w:tr>
        <w:trPr>
          <w:cantSplit/>
        </w:trPr>
        <w:tc>
          <w:tcPr>
            <w:tcW w:type="dxa" w:w="1134"/>
          </w:tcPr>
          <w:p>
            <w:pPr>
              <w:spacing w:line="240" w:lineRule="auto" w:after="0" w:before="0"/>
            </w:pPr>
            <w:r/>
            <w:r>
              <w:rPr>
                <w:sz w:val="16"/>
              </w:rPr>
              <w:t>hyperkalemia</w:t>
            </w:r>
          </w:p>
        </w:tc>
        <w:tc>
          <w:tcPr>
            <w:tcW w:type="dxa" w:w="1134"/>
          </w:tcPr>
          <w:p>
            <w:pPr>
              <w:spacing w:line="240" w:lineRule="auto" w:after="0" w:before="0"/>
            </w:pPr>
            <w:r/>
            <w:r>
              <w:rPr>
                <w:sz w:val="16"/>
              </w:rPr>
              <w:t>2244</w:t>
            </w:r>
          </w:p>
        </w:tc>
        <w:tc>
          <w:tcPr>
            <w:tcW w:type="dxa" w:w="1134"/>
          </w:tcPr>
          <w:p>
            <w:pPr>
              <w:spacing w:line="240" w:lineRule="auto" w:after="0" w:before="0"/>
            </w:pPr>
            <w:r/>
            <w:r>
              <w:rPr>
                <w:sz w:val="16"/>
              </w:rPr>
              <w:t>0.022</w:t>
            </w:r>
          </w:p>
        </w:tc>
        <w:tc>
          <w:tcPr>
            <w:tcW w:type="dxa" w:w="1134"/>
          </w:tcPr>
          <w:p>
            <w:pPr>
              <w:spacing w:line="240" w:lineRule="auto" w:after="0" w:before="0"/>
            </w:pPr>
            <w:r/>
            <w:r>
              <w:rPr>
                <w:sz w:val="16"/>
              </w:rPr>
              <w:t>0.49</w:t>
            </w:r>
          </w:p>
        </w:tc>
        <w:tc>
          <w:tcPr>
            <w:tcW w:type="dxa" w:w="1134"/>
          </w:tcPr>
          <w:p>
            <w:pPr>
              <w:spacing w:line="240" w:lineRule="auto" w:after="0" w:before="0"/>
            </w:pPr>
            <w:r/>
            <w:r>
              <w:rPr>
                <w:sz w:val="16"/>
              </w:rPr>
              <w:t>-1.68</w:t>
            </w:r>
          </w:p>
        </w:tc>
        <w:tc>
          <w:tcPr>
            <w:tcW w:type="dxa" w:w="1134"/>
          </w:tcPr>
          <w:p>
            <w:pPr>
              <w:spacing w:line="240" w:lineRule="auto" w:after="0" w:before="0"/>
            </w:pPr>
            <w:r/>
            <w:r>
              <w:rPr>
                <w:sz w:val="16"/>
              </w:rPr>
              <w:t>0.029 (0.025–0.033)</w:t>
            </w:r>
          </w:p>
        </w:tc>
        <w:tc>
          <w:tcPr>
            <w:tcW w:type="dxa" w:w="1134"/>
          </w:tcPr>
          <w:p>
            <w:pPr>
              <w:spacing w:line="240" w:lineRule="auto" w:after="0" w:before="0"/>
            </w:pPr>
            <w:r/>
            <w:r>
              <w:rPr>
                <w:sz w:val="16"/>
              </w:rPr>
              <w:t>0.096</w:t>
            </w:r>
          </w:p>
        </w:tc>
        <w:tc>
          <w:tcPr>
            <w:tcW w:type="dxa" w:w="1134"/>
          </w:tcPr>
          <w:p>
            <w:pPr>
              <w:spacing w:line="240" w:lineRule="auto" w:after="0" w:before="0"/>
            </w:pPr>
            <w:r/>
            <w:r>
              <w:rPr>
                <w:sz w:val="16"/>
              </w:rPr>
              <w:t>0.917</w:t>
            </w:r>
          </w:p>
        </w:tc>
      </w:tr>
    </w:tbl>
    <w:p/>
    <w:p>
      <w:pPr>
        <w:pStyle w:val="Heading1"/>
      </w:pPr>
      <w:r>
        <w:rPr>
          <w:rFonts w:ascii="Times New Roman" w:hAnsi="Times New Roman" w:eastAsia="Times New Roman" w:cs="Times New Roman"/>
          <w:b/>
          <w:i w:val="0"/>
          <w:color w:val="000000"/>
        </w:rPr>
        <w:t xml:space="preserve">Supplementary Table S6b — Cross-fitted isotonic recalibration and decision curves </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cantSplit/>
          <w:tblHeader/>
        </w:trPr>
        <w:tc>
          <w:tcPr>
            <w:tcW w:type="dxa" w:w="1134"/>
            <w:shd w:val="clear" w:fill="F2F2F2"/>
          </w:tcPr>
          <w:p>
            <w:pPr>
              <w:spacing w:line="240" w:lineRule="auto" w:after="0" w:before="0"/>
            </w:pPr>
            <w:r>
              <w:rPr>
                <w:b/>
              </w:rPr>
            </w:r>
            <w:r>
              <w:rPr>
                <w:b/>
                <w:sz w:val="16"/>
              </w:rPr>
              <w:t>set</w:t>
            </w:r>
          </w:p>
        </w:tc>
        <w:tc>
          <w:tcPr>
            <w:tcW w:type="dxa" w:w="1134"/>
            <w:shd w:val="clear" w:fill="F2F2F2"/>
          </w:tcPr>
          <w:p>
            <w:pPr>
              <w:spacing w:line="240" w:lineRule="auto" w:after="0" w:before="0"/>
            </w:pPr>
            <w:r>
              <w:rPr>
                <w:b/>
              </w:rPr>
            </w:r>
            <w:r>
              <w:rPr>
                <w:b/>
                <w:sz w:val="16"/>
              </w:rPr>
              <w:t>n</w:t>
            </w:r>
          </w:p>
        </w:tc>
        <w:tc>
          <w:tcPr>
            <w:tcW w:type="dxa" w:w="1134"/>
            <w:shd w:val="clear" w:fill="F2F2F2"/>
          </w:tcPr>
          <w:p>
            <w:pPr>
              <w:spacing w:line="240" w:lineRule="auto" w:after="0" w:before="0"/>
            </w:pPr>
            <w:r>
              <w:rPr>
                <w:b/>
              </w:rPr>
            </w:r>
            <w:r>
              <w:rPr>
                <w:b/>
                <w:sz w:val="16"/>
              </w:rPr>
              <w:t>prev</w:t>
            </w:r>
          </w:p>
        </w:tc>
        <w:tc>
          <w:tcPr>
            <w:tcW w:type="dxa" w:w="1134"/>
            <w:shd w:val="clear" w:fill="F2F2F2"/>
          </w:tcPr>
          <w:p>
            <w:pPr>
              <w:spacing w:line="240" w:lineRule="auto" w:after="0" w:before="0"/>
            </w:pPr>
            <w:r>
              <w:rPr>
                <w:b/>
              </w:rPr>
            </w:r>
            <w:r>
              <w:rPr>
                <w:b/>
                <w:sz w:val="16"/>
              </w:rPr>
              <w:t>ECE raw</w:t>
            </w:r>
          </w:p>
        </w:tc>
        <w:tc>
          <w:tcPr>
            <w:tcW w:type="dxa" w:w="1134"/>
            <w:shd w:val="clear" w:fill="F2F2F2"/>
          </w:tcPr>
          <w:p>
            <w:pPr>
              <w:spacing w:line="240" w:lineRule="auto" w:after="0" w:before="0"/>
            </w:pPr>
            <w:r>
              <w:rPr>
                <w:b/>
              </w:rPr>
            </w:r>
            <w:r>
              <w:rPr>
                <w:b/>
                <w:sz w:val="16"/>
              </w:rPr>
              <w:t>ECE isotonic (cross-fit)</w:t>
            </w:r>
          </w:p>
        </w:tc>
        <w:tc>
          <w:tcPr>
            <w:tcW w:type="dxa" w:w="1134"/>
            <w:shd w:val="clear" w:fill="F2F2F2"/>
          </w:tcPr>
          <w:p>
            <w:pPr>
              <w:spacing w:line="240" w:lineRule="auto" w:after="0" w:before="0"/>
            </w:pPr>
            <w:r>
              <w:rPr>
                <w:b/>
              </w:rPr>
            </w:r>
            <w:r>
              <w:rPr>
                <w:b/>
                <w:sz w:val="16"/>
              </w:rPr>
              <w:t>Brier raw</w:t>
            </w:r>
          </w:p>
        </w:tc>
        <w:tc>
          <w:tcPr>
            <w:tcW w:type="dxa" w:w="1134"/>
            <w:shd w:val="clear" w:fill="F2F2F2"/>
          </w:tcPr>
          <w:p>
            <w:pPr>
              <w:spacing w:line="240" w:lineRule="auto" w:after="0" w:before="0"/>
            </w:pPr>
            <w:r>
              <w:rPr>
                <w:b/>
              </w:rPr>
            </w:r>
            <w:r>
              <w:rPr>
                <w:b/>
                <w:sz w:val="16"/>
              </w:rPr>
              <w:t>Brier iso</w:t>
            </w:r>
          </w:p>
        </w:tc>
        <w:tc>
          <w:tcPr>
            <w:tcW w:type="dxa" w:w="1134"/>
            <w:shd w:val="clear" w:fill="F2F2F2"/>
          </w:tcPr>
          <w:p>
            <w:pPr>
              <w:spacing w:line="240" w:lineRule="auto" w:after="0" w:before="0"/>
            </w:pPr>
            <w:r>
              <w:rPr>
                <w:b/>
              </w:rPr>
            </w:r>
            <w:r>
              <w:rPr>
                <w:b/>
                <w:sz w:val="16"/>
              </w:rPr>
              <w:t>AUROC</w:t>
            </w:r>
          </w:p>
        </w:tc>
      </w:tr>
      <w:tr>
        <w:trPr>
          <w:cantSplit/>
        </w:trPr>
        <w:tc>
          <w:tcPr>
            <w:tcW w:type="dxa" w:w="1134"/>
          </w:tcPr>
          <w:p>
            <w:pPr>
              <w:spacing w:line="240" w:lineRule="auto" w:after="0" w:before="0"/>
            </w:pPr>
            <w:r/>
            <w:r>
              <w:rPr>
                <w:sz w:val="16"/>
              </w:rPr>
              <w:t>ALL groups pooled</w:t>
            </w:r>
          </w:p>
        </w:tc>
        <w:tc>
          <w:tcPr>
            <w:tcW w:type="dxa" w:w="1134"/>
          </w:tcPr>
          <w:p>
            <w:pPr>
              <w:spacing w:line="240" w:lineRule="auto" w:after="0" w:before="0"/>
            </w:pPr>
            <w:r/>
            <w:r>
              <w:rPr>
                <w:sz w:val="16"/>
              </w:rPr>
              <w:t>52689</w:t>
            </w:r>
          </w:p>
        </w:tc>
        <w:tc>
          <w:tcPr>
            <w:tcW w:type="dxa" w:w="1134"/>
          </w:tcPr>
          <w:p>
            <w:pPr>
              <w:spacing w:line="240" w:lineRule="auto" w:after="0" w:before="0"/>
            </w:pPr>
            <w:r/>
            <w:r>
              <w:rPr>
                <w:sz w:val="16"/>
              </w:rPr>
              <w:t>0.046</w:t>
            </w:r>
          </w:p>
        </w:tc>
        <w:tc>
          <w:tcPr>
            <w:tcW w:type="dxa" w:w="1134"/>
          </w:tcPr>
          <w:p>
            <w:pPr>
              <w:spacing w:line="240" w:lineRule="auto" w:after="0" w:before="0"/>
            </w:pPr>
            <w:r/>
            <w:r>
              <w:rPr>
                <w:sz w:val="16"/>
              </w:rPr>
              <w:t>0.162</w:t>
            </w:r>
          </w:p>
        </w:tc>
        <w:tc>
          <w:tcPr>
            <w:tcW w:type="dxa" w:w="1134"/>
          </w:tcPr>
          <w:p>
            <w:pPr>
              <w:spacing w:line="240" w:lineRule="auto" w:after="0" w:before="0"/>
            </w:pPr>
            <w:r/>
            <w:r>
              <w:rPr>
                <w:sz w:val="16"/>
              </w:rPr>
              <w:t>0.003</w:t>
            </w:r>
          </w:p>
        </w:tc>
        <w:tc>
          <w:tcPr>
            <w:tcW w:type="dxa" w:w="1134"/>
          </w:tcPr>
          <w:p>
            <w:pPr>
              <w:spacing w:line="240" w:lineRule="auto" w:after="0" w:before="0"/>
            </w:pPr>
            <w:r/>
            <w:r>
              <w:rPr>
                <w:sz w:val="16"/>
              </w:rPr>
              <w:t>0.117</w:t>
            </w:r>
          </w:p>
        </w:tc>
        <w:tc>
          <w:tcPr>
            <w:tcW w:type="dxa" w:w="1134"/>
          </w:tcPr>
          <w:p>
            <w:pPr>
              <w:spacing w:line="240" w:lineRule="auto" w:after="0" w:before="0"/>
            </w:pPr>
            <w:r/>
            <w:r>
              <w:rPr>
                <w:sz w:val="16"/>
              </w:rPr>
              <w:t>0.040</w:t>
            </w:r>
          </w:p>
        </w:tc>
        <w:tc>
          <w:tcPr>
            <w:tcW w:type="dxa" w:w="1134"/>
          </w:tcPr>
          <w:p>
            <w:pPr>
              <w:spacing w:line="240" w:lineRule="auto" w:after="0" w:before="0"/>
            </w:pPr>
            <w:r/>
            <w:r>
              <w:rPr>
                <w:sz w:val="16"/>
              </w:rPr>
              <w:t>0.797</w:t>
            </w:r>
          </w:p>
        </w:tc>
      </w:tr>
      <w:tr>
        <w:trPr>
          <w:cantSplit/>
        </w:trPr>
        <w:tc>
          <w:tcPr>
            <w:tcW w:type="dxa" w:w="1134"/>
          </w:tcPr>
          <w:p>
            <w:pPr>
              <w:spacing w:line="240" w:lineRule="auto" w:after="0" w:before="0"/>
            </w:pPr>
            <w:r/>
            <w:r>
              <w:rPr>
                <w:sz w:val="16"/>
              </w:rPr>
              <w:t>renal_impairment</w:t>
            </w:r>
          </w:p>
        </w:tc>
        <w:tc>
          <w:tcPr>
            <w:tcW w:type="dxa" w:w="1134"/>
          </w:tcPr>
          <w:p>
            <w:pPr>
              <w:spacing w:line="240" w:lineRule="auto" w:after="0" w:before="0"/>
            </w:pPr>
            <w:r/>
            <w:r>
              <w:rPr>
                <w:sz w:val="16"/>
              </w:rPr>
              <w:t>2266</w:t>
            </w:r>
          </w:p>
        </w:tc>
        <w:tc>
          <w:tcPr>
            <w:tcW w:type="dxa" w:w="1134"/>
          </w:tcPr>
          <w:p>
            <w:pPr>
              <w:spacing w:line="240" w:lineRule="auto" w:after="0" w:before="0"/>
            </w:pPr>
            <w:r/>
            <w:r>
              <w:rPr>
                <w:sz w:val="16"/>
              </w:rPr>
              <w:t>0.144</w:t>
            </w:r>
          </w:p>
        </w:tc>
        <w:tc>
          <w:tcPr>
            <w:tcW w:type="dxa" w:w="1134"/>
          </w:tcPr>
          <w:p>
            <w:pPr>
              <w:spacing w:line="240" w:lineRule="auto" w:after="0" w:before="0"/>
            </w:pPr>
            <w:r/>
            <w:r>
              <w:rPr>
                <w:sz w:val="16"/>
              </w:rPr>
              <w:t>0.289</w:t>
            </w:r>
          </w:p>
        </w:tc>
        <w:tc>
          <w:tcPr>
            <w:tcW w:type="dxa" w:w="1134"/>
          </w:tcPr>
          <w:p>
            <w:pPr>
              <w:spacing w:line="240" w:lineRule="auto" w:after="0" w:before="0"/>
            </w:pPr>
            <w:r/>
            <w:r>
              <w:rPr>
                <w:sz w:val="16"/>
              </w:rPr>
              <w:t>0.031</w:t>
            </w:r>
          </w:p>
        </w:tc>
        <w:tc>
          <w:tcPr>
            <w:tcW w:type="dxa" w:w="1134"/>
          </w:tcPr>
          <w:p>
            <w:pPr>
              <w:spacing w:line="240" w:lineRule="auto" w:after="0" w:before="0"/>
            </w:pPr>
            <w:r/>
            <w:r>
              <w:rPr>
                <w:sz w:val="16"/>
              </w:rPr>
              <w:t>0.236</w:t>
            </w:r>
          </w:p>
        </w:tc>
        <w:tc>
          <w:tcPr>
            <w:tcW w:type="dxa" w:w="1134"/>
          </w:tcPr>
          <w:p>
            <w:pPr>
              <w:spacing w:line="240" w:lineRule="auto" w:after="0" w:before="0"/>
            </w:pPr>
            <w:r/>
            <w:r>
              <w:rPr>
                <w:sz w:val="16"/>
              </w:rPr>
              <w:t>0.105</w:t>
            </w:r>
          </w:p>
        </w:tc>
        <w:tc>
          <w:tcPr>
            <w:tcW w:type="dxa" w:w="1134"/>
          </w:tcPr>
          <w:p>
            <w:pPr>
              <w:spacing w:line="240" w:lineRule="auto" w:after="0" w:before="0"/>
            </w:pPr>
            <w:r/>
            <w:r>
              <w:rPr>
                <w:sz w:val="16"/>
              </w:rPr>
              <w:t>0.777</w:t>
            </w:r>
          </w:p>
        </w:tc>
      </w:tr>
      <w:tr>
        <w:trPr>
          <w:cantSplit/>
        </w:trPr>
        <w:tc>
          <w:tcPr>
            <w:tcW w:type="dxa" w:w="1134"/>
          </w:tcPr>
          <w:p>
            <w:pPr>
              <w:spacing w:line="240" w:lineRule="auto" w:after="0" w:before="0"/>
            </w:pPr>
            <w:r/>
            <w:r>
              <w:rPr>
                <w:sz w:val="16"/>
              </w:rPr>
              <w:t>sepsis</w:t>
            </w:r>
          </w:p>
        </w:tc>
        <w:tc>
          <w:tcPr>
            <w:tcW w:type="dxa" w:w="1134"/>
          </w:tcPr>
          <w:p>
            <w:pPr>
              <w:spacing w:line="240" w:lineRule="auto" w:after="0" w:before="0"/>
            </w:pPr>
            <w:r/>
            <w:r>
              <w:rPr>
                <w:sz w:val="16"/>
              </w:rPr>
              <w:t>2215</w:t>
            </w:r>
          </w:p>
        </w:tc>
        <w:tc>
          <w:tcPr>
            <w:tcW w:type="dxa" w:w="1134"/>
          </w:tcPr>
          <w:p>
            <w:pPr>
              <w:spacing w:line="240" w:lineRule="auto" w:after="0" w:before="0"/>
            </w:pPr>
            <w:r/>
            <w:r>
              <w:rPr>
                <w:sz w:val="16"/>
              </w:rPr>
              <w:t>0.130</w:t>
            </w:r>
          </w:p>
        </w:tc>
        <w:tc>
          <w:tcPr>
            <w:tcW w:type="dxa" w:w="1134"/>
          </w:tcPr>
          <w:p>
            <w:pPr>
              <w:spacing w:line="240" w:lineRule="auto" w:after="0" w:before="0"/>
            </w:pPr>
            <w:r/>
            <w:r>
              <w:rPr>
                <w:sz w:val="16"/>
              </w:rPr>
              <w:t>0.183</w:t>
            </w:r>
          </w:p>
        </w:tc>
        <w:tc>
          <w:tcPr>
            <w:tcW w:type="dxa" w:w="1134"/>
          </w:tcPr>
          <w:p>
            <w:pPr>
              <w:spacing w:line="240" w:lineRule="auto" w:after="0" w:before="0"/>
            </w:pPr>
            <w:r/>
            <w:r>
              <w:rPr>
                <w:sz w:val="16"/>
              </w:rPr>
              <w:t>0.025</w:t>
            </w:r>
          </w:p>
        </w:tc>
        <w:tc>
          <w:tcPr>
            <w:tcW w:type="dxa" w:w="1134"/>
          </w:tcPr>
          <w:p>
            <w:pPr>
              <w:spacing w:line="240" w:lineRule="auto" w:after="0" w:before="0"/>
            </w:pPr>
            <w:r/>
            <w:r>
              <w:rPr>
                <w:sz w:val="16"/>
              </w:rPr>
              <w:t>0.171</w:t>
            </w:r>
          </w:p>
        </w:tc>
        <w:tc>
          <w:tcPr>
            <w:tcW w:type="dxa" w:w="1134"/>
          </w:tcPr>
          <w:p>
            <w:pPr>
              <w:spacing w:line="240" w:lineRule="auto" w:after="0" w:before="0"/>
            </w:pPr>
            <w:r/>
            <w:r>
              <w:rPr>
                <w:sz w:val="16"/>
              </w:rPr>
              <w:t>0.105</w:t>
            </w:r>
          </w:p>
        </w:tc>
        <w:tc>
          <w:tcPr>
            <w:tcW w:type="dxa" w:w="1134"/>
          </w:tcPr>
          <w:p>
            <w:pPr>
              <w:spacing w:line="240" w:lineRule="auto" w:after="0" w:before="0"/>
            </w:pPr>
            <w:r/>
            <w:r>
              <w:rPr>
                <w:sz w:val="16"/>
              </w:rPr>
              <w:t>0.682</w:t>
            </w:r>
          </w:p>
        </w:tc>
      </w:tr>
      <w:tr>
        <w:trPr>
          <w:cantSplit/>
        </w:trPr>
        <w:tc>
          <w:tcPr>
            <w:tcW w:type="dxa" w:w="1134"/>
          </w:tcPr>
          <w:p>
            <w:pPr>
              <w:spacing w:line="240" w:lineRule="auto" w:after="0" w:before="0"/>
            </w:pPr>
            <w:r/>
            <w:r>
              <w:rPr>
                <w:sz w:val="16"/>
              </w:rPr>
              <w:t>diabetes</w:t>
            </w:r>
          </w:p>
        </w:tc>
        <w:tc>
          <w:tcPr>
            <w:tcW w:type="dxa" w:w="1134"/>
          </w:tcPr>
          <w:p>
            <w:pPr>
              <w:spacing w:line="240" w:lineRule="auto" w:after="0" w:before="0"/>
            </w:pPr>
            <w:r/>
            <w:r>
              <w:rPr>
                <w:sz w:val="16"/>
              </w:rPr>
              <w:t>2247</w:t>
            </w:r>
          </w:p>
        </w:tc>
        <w:tc>
          <w:tcPr>
            <w:tcW w:type="dxa" w:w="1134"/>
          </w:tcPr>
          <w:p>
            <w:pPr>
              <w:spacing w:line="240" w:lineRule="auto" w:after="0" w:before="0"/>
            </w:pPr>
            <w:r/>
            <w:r>
              <w:rPr>
                <w:sz w:val="16"/>
              </w:rPr>
              <w:t>0.109</w:t>
            </w:r>
          </w:p>
        </w:tc>
        <w:tc>
          <w:tcPr>
            <w:tcW w:type="dxa" w:w="1134"/>
          </w:tcPr>
          <w:p>
            <w:pPr>
              <w:spacing w:line="240" w:lineRule="auto" w:after="0" w:before="0"/>
            </w:pPr>
            <w:r/>
            <w:r>
              <w:rPr>
                <w:sz w:val="16"/>
              </w:rPr>
              <w:t>0.201</w:t>
            </w:r>
          </w:p>
        </w:tc>
        <w:tc>
          <w:tcPr>
            <w:tcW w:type="dxa" w:w="1134"/>
          </w:tcPr>
          <w:p>
            <w:pPr>
              <w:spacing w:line="240" w:lineRule="auto" w:after="0" w:before="0"/>
            </w:pPr>
            <w:r/>
            <w:r>
              <w:rPr>
                <w:sz w:val="16"/>
              </w:rPr>
              <w:t>0.024</w:t>
            </w:r>
          </w:p>
        </w:tc>
        <w:tc>
          <w:tcPr>
            <w:tcW w:type="dxa" w:w="1134"/>
          </w:tcPr>
          <w:p>
            <w:pPr>
              <w:spacing w:line="240" w:lineRule="auto" w:after="0" w:before="0"/>
            </w:pPr>
            <w:r/>
            <w:r>
              <w:rPr>
                <w:sz w:val="16"/>
              </w:rPr>
              <w:t>0.150</w:t>
            </w:r>
          </w:p>
        </w:tc>
        <w:tc>
          <w:tcPr>
            <w:tcW w:type="dxa" w:w="1134"/>
          </w:tcPr>
          <w:p>
            <w:pPr>
              <w:spacing w:line="240" w:lineRule="auto" w:after="0" w:before="0"/>
            </w:pPr>
            <w:r/>
            <w:r>
              <w:rPr>
                <w:sz w:val="16"/>
              </w:rPr>
              <w:t>0.093</w:t>
            </w:r>
          </w:p>
        </w:tc>
        <w:tc>
          <w:tcPr>
            <w:tcW w:type="dxa" w:w="1134"/>
          </w:tcPr>
          <w:p>
            <w:pPr>
              <w:spacing w:line="240" w:lineRule="auto" w:after="0" w:before="0"/>
            </w:pPr>
            <w:r/>
            <w:r>
              <w:rPr>
                <w:sz w:val="16"/>
              </w:rPr>
              <w:t>0.692</w:t>
            </w:r>
          </w:p>
        </w:tc>
      </w:tr>
      <w:tr>
        <w:trPr>
          <w:cantSplit/>
        </w:trPr>
        <w:tc>
          <w:tcPr>
            <w:tcW w:type="dxa" w:w="1134"/>
          </w:tcPr>
          <w:p>
            <w:pPr>
              <w:spacing w:line="240" w:lineRule="auto" w:after="0" w:before="0"/>
            </w:pPr>
            <w:r/>
            <w:r>
              <w:rPr>
                <w:sz w:val="16"/>
              </w:rPr>
              <w:t>acute_kidney_injury</w:t>
            </w:r>
          </w:p>
        </w:tc>
        <w:tc>
          <w:tcPr>
            <w:tcW w:type="dxa" w:w="1134"/>
          </w:tcPr>
          <w:p>
            <w:pPr>
              <w:spacing w:line="240" w:lineRule="auto" w:after="0" w:before="0"/>
            </w:pPr>
            <w:r/>
            <w:r>
              <w:rPr>
                <w:sz w:val="16"/>
              </w:rPr>
              <w:t>2266</w:t>
            </w:r>
          </w:p>
        </w:tc>
        <w:tc>
          <w:tcPr>
            <w:tcW w:type="dxa" w:w="1134"/>
          </w:tcPr>
          <w:p>
            <w:pPr>
              <w:spacing w:line="240" w:lineRule="auto" w:after="0" w:before="0"/>
            </w:pPr>
            <w:r/>
            <w:r>
              <w:rPr>
                <w:sz w:val="16"/>
              </w:rPr>
              <w:t>0.096</w:t>
            </w:r>
          </w:p>
        </w:tc>
        <w:tc>
          <w:tcPr>
            <w:tcW w:type="dxa" w:w="1134"/>
          </w:tcPr>
          <w:p>
            <w:pPr>
              <w:spacing w:line="240" w:lineRule="auto" w:after="0" w:before="0"/>
            </w:pPr>
            <w:r/>
            <w:r>
              <w:rPr>
                <w:sz w:val="16"/>
              </w:rPr>
              <w:t>0.282</w:t>
            </w:r>
          </w:p>
        </w:tc>
        <w:tc>
          <w:tcPr>
            <w:tcW w:type="dxa" w:w="1134"/>
          </w:tcPr>
          <w:p>
            <w:pPr>
              <w:spacing w:line="240" w:lineRule="auto" w:after="0" w:before="0"/>
            </w:pPr>
            <w:r/>
            <w:r>
              <w:rPr>
                <w:sz w:val="16"/>
              </w:rPr>
              <w:t>0.012</w:t>
            </w:r>
          </w:p>
        </w:tc>
        <w:tc>
          <w:tcPr>
            <w:tcW w:type="dxa" w:w="1134"/>
          </w:tcPr>
          <w:p>
            <w:pPr>
              <w:spacing w:line="240" w:lineRule="auto" w:after="0" w:before="0"/>
            </w:pPr>
            <w:r/>
            <w:r>
              <w:rPr>
                <w:sz w:val="16"/>
              </w:rPr>
              <w:t>0.213</w:t>
            </w:r>
          </w:p>
        </w:tc>
        <w:tc>
          <w:tcPr>
            <w:tcW w:type="dxa" w:w="1134"/>
          </w:tcPr>
          <w:p>
            <w:pPr>
              <w:spacing w:line="240" w:lineRule="auto" w:after="0" w:before="0"/>
            </w:pPr>
            <w:r/>
            <w:r>
              <w:rPr>
                <w:sz w:val="16"/>
              </w:rPr>
              <w:t>0.078</w:t>
            </w:r>
          </w:p>
        </w:tc>
        <w:tc>
          <w:tcPr>
            <w:tcW w:type="dxa" w:w="1134"/>
          </w:tcPr>
          <w:p>
            <w:pPr>
              <w:spacing w:line="240" w:lineRule="auto" w:after="0" w:before="0"/>
            </w:pPr>
            <w:r/>
            <w:r>
              <w:rPr>
                <w:sz w:val="16"/>
              </w:rPr>
              <w:t>0.774</w:t>
            </w:r>
          </w:p>
        </w:tc>
      </w:tr>
      <w:tr>
        <w:trPr>
          <w:cantSplit/>
        </w:trPr>
        <w:tc>
          <w:tcPr>
            <w:tcW w:type="dxa" w:w="1134"/>
          </w:tcPr>
          <w:p>
            <w:pPr>
              <w:spacing w:line="240" w:lineRule="auto" w:after="0" w:before="0"/>
            </w:pPr>
            <w:r/>
            <w:r>
              <w:rPr>
                <w:sz w:val="16"/>
              </w:rPr>
              <w:t>anemia</w:t>
            </w:r>
          </w:p>
        </w:tc>
        <w:tc>
          <w:tcPr>
            <w:tcW w:type="dxa" w:w="1134"/>
          </w:tcPr>
          <w:p>
            <w:pPr>
              <w:spacing w:line="240" w:lineRule="auto" w:after="0" w:before="0"/>
            </w:pPr>
            <w:r/>
            <w:r>
              <w:rPr>
                <w:sz w:val="16"/>
              </w:rPr>
              <w:t>2207</w:t>
            </w:r>
          </w:p>
        </w:tc>
        <w:tc>
          <w:tcPr>
            <w:tcW w:type="dxa" w:w="1134"/>
          </w:tcPr>
          <w:p>
            <w:pPr>
              <w:spacing w:line="240" w:lineRule="auto" w:after="0" w:before="0"/>
            </w:pPr>
            <w:r/>
            <w:r>
              <w:rPr>
                <w:sz w:val="16"/>
              </w:rPr>
              <w:t>0.067</w:t>
            </w:r>
          </w:p>
        </w:tc>
        <w:tc>
          <w:tcPr>
            <w:tcW w:type="dxa" w:w="1134"/>
          </w:tcPr>
          <w:p>
            <w:pPr>
              <w:spacing w:line="240" w:lineRule="auto" w:after="0" w:before="0"/>
            </w:pPr>
            <w:r/>
            <w:r>
              <w:rPr>
                <w:sz w:val="16"/>
              </w:rPr>
              <w:t>0.349</w:t>
            </w:r>
          </w:p>
        </w:tc>
        <w:tc>
          <w:tcPr>
            <w:tcW w:type="dxa" w:w="1134"/>
          </w:tcPr>
          <w:p>
            <w:pPr>
              <w:spacing w:line="240" w:lineRule="auto" w:after="0" w:before="0"/>
            </w:pPr>
            <w:r/>
            <w:r>
              <w:rPr>
                <w:sz w:val="16"/>
              </w:rPr>
              <w:t>0.016</w:t>
            </w:r>
          </w:p>
        </w:tc>
        <w:tc>
          <w:tcPr>
            <w:tcW w:type="dxa" w:w="1134"/>
          </w:tcPr>
          <w:p>
            <w:pPr>
              <w:spacing w:line="240" w:lineRule="auto" w:after="0" w:before="0"/>
            </w:pPr>
            <w:r/>
            <w:r>
              <w:rPr>
                <w:sz w:val="16"/>
              </w:rPr>
              <w:t>0.244</w:t>
            </w:r>
          </w:p>
        </w:tc>
        <w:tc>
          <w:tcPr>
            <w:tcW w:type="dxa" w:w="1134"/>
          </w:tcPr>
          <w:p>
            <w:pPr>
              <w:spacing w:line="240" w:lineRule="auto" w:after="0" w:before="0"/>
            </w:pPr>
            <w:r/>
            <w:r>
              <w:rPr>
                <w:sz w:val="16"/>
              </w:rPr>
              <w:t>0.056</w:t>
            </w:r>
          </w:p>
        </w:tc>
        <w:tc>
          <w:tcPr>
            <w:tcW w:type="dxa" w:w="1134"/>
          </w:tcPr>
          <w:p>
            <w:pPr>
              <w:spacing w:line="240" w:lineRule="auto" w:after="0" w:before="0"/>
            </w:pPr>
            <w:r/>
            <w:r>
              <w:rPr>
                <w:sz w:val="16"/>
              </w:rPr>
              <w:t>0.782</w:t>
            </w:r>
          </w:p>
        </w:tc>
      </w:tr>
    </w:tbl>
    <w:p/>
    <w:tbl>
      <w:tblPr>
        <w:tblStyle w:val="TableGrid"/>
        <w:tblW w:type="auto" w:w="0"/>
        <w:jc w:val="center"/>
        <w:tblLook w:firstColumn="1" w:firstRow="1" w:lastColumn="0" w:lastRow="0" w:noHBand="0" w:noVBand="1" w:val="04A0"/>
      </w:tblPr>
      <w:tblGrid>
        <w:gridCol w:w="1814"/>
        <w:gridCol w:w="1814"/>
        <w:gridCol w:w="1814"/>
        <w:gridCol w:w="1814"/>
        <w:gridCol w:w="1814"/>
      </w:tblGrid>
      <w:tr>
        <w:trPr>
          <w:cantSplit/>
          <w:tblHeader/>
        </w:trPr>
        <w:tc>
          <w:tcPr>
            <w:tcW w:type="dxa" w:w="1814"/>
            <w:shd w:val="clear" w:fill="F2F2F2"/>
          </w:tcPr>
          <w:p>
            <w:pPr>
              <w:spacing w:line="240" w:lineRule="auto" w:after="0" w:before="0"/>
            </w:pPr>
            <w:r>
              <w:rPr>
                <w:b/>
              </w:rPr>
            </w:r>
            <w:r>
              <w:rPr>
                <w:b/>
                <w:sz w:val="16"/>
              </w:rPr>
              <w:t>decile</w:t>
            </w:r>
          </w:p>
        </w:tc>
        <w:tc>
          <w:tcPr>
            <w:tcW w:type="dxa" w:w="1814"/>
            <w:shd w:val="clear" w:fill="F2F2F2"/>
          </w:tcPr>
          <w:p>
            <w:pPr>
              <w:spacing w:line="240" w:lineRule="auto" w:after="0" w:before="0"/>
            </w:pPr>
            <w:r>
              <w:rPr>
                <w:b/>
              </w:rPr>
            </w:r>
            <w:r>
              <w:rPr>
                <w:b/>
                <w:sz w:val="16"/>
              </w:rPr>
              <w:t>raw p</w:t>
            </w:r>
          </w:p>
        </w:tc>
        <w:tc>
          <w:tcPr>
            <w:tcW w:type="dxa" w:w="1814"/>
            <w:shd w:val="clear" w:fill="F2F2F2"/>
          </w:tcPr>
          <w:p>
            <w:pPr>
              <w:spacing w:line="240" w:lineRule="auto" w:after="0" w:before="0"/>
            </w:pPr>
            <w:r>
              <w:rPr>
                <w:b/>
              </w:rPr>
            </w:r>
            <w:r>
              <w:rPr>
                <w:b/>
                <w:sz w:val="16"/>
              </w:rPr>
              <w:t>obs</w:t>
            </w:r>
          </w:p>
        </w:tc>
        <w:tc>
          <w:tcPr>
            <w:tcW w:type="dxa" w:w="1814"/>
            <w:shd w:val="clear" w:fill="F2F2F2"/>
          </w:tcPr>
          <w:p>
            <w:pPr>
              <w:spacing w:line="240" w:lineRule="auto" w:after="0" w:before="0"/>
            </w:pPr>
            <w:r>
              <w:rPr>
                <w:b/>
              </w:rPr>
            </w:r>
            <w:r>
              <w:rPr>
                <w:b/>
                <w:sz w:val="16"/>
              </w:rPr>
              <w:t>iso p</w:t>
            </w:r>
          </w:p>
        </w:tc>
        <w:tc>
          <w:tcPr>
            <w:tcW w:type="dxa" w:w="1814"/>
            <w:shd w:val="clear" w:fill="F2F2F2"/>
          </w:tcPr>
          <w:p>
            <w:pPr>
              <w:spacing w:line="240" w:lineRule="auto" w:after="0" w:before="0"/>
            </w:pPr>
            <w:r>
              <w:rPr>
                <w:b/>
              </w:rPr>
            </w:r>
            <w:r>
              <w:rPr>
                <w:b/>
                <w:sz w:val="16"/>
              </w:rPr>
              <w:t>obs</w:t>
            </w:r>
          </w:p>
        </w:tc>
      </w:tr>
      <w:tr>
        <w:trPr>
          <w:cantSplit/>
        </w:trPr>
        <w:tc>
          <w:tcPr>
            <w:tcW w:type="dxa" w:w="1814"/>
          </w:tcPr>
          <w:p>
            <w:pPr>
              <w:spacing w:line="240" w:lineRule="auto" w:after="0" w:before="0"/>
            </w:pPr>
            <w:r/>
            <w:r>
              <w:rPr>
                <w:sz w:val="16"/>
              </w:rPr>
              <w:t>1</w:t>
            </w:r>
          </w:p>
        </w:tc>
        <w:tc>
          <w:tcPr>
            <w:tcW w:type="dxa" w:w="1814"/>
          </w:tcPr>
          <w:p>
            <w:pPr>
              <w:spacing w:line="240" w:lineRule="auto" w:after="0" w:before="0"/>
            </w:pPr>
            <w:r/>
            <w:r>
              <w:rPr>
                <w:sz w:val="16"/>
              </w:rPr>
              <w:t>0.00</w:t>
            </w:r>
          </w:p>
        </w:tc>
        <w:tc>
          <w:tcPr>
            <w:tcW w:type="dxa" w:w="1814"/>
          </w:tcPr>
          <w:p>
            <w:pPr>
              <w:spacing w:line="240" w:lineRule="auto" w:after="0" w:before="0"/>
            </w:pPr>
            <w:r/>
            <w:r>
              <w:rPr>
                <w:sz w:val="16"/>
              </w:rPr>
              <w:t>0.01</w:t>
            </w:r>
          </w:p>
        </w:tc>
        <w:tc>
          <w:tcPr>
            <w:tcW w:type="dxa" w:w="1814"/>
          </w:tcPr>
          <w:p>
            <w:pPr>
              <w:spacing w:line="240" w:lineRule="auto" w:after="0" w:before="0"/>
            </w:pPr>
            <w:r/>
            <w:r>
              <w:rPr>
                <w:sz w:val="16"/>
              </w:rPr>
              <w:t>0.01</w:t>
            </w:r>
          </w:p>
        </w:tc>
        <w:tc>
          <w:tcPr>
            <w:tcW w:type="dxa" w:w="1814"/>
          </w:tcPr>
          <w:p>
            <w:pPr>
              <w:spacing w:line="240" w:lineRule="auto" w:after="0" w:before="0"/>
            </w:pPr>
            <w:r/>
            <w:r>
              <w:rPr>
                <w:sz w:val="16"/>
              </w:rPr>
              <w:t>0.02</w:t>
            </w:r>
          </w:p>
        </w:tc>
      </w:tr>
      <w:tr>
        <w:trPr>
          <w:cantSplit/>
        </w:trPr>
        <w:tc>
          <w:tcPr>
            <w:tcW w:type="dxa" w:w="1814"/>
          </w:tcPr>
          <w:p>
            <w:pPr>
              <w:spacing w:line="240" w:lineRule="auto" w:after="0" w:before="0"/>
            </w:pPr>
            <w:r/>
            <w:r>
              <w:rPr>
                <w:sz w:val="16"/>
              </w:rPr>
              <w:t>2</w:t>
            </w:r>
          </w:p>
        </w:tc>
        <w:tc>
          <w:tcPr>
            <w:tcW w:type="dxa" w:w="1814"/>
          </w:tcPr>
          <w:p>
            <w:pPr>
              <w:spacing w:line="240" w:lineRule="auto" w:after="0" w:before="0"/>
            </w:pPr>
            <w:r/>
            <w:r>
              <w:rPr>
                <w:sz w:val="16"/>
              </w:rPr>
              <w:t>0.00</w:t>
            </w:r>
          </w:p>
        </w:tc>
        <w:tc>
          <w:tcPr>
            <w:tcW w:type="dxa" w:w="1814"/>
          </w:tcPr>
          <w:p>
            <w:pPr>
              <w:spacing w:line="240" w:lineRule="auto" w:after="0" w:before="0"/>
            </w:pPr>
            <w:r/>
            <w:r>
              <w:rPr>
                <w:sz w:val="16"/>
              </w:rPr>
              <w:t>0.01</w:t>
            </w:r>
          </w:p>
        </w:tc>
        <w:tc>
          <w:tcPr>
            <w:tcW w:type="dxa" w:w="1814"/>
          </w:tcPr>
          <w:p>
            <w:pPr>
              <w:spacing w:line="240" w:lineRule="auto" w:after="0" w:before="0"/>
            </w:pPr>
            <w:r/>
            <w:r>
              <w:rPr>
                <w:sz w:val="16"/>
              </w:rPr>
              <w:t>0.01</w:t>
            </w:r>
          </w:p>
        </w:tc>
        <w:tc>
          <w:tcPr>
            <w:tcW w:type="dxa" w:w="1814"/>
          </w:tcPr>
          <w:p>
            <w:pPr>
              <w:spacing w:line="240" w:lineRule="auto" w:after="0" w:before="0"/>
            </w:pPr>
            <w:r/>
            <w:r>
              <w:rPr>
                <w:sz w:val="16"/>
              </w:rPr>
              <w:t>0.01</w:t>
            </w:r>
          </w:p>
        </w:tc>
      </w:tr>
      <w:tr>
        <w:trPr>
          <w:cantSplit/>
        </w:trPr>
        <w:tc>
          <w:tcPr>
            <w:tcW w:type="dxa" w:w="1814"/>
          </w:tcPr>
          <w:p>
            <w:pPr>
              <w:spacing w:line="240" w:lineRule="auto" w:after="0" w:before="0"/>
            </w:pPr>
            <w:r/>
            <w:r>
              <w:rPr>
                <w:sz w:val="16"/>
              </w:rPr>
              <w:t>3</w:t>
            </w:r>
          </w:p>
        </w:tc>
        <w:tc>
          <w:tcPr>
            <w:tcW w:type="dxa" w:w="1814"/>
          </w:tcPr>
          <w:p>
            <w:pPr>
              <w:spacing w:line="240" w:lineRule="auto" w:after="0" w:before="0"/>
            </w:pPr>
            <w:r/>
            <w:r>
              <w:rPr>
                <w:sz w:val="16"/>
              </w:rPr>
              <w:t>0.00</w:t>
            </w:r>
          </w:p>
        </w:tc>
        <w:tc>
          <w:tcPr>
            <w:tcW w:type="dxa" w:w="1814"/>
          </w:tcPr>
          <w:p>
            <w:pPr>
              <w:spacing w:line="240" w:lineRule="auto" w:after="0" w:before="0"/>
            </w:pPr>
            <w:r/>
            <w:r>
              <w:rPr>
                <w:sz w:val="16"/>
              </w:rPr>
              <w:t>0.01</w:t>
            </w:r>
          </w:p>
        </w:tc>
        <w:tc>
          <w:tcPr>
            <w:tcW w:type="dxa" w:w="1814"/>
          </w:tcPr>
          <w:p>
            <w:pPr>
              <w:spacing w:line="240" w:lineRule="auto" w:after="0" w:before="0"/>
            </w:pPr>
            <w:r/>
            <w:r>
              <w:rPr>
                <w:sz w:val="16"/>
              </w:rPr>
              <w:t>0.01</w:t>
            </w:r>
          </w:p>
        </w:tc>
        <w:tc>
          <w:tcPr>
            <w:tcW w:type="dxa" w:w="1814"/>
          </w:tcPr>
          <w:p>
            <w:pPr>
              <w:spacing w:line="240" w:lineRule="auto" w:after="0" w:before="0"/>
            </w:pPr>
            <w:r/>
            <w:r>
              <w:rPr>
                <w:sz w:val="16"/>
              </w:rPr>
              <w:t>0.01</w:t>
            </w:r>
          </w:p>
        </w:tc>
      </w:tr>
      <w:tr>
        <w:trPr>
          <w:cantSplit/>
        </w:trPr>
        <w:tc>
          <w:tcPr>
            <w:tcW w:type="dxa" w:w="1814"/>
          </w:tcPr>
          <w:p>
            <w:pPr>
              <w:spacing w:line="240" w:lineRule="auto" w:after="0" w:before="0"/>
            </w:pPr>
            <w:r/>
            <w:r>
              <w:rPr>
                <w:sz w:val="16"/>
              </w:rPr>
              <w:t>4</w:t>
            </w:r>
          </w:p>
        </w:tc>
        <w:tc>
          <w:tcPr>
            <w:tcW w:type="dxa" w:w="1814"/>
          </w:tcPr>
          <w:p>
            <w:pPr>
              <w:spacing w:line="240" w:lineRule="auto" w:after="0" w:before="0"/>
            </w:pPr>
            <w:r/>
            <w:r>
              <w:rPr>
                <w:sz w:val="16"/>
              </w:rPr>
              <w:t>0.00</w:t>
            </w:r>
          </w:p>
        </w:tc>
        <w:tc>
          <w:tcPr>
            <w:tcW w:type="dxa" w:w="1814"/>
          </w:tcPr>
          <w:p>
            <w:pPr>
              <w:spacing w:line="240" w:lineRule="auto" w:after="0" w:before="0"/>
            </w:pPr>
            <w:r/>
            <w:r>
              <w:rPr>
                <w:sz w:val="16"/>
              </w:rPr>
              <w:t>0.02</w:t>
            </w:r>
          </w:p>
        </w:tc>
        <w:tc>
          <w:tcPr>
            <w:tcW w:type="dxa" w:w="1814"/>
          </w:tcPr>
          <w:p>
            <w:pPr>
              <w:spacing w:line="240" w:lineRule="auto" w:after="0" w:before="0"/>
            </w:pPr>
            <w:r/>
            <w:r>
              <w:rPr>
                <w:sz w:val="16"/>
              </w:rPr>
              <w:t>0.01</w:t>
            </w:r>
          </w:p>
        </w:tc>
        <w:tc>
          <w:tcPr>
            <w:tcW w:type="dxa" w:w="1814"/>
          </w:tcPr>
          <w:p>
            <w:pPr>
              <w:spacing w:line="240" w:lineRule="auto" w:after="0" w:before="0"/>
            </w:pPr>
            <w:r/>
            <w:r>
              <w:rPr>
                <w:sz w:val="16"/>
              </w:rPr>
              <w:t>0.01</w:t>
            </w:r>
          </w:p>
        </w:tc>
      </w:tr>
      <w:tr>
        <w:trPr>
          <w:cantSplit/>
        </w:trPr>
        <w:tc>
          <w:tcPr>
            <w:tcW w:type="dxa" w:w="1814"/>
          </w:tcPr>
          <w:p>
            <w:pPr>
              <w:spacing w:line="240" w:lineRule="auto" w:after="0" w:before="0"/>
            </w:pPr>
            <w:r/>
            <w:r>
              <w:rPr>
                <w:sz w:val="16"/>
              </w:rPr>
              <w:t>5</w:t>
            </w:r>
          </w:p>
        </w:tc>
        <w:tc>
          <w:tcPr>
            <w:tcW w:type="dxa" w:w="1814"/>
          </w:tcPr>
          <w:p>
            <w:pPr>
              <w:spacing w:line="240" w:lineRule="auto" w:after="0" w:before="0"/>
            </w:pPr>
            <w:r/>
            <w:r>
              <w:rPr>
                <w:sz w:val="16"/>
              </w:rPr>
              <w:t>0.00</w:t>
            </w:r>
          </w:p>
        </w:tc>
        <w:tc>
          <w:tcPr>
            <w:tcW w:type="dxa" w:w="1814"/>
          </w:tcPr>
          <w:p>
            <w:pPr>
              <w:spacing w:line="240" w:lineRule="auto" w:after="0" w:before="0"/>
            </w:pPr>
            <w:r/>
            <w:r>
              <w:rPr>
                <w:sz w:val="16"/>
              </w:rPr>
              <w:t>0.02</w:t>
            </w:r>
          </w:p>
        </w:tc>
        <w:tc>
          <w:tcPr>
            <w:tcW w:type="dxa" w:w="1814"/>
          </w:tcPr>
          <w:p>
            <w:pPr>
              <w:spacing w:line="240" w:lineRule="auto" w:after="0" w:before="0"/>
            </w:pPr>
            <w:r/>
            <w:r>
              <w:rPr>
                <w:sz w:val="16"/>
              </w:rPr>
              <w:t>0.01</w:t>
            </w:r>
          </w:p>
        </w:tc>
        <w:tc>
          <w:tcPr>
            <w:tcW w:type="dxa" w:w="1814"/>
          </w:tcPr>
          <w:p>
            <w:pPr>
              <w:spacing w:line="240" w:lineRule="auto" w:after="0" w:before="0"/>
            </w:pPr>
            <w:r/>
            <w:r>
              <w:rPr>
                <w:sz w:val="16"/>
              </w:rPr>
              <w:t>0.01</w:t>
            </w:r>
          </w:p>
        </w:tc>
      </w:tr>
      <w:tr>
        <w:trPr>
          <w:cantSplit/>
        </w:trPr>
        <w:tc>
          <w:tcPr>
            <w:tcW w:type="dxa" w:w="1814"/>
          </w:tcPr>
          <w:p>
            <w:pPr>
              <w:spacing w:line="240" w:lineRule="auto" w:after="0" w:before="0"/>
            </w:pPr>
            <w:r/>
            <w:r>
              <w:rPr>
                <w:sz w:val="16"/>
              </w:rPr>
              <w:t>6</w:t>
            </w:r>
          </w:p>
        </w:tc>
        <w:tc>
          <w:tcPr>
            <w:tcW w:type="dxa" w:w="1814"/>
          </w:tcPr>
          <w:p>
            <w:pPr>
              <w:spacing w:line="240" w:lineRule="auto" w:after="0" w:before="0"/>
            </w:pPr>
            <w:r/>
            <w:r>
              <w:rPr>
                <w:sz w:val="16"/>
              </w:rPr>
              <w:t>0.00</w:t>
            </w:r>
          </w:p>
        </w:tc>
        <w:tc>
          <w:tcPr>
            <w:tcW w:type="dxa" w:w="1814"/>
          </w:tcPr>
          <w:p>
            <w:pPr>
              <w:spacing w:line="240" w:lineRule="auto" w:after="0" w:before="0"/>
            </w:pPr>
            <w:r/>
            <w:r>
              <w:rPr>
                <w:sz w:val="16"/>
              </w:rPr>
              <w:t>0.01</w:t>
            </w:r>
          </w:p>
        </w:tc>
        <w:tc>
          <w:tcPr>
            <w:tcW w:type="dxa" w:w="1814"/>
          </w:tcPr>
          <w:p>
            <w:pPr>
              <w:spacing w:line="240" w:lineRule="auto" w:after="0" w:before="0"/>
            </w:pPr>
            <w:r/>
            <w:r>
              <w:rPr>
                <w:sz w:val="16"/>
              </w:rPr>
              <w:t>0.01</w:t>
            </w:r>
          </w:p>
        </w:tc>
        <w:tc>
          <w:tcPr>
            <w:tcW w:type="dxa" w:w="1814"/>
          </w:tcPr>
          <w:p>
            <w:pPr>
              <w:spacing w:line="240" w:lineRule="auto" w:after="0" w:before="0"/>
            </w:pPr>
            <w:r/>
            <w:r>
              <w:rPr>
                <w:sz w:val="16"/>
              </w:rPr>
              <w:t>0.01</w:t>
            </w:r>
          </w:p>
        </w:tc>
      </w:tr>
      <w:tr>
        <w:trPr>
          <w:cantSplit/>
        </w:trPr>
        <w:tc>
          <w:tcPr>
            <w:tcW w:type="dxa" w:w="1814"/>
          </w:tcPr>
          <w:p>
            <w:pPr>
              <w:spacing w:line="240" w:lineRule="auto" w:after="0" w:before="0"/>
            </w:pPr>
            <w:r/>
            <w:r>
              <w:rPr>
                <w:sz w:val="16"/>
              </w:rPr>
              <w:t>7</w:t>
            </w:r>
          </w:p>
        </w:tc>
        <w:tc>
          <w:tcPr>
            <w:tcW w:type="dxa" w:w="1814"/>
          </w:tcPr>
          <w:p>
            <w:pPr>
              <w:spacing w:line="240" w:lineRule="auto" w:after="0" w:before="0"/>
            </w:pPr>
            <w:r/>
            <w:r>
              <w:rPr>
                <w:sz w:val="16"/>
              </w:rPr>
              <w:t>0.10</w:t>
            </w:r>
          </w:p>
        </w:tc>
        <w:tc>
          <w:tcPr>
            <w:tcW w:type="dxa" w:w="1814"/>
          </w:tcPr>
          <w:p>
            <w:pPr>
              <w:spacing w:line="240" w:lineRule="auto" w:after="0" w:before="0"/>
            </w:pPr>
            <w:r/>
            <w:r>
              <w:rPr>
                <w:sz w:val="16"/>
              </w:rPr>
              <w:t>0.03</w:t>
            </w:r>
          </w:p>
        </w:tc>
        <w:tc>
          <w:tcPr>
            <w:tcW w:type="dxa" w:w="1814"/>
          </w:tcPr>
          <w:p>
            <w:pPr>
              <w:spacing w:line="240" w:lineRule="auto" w:after="0" w:before="0"/>
            </w:pPr>
            <w:r/>
            <w:r>
              <w:rPr>
                <w:sz w:val="16"/>
              </w:rPr>
              <w:t>0.02</w:t>
            </w:r>
          </w:p>
        </w:tc>
        <w:tc>
          <w:tcPr>
            <w:tcW w:type="dxa" w:w="1814"/>
          </w:tcPr>
          <w:p>
            <w:pPr>
              <w:spacing w:line="240" w:lineRule="auto" w:after="0" w:before="0"/>
            </w:pPr>
            <w:r/>
            <w:r>
              <w:rPr>
                <w:sz w:val="16"/>
              </w:rPr>
              <w:t>0.03</w:t>
            </w:r>
          </w:p>
        </w:tc>
      </w:tr>
      <w:tr>
        <w:trPr>
          <w:cantSplit/>
        </w:trPr>
        <w:tc>
          <w:tcPr>
            <w:tcW w:type="dxa" w:w="1814"/>
          </w:tcPr>
          <w:p>
            <w:pPr>
              <w:spacing w:line="240" w:lineRule="auto" w:after="0" w:before="0"/>
            </w:pPr>
            <w:r/>
            <w:r>
              <w:rPr>
                <w:sz w:val="16"/>
              </w:rPr>
              <w:t>8</w:t>
            </w:r>
          </w:p>
        </w:tc>
        <w:tc>
          <w:tcPr>
            <w:tcW w:type="dxa" w:w="1814"/>
          </w:tcPr>
          <w:p>
            <w:pPr>
              <w:spacing w:line="240" w:lineRule="auto" w:after="0" w:before="0"/>
            </w:pPr>
            <w:r/>
            <w:r>
              <w:rPr>
                <w:sz w:val="16"/>
              </w:rPr>
              <w:t>0.43</w:t>
            </w:r>
          </w:p>
        </w:tc>
        <w:tc>
          <w:tcPr>
            <w:tcW w:type="dxa" w:w="1814"/>
          </w:tcPr>
          <w:p>
            <w:pPr>
              <w:spacing w:line="240" w:lineRule="auto" w:after="0" w:before="0"/>
            </w:pPr>
            <w:r/>
            <w:r>
              <w:rPr>
                <w:sz w:val="16"/>
              </w:rPr>
              <w:t>0.05</w:t>
            </w:r>
          </w:p>
        </w:tc>
        <w:tc>
          <w:tcPr>
            <w:tcW w:type="dxa" w:w="1814"/>
          </w:tcPr>
          <w:p>
            <w:pPr>
              <w:spacing w:line="240" w:lineRule="auto" w:after="0" w:before="0"/>
            </w:pPr>
            <w:r/>
            <w:r>
              <w:rPr>
                <w:sz w:val="16"/>
              </w:rPr>
              <w:t>0.05</w:t>
            </w:r>
          </w:p>
        </w:tc>
        <w:tc>
          <w:tcPr>
            <w:tcW w:type="dxa" w:w="1814"/>
          </w:tcPr>
          <w:p>
            <w:pPr>
              <w:spacing w:line="240" w:lineRule="auto" w:after="0" w:before="0"/>
            </w:pPr>
            <w:r/>
            <w:r>
              <w:rPr>
                <w:sz w:val="16"/>
              </w:rPr>
              <w:t>0.05</w:t>
            </w:r>
          </w:p>
        </w:tc>
      </w:tr>
      <w:tr>
        <w:trPr>
          <w:cantSplit/>
        </w:trPr>
        <w:tc>
          <w:tcPr>
            <w:tcW w:type="dxa" w:w="1814"/>
          </w:tcPr>
          <w:p>
            <w:pPr>
              <w:spacing w:line="240" w:lineRule="auto" w:after="0" w:before="0"/>
            </w:pPr>
            <w:r/>
            <w:r>
              <w:rPr>
                <w:sz w:val="16"/>
              </w:rPr>
              <w:t>9</w:t>
            </w:r>
          </w:p>
        </w:tc>
        <w:tc>
          <w:tcPr>
            <w:tcW w:type="dxa" w:w="1814"/>
          </w:tcPr>
          <w:p>
            <w:pPr>
              <w:spacing w:line="240" w:lineRule="auto" w:after="0" w:before="0"/>
            </w:pPr>
            <w:r/>
            <w:r>
              <w:rPr>
                <w:sz w:val="16"/>
              </w:rPr>
              <w:t>0.60</w:t>
            </w:r>
          </w:p>
        </w:tc>
        <w:tc>
          <w:tcPr>
            <w:tcW w:type="dxa" w:w="1814"/>
          </w:tcPr>
          <w:p>
            <w:pPr>
              <w:spacing w:line="240" w:lineRule="auto" w:after="0" w:before="0"/>
            </w:pPr>
            <w:r/>
            <w:r>
              <w:rPr>
                <w:sz w:val="16"/>
              </w:rPr>
              <w:t>0.08</w:t>
            </w:r>
          </w:p>
        </w:tc>
        <w:tc>
          <w:tcPr>
            <w:tcW w:type="dxa" w:w="1814"/>
          </w:tcPr>
          <w:p>
            <w:pPr>
              <w:spacing w:line="240" w:lineRule="auto" w:after="0" w:before="0"/>
            </w:pPr>
            <w:r/>
            <w:r>
              <w:rPr>
                <w:sz w:val="16"/>
              </w:rPr>
              <w:t>0.08</w:t>
            </w:r>
          </w:p>
        </w:tc>
        <w:tc>
          <w:tcPr>
            <w:tcW w:type="dxa" w:w="1814"/>
          </w:tcPr>
          <w:p>
            <w:pPr>
              <w:spacing w:line="240" w:lineRule="auto" w:after="0" w:before="0"/>
            </w:pPr>
            <w:r/>
            <w:r>
              <w:rPr>
                <w:sz w:val="16"/>
              </w:rPr>
              <w:t>0.08</w:t>
            </w:r>
          </w:p>
        </w:tc>
      </w:tr>
      <w:tr>
        <w:trPr>
          <w:cantSplit/>
        </w:trPr>
        <w:tc>
          <w:tcPr>
            <w:tcW w:type="dxa" w:w="1814"/>
          </w:tcPr>
          <w:p>
            <w:pPr>
              <w:spacing w:line="240" w:lineRule="auto" w:after="0" w:before="0"/>
            </w:pPr>
            <w:r/>
            <w:r>
              <w:rPr>
                <w:sz w:val="16"/>
              </w:rPr>
              <w:t>10</w:t>
            </w:r>
          </w:p>
        </w:tc>
        <w:tc>
          <w:tcPr>
            <w:tcW w:type="dxa" w:w="1814"/>
          </w:tcPr>
          <w:p>
            <w:pPr>
              <w:spacing w:line="240" w:lineRule="auto" w:after="0" w:before="0"/>
            </w:pPr>
            <w:r/>
            <w:r>
              <w:rPr>
                <w:sz w:val="16"/>
              </w:rPr>
              <w:t>0.80</w:t>
            </w:r>
          </w:p>
        </w:tc>
        <w:tc>
          <w:tcPr>
            <w:tcW w:type="dxa" w:w="1814"/>
          </w:tcPr>
          <w:p>
            <w:pPr>
              <w:spacing w:line="240" w:lineRule="auto" w:after="0" w:before="0"/>
            </w:pPr>
            <w:r/>
            <w:r>
              <w:rPr>
                <w:sz w:val="16"/>
              </w:rPr>
              <w:t>0.22</w:t>
            </w:r>
          </w:p>
        </w:tc>
        <w:tc>
          <w:tcPr>
            <w:tcW w:type="dxa" w:w="1814"/>
          </w:tcPr>
          <w:p>
            <w:pPr>
              <w:spacing w:line="240" w:lineRule="auto" w:after="0" w:before="0"/>
            </w:pPr>
            <w:r/>
            <w:r>
              <w:rPr>
                <w:sz w:val="16"/>
              </w:rPr>
              <w:t>0.23</w:t>
            </w:r>
          </w:p>
        </w:tc>
        <w:tc>
          <w:tcPr>
            <w:tcW w:type="dxa" w:w="1814"/>
          </w:tcPr>
          <w:p>
            <w:pPr>
              <w:spacing w:line="240" w:lineRule="auto" w:after="0" w:before="0"/>
            </w:pPr>
            <w:r/>
            <w:r>
              <w:rPr>
                <w:sz w:val="16"/>
              </w:rPr>
              <w:t>0.22</w:t>
            </w:r>
          </w:p>
        </w:tc>
      </w:tr>
    </w:tbl>
    <w:p/>
    <w:tbl>
      <w:tblPr>
        <w:tblStyle w:val="TableGrid"/>
        <w:tblW w:type="auto" w:w="0"/>
        <w:jc w:val="center"/>
        <w:tblLook w:firstColumn="1" w:firstRow="1" w:lastColumn="0" w:lastRow="0" w:noHBand="0" w:noVBand="1" w:val="04A0"/>
      </w:tblPr>
      <w:tblGrid>
        <w:gridCol w:w="1814"/>
        <w:gridCol w:w="1814"/>
        <w:gridCol w:w="1814"/>
        <w:gridCol w:w="1814"/>
        <w:gridCol w:w="1814"/>
      </w:tblGrid>
      <w:tr>
        <w:trPr>
          <w:cantSplit/>
          <w:tblHeader/>
        </w:trPr>
        <w:tc>
          <w:tcPr>
            <w:tcW w:type="dxa" w:w="1814"/>
            <w:shd w:val="clear" w:fill="F2F2F2"/>
          </w:tcPr>
          <w:p>
            <w:pPr>
              <w:spacing w:line="240" w:lineRule="auto" w:after="0" w:before="0"/>
            </w:pPr>
            <w:r>
              <w:rPr>
                <w:b/>
              </w:rPr>
            </w:r>
            <w:r>
              <w:rPr>
                <w:b/>
                <w:sz w:val="16"/>
              </w:rPr>
              <w:t>threshold</w:t>
            </w:r>
          </w:p>
        </w:tc>
        <w:tc>
          <w:tcPr>
            <w:tcW w:type="dxa" w:w="1814"/>
            <w:shd w:val="clear" w:fill="F2F2F2"/>
          </w:tcPr>
          <w:p>
            <w:pPr>
              <w:spacing w:line="240" w:lineRule="auto" w:after="0" w:before="0"/>
            </w:pPr>
            <w:r>
              <w:rPr>
                <w:b/>
              </w:rPr>
            </w:r>
            <w:r>
              <w:rPr>
                <w:b/>
                <w:sz w:val="16"/>
              </w:rPr>
              <w:t>NB raw</w:t>
            </w:r>
          </w:p>
        </w:tc>
        <w:tc>
          <w:tcPr>
            <w:tcW w:type="dxa" w:w="1814"/>
            <w:shd w:val="clear" w:fill="F2F2F2"/>
          </w:tcPr>
          <w:p>
            <w:pPr>
              <w:spacing w:line="240" w:lineRule="auto" w:after="0" w:before="0"/>
            </w:pPr>
            <w:r>
              <w:rPr>
                <w:b/>
              </w:rPr>
            </w:r>
            <w:r>
              <w:rPr>
                <w:b/>
                <w:sz w:val="16"/>
              </w:rPr>
              <w:t>NB isotonic</w:t>
            </w:r>
          </w:p>
        </w:tc>
        <w:tc>
          <w:tcPr>
            <w:tcW w:type="dxa" w:w="1814"/>
            <w:shd w:val="clear" w:fill="F2F2F2"/>
          </w:tcPr>
          <w:p>
            <w:pPr>
              <w:spacing w:line="240" w:lineRule="auto" w:after="0" w:before="0"/>
            </w:pPr>
            <w:r>
              <w:rPr>
                <w:b/>
              </w:rPr>
            </w:r>
            <w:r>
              <w:rPr>
                <w:b/>
                <w:sz w:val="16"/>
              </w:rPr>
              <w:t>NB treat-all</w:t>
            </w:r>
          </w:p>
        </w:tc>
        <w:tc>
          <w:tcPr>
            <w:tcW w:type="dxa" w:w="1814"/>
            <w:shd w:val="clear" w:fill="F2F2F2"/>
          </w:tcPr>
          <w:p>
            <w:pPr>
              <w:spacing w:line="240" w:lineRule="auto" w:after="0" w:before="0"/>
            </w:pPr>
            <w:r>
              <w:rPr>
                <w:b/>
              </w:rPr>
            </w:r>
            <w:r>
              <w:rPr>
                <w:b/>
                <w:sz w:val="16"/>
              </w:rPr>
              <w:t>NB treat-none</w:t>
            </w:r>
          </w:p>
        </w:tc>
      </w:tr>
      <w:tr>
        <w:trPr>
          <w:cantSplit/>
        </w:trPr>
        <w:tc>
          <w:tcPr>
            <w:tcW w:type="dxa" w:w="1814"/>
          </w:tcPr>
          <w:p>
            <w:pPr>
              <w:spacing w:line="240" w:lineRule="auto" w:after="0" w:before="0"/>
            </w:pPr>
            <w:r/>
            <w:r>
              <w:rPr>
                <w:sz w:val="16"/>
              </w:rPr>
              <w:t>0.05</w:t>
            </w:r>
          </w:p>
        </w:tc>
        <w:tc>
          <w:tcPr>
            <w:tcW w:type="dxa" w:w="1814"/>
          </w:tcPr>
          <w:p>
            <w:pPr>
              <w:spacing w:line="240" w:lineRule="auto" w:after="0" w:before="0"/>
            </w:pPr>
            <w:r/>
            <w:r>
              <w:rPr>
                <w:sz w:val="16"/>
              </w:rPr>
              <w:t>10.6</w:t>
            </w:r>
          </w:p>
        </w:tc>
        <w:tc>
          <w:tcPr>
            <w:tcW w:type="dxa" w:w="1814"/>
          </w:tcPr>
          <w:p>
            <w:pPr>
              <w:spacing w:line="240" w:lineRule="auto" w:after="0" w:before="0"/>
            </w:pPr>
            <w:r/>
            <w:r>
              <w:rPr>
                <w:sz w:val="16"/>
              </w:rPr>
              <w:t>10.4</w:t>
            </w:r>
          </w:p>
        </w:tc>
        <w:tc>
          <w:tcPr>
            <w:tcW w:type="dxa" w:w="1814"/>
          </w:tcPr>
          <w:p>
            <w:pPr>
              <w:spacing w:line="240" w:lineRule="auto" w:after="0" w:before="0"/>
            </w:pPr>
            <w:r/>
            <w:r>
              <w:rPr>
                <w:sz w:val="16"/>
              </w:rPr>
              <w:t>9.9</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0.10</w:t>
            </w:r>
          </w:p>
        </w:tc>
        <w:tc>
          <w:tcPr>
            <w:tcW w:type="dxa" w:w="1814"/>
          </w:tcPr>
          <w:p>
            <w:pPr>
              <w:spacing w:line="240" w:lineRule="auto" w:after="0" w:before="0"/>
            </w:pPr>
            <w:r/>
            <w:r>
              <w:rPr>
                <w:sz w:val="16"/>
              </w:rPr>
              <w:t>7.9</w:t>
            </w:r>
          </w:p>
        </w:tc>
        <w:tc>
          <w:tcPr>
            <w:tcW w:type="dxa" w:w="1814"/>
          </w:tcPr>
          <w:p>
            <w:pPr>
              <w:spacing w:line="240" w:lineRule="auto" w:after="0" w:before="0"/>
            </w:pPr>
            <w:r/>
            <w:r>
              <w:rPr>
                <w:sz w:val="16"/>
              </w:rPr>
              <w:t>9.1</w:t>
            </w:r>
          </w:p>
        </w:tc>
        <w:tc>
          <w:tcPr>
            <w:tcW w:type="dxa" w:w="1814"/>
          </w:tcPr>
          <w:p>
            <w:pPr>
              <w:spacing w:line="240" w:lineRule="auto" w:after="0" w:before="0"/>
            </w:pPr>
            <w:r/>
            <w:r>
              <w:rPr>
                <w:sz w:val="16"/>
              </w:rPr>
              <w:t>4.9</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0.15</w:t>
            </w:r>
          </w:p>
        </w:tc>
        <w:tc>
          <w:tcPr>
            <w:tcW w:type="dxa" w:w="1814"/>
          </w:tcPr>
          <w:p>
            <w:pPr>
              <w:spacing w:line="240" w:lineRule="auto" w:after="0" w:before="0"/>
            </w:pPr>
            <w:r/>
            <w:r>
              <w:rPr>
                <w:sz w:val="16"/>
              </w:rPr>
              <w:t>4.9</w:t>
            </w:r>
          </w:p>
        </w:tc>
        <w:tc>
          <w:tcPr>
            <w:tcW w:type="dxa" w:w="1814"/>
          </w:tcPr>
          <w:p>
            <w:pPr>
              <w:spacing w:line="240" w:lineRule="auto" w:after="0" w:before="0"/>
            </w:pPr>
            <w:r/>
            <w:r>
              <w:rPr>
                <w:sz w:val="16"/>
              </w:rPr>
              <w:t>7.5</w:t>
            </w:r>
          </w:p>
        </w:tc>
        <w:tc>
          <w:tcPr>
            <w:tcW w:type="dxa" w:w="1814"/>
          </w:tcPr>
          <w:p>
            <w:pPr>
              <w:spacing w:line="240" w:lineRule="auto" w:after="0" w:before="0"/>
            </w:pPr>
            <w:r/>
            <w:r>
              <w:rPr>
                <w:sz w:val="16"/>
              </w:rPr>
              <w:t>-0.7</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0.20</w:t>
            </w:r>
          </w:p>
        </w:tc>
        <w:tc>
          <w:tcPr>
            <w:tcW w:type="dxa" w:w="1814"/>
          </w:tcPr>
          <w:p>
            <w:pPr>
              <w:spacing w:line="240" w:lineRule="auto" w:after="0" w:before="0"/>
            </w:pPr>
            <w:r/>
            <w:r>
              <w:rPr>
                <w:sz w:val="16"/>
              </w:rPr>
              <w:t>1.5</w:t>
            </w:r>
          </w:p>
        </w:tc>
        <w:tc>
          <w:tcPr>
            <w:tcW w:type="dxa" w:w="1814"/>
          </w:tcPr>
          <w:p>
            <w:pPr>
              <w:spacing w:line="240" w:lineRule="auto" w:after="0" w:before="0"/>
            </w:pPr>
            <w:r/>
            <w:r>
              <w:rPr>
                <w:sz w:val="16"/>
              </w:rPr>
              <w:t>5.5</w:t>
            </w:r>
          </w:p>
        </w:tc>
        <w:tc>
          <w:tcPr>
            <w:tcW w:type="dxa" w:w="1814"/>
          </w:tcPr>
          <w:p>
            <w:pPr>
              <w:spacing w:line="240" w:lineRule="auto" w:after="0" w:before="0"/>
            </w:pPr>
            <w:r/>
            <w:r>
              <w:rPr>
                <w:sz w:val="16"/>
              </w:rPr>
              <w:t>-7.0</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0.25</w:t>
            </w:r>
          </w:p>
        </w:tc>
        <w:tc>
          <w:tcPr>
            <w:tcW w:type="dxa" w:w="1814"/>
          </w:tcPr>
          <w:p>
            <w:pPr>
              <w:spacing w:line="240" w:lineRule="auto" w:after="0" w:before="0"/>
            </w:pPr>
            <w:r/>
            <w:r>
              <w:rPr>
                <w:sz w:val="16"/>
              </w:rPr>
              <w:t>-2.2</w:t>
            </w:r>
          </w:p>
        </w:tc>
        <w:tc>
          <w:tcPr>
            <w:tcW w:type="dxa" w:w="1814"/>
          </w:tcPr>
          <w:p>
            <w:pPr>
              <w:spacing w:line="240" w:lineRule="auto" w:after="0" w:before="0"/>
            </w:pPr>
            <w:r/>
            <w:r>
              <w:rPr>
                <w:sz w:val="16"/>
              </w:rPr>
              <w:t>3.4</w:t>
            </w:r>
          </w:p>
        </w:tc>
        <w:tc>
          <w:tcPr>
            <w:tcW w:type="dxa" w:w="1814"/>
          </w:tcPr>
          <w:p>
            <w:pPr>
              <w:spacing w:line="240" w:lineRule="auto" w:after="0" w:before="0"/>
            </w:pPr>
            <w:r/>
            <w:r>
              <w:rPr>
                <w:sz w:val="16"/>
              </w:rPr>
              <w:t>-14.2</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0.30</w:t>
            </w:r>
          </w:p>
        </w:tc>
        <w:tc>
          <w:tcPr>
            <w:tcW w:type="dxa" w:w="1814"/>
          </w:tcPr>
          <w:p>
            <w:pPr>
              <w:spacing w:line="240" w:lineRule="auto" w:after="0" w:before="0"/>
            </w:pPr>
            <w:r/>
            <w:r>
              <w:rPr>
                <w:sz w:val="16"/>
              </w:rPr>
              <w:t>-6.6</w:t>
            </w:r>
          </w:p>
        </w:tc>
        <w:tc>
          <w:tcPr>
            <w:tcW w:type="dxa" w:w="1814"/>
          </w:tcPr>
          <w:p>
            <w:pPr>
              <w:spacing w:line="240" w:lineRule="auto" w:after="0" w:before="0"/>
            </w:pPr>
            <w:r/>
            <w:r>
              <w:rPr>
                <w:sz w:val="16"/>
              </w:rPr>
              <w:t>0.4</w:t>
            </w:r>
          </w:p>
        </w:tc>
        <w:tc>
          <w:tcPr>
            <w:tcW w:type="dxa" w:w="1814"/>
          </w:tcPr>
          <w:p>
            <w:pPr>
              <w:spacing w:line="240" w:lineRule="auto" w:after="0" w:before="0"/>
            </w:pPr>
            <w:r/>
            <w:r>
              <w:rPr>
                <w:sz w:val="16"/>
              </w:rPr>
              <w:t>-22.3</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0.40</w:t>
            </w:r>
          </w:p>
        </w:tc>
        <w:tc>
          <w:tcPr>
            <w:tcW w:type="dxa" w:w="1814"/>
          </w:tcPr>
          <w:p>
            <w:pPr>
              <w:spacing w:line="240" w:lineRule="auto" w:after="0" w:before="0"/>
            </w:pPr>
            <w:r/>
            <w:r>
              <w:rPr>
                <w:sz w:val="16"/>
              </w:rPr>
              <w:t>-17.4</w:t>
            </w:r>
          </w:p>
        </w:tc>
        <w:tc>
          <w:tcPr>
            <w:tcW w:type="dxa" w:w="1814"/>
          </w:tcPr>
          <w:p>
            <w:pPr>
              <w:spacing w:line="240" w:lineRule="auto" w:after="0" w:before="0"/>
            </w:pPr>
            <w:r/>
            <w:r>
              <w:rPr>
                <w:sz w:val="16"/>
              </w:rPr>
              <w:t>0.2</w:t>
            </w:r>
          </w:p>
        </w:tc>
        <w:tc>
          <w:tcPr>
            <w:tcW w:type="dxa" w:w="1814"/>
          </w:tcPr>
          <w:p>
            <w:pPr>
              <w:spacing w:line="240" w:lineRule="auto" w:after="0" w:before="0"/>
            </w:pPr>
            <w:r/>
            <w:r>
              <w:rPr>
                <w:sz w:val="16"/>
              </w:rPr>
              <w:t>-42.7</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0.50</w:t>
            </w:r>
          </w:p>
        </w:tc>
        <w:tc>
          <w:tcPr>
            <w:tcW w:type="dxa" w:w="1814"/>
          </w:tcPr>
          <w:p>
            <w:pPr>
              <w:spacing w:line="240" w:lineRule="auto" w:after="0" w:before="0"/>
            </w:pPr>
            <w:r/>
            <w:r>
              <w:rPr>
                <w:sz w:val="16"/>
              </w:rPr>
              <w:t>-14.3</w:t>
            </w:r>
          </w:p>
        </w:tc>
        <w:tc>
          <w:tcPr>
            <w:tcW w:type="dxa" w:w="1814"/>
          </w:tcPr>
          <w:p>
            <w:pPr>
              <w:spacing w:line="240" w:lineRule="auto" w:after="0" w:before="0"/>
            </w:pPr>
            <w:r/>
            <w:r>
              <w:rPr>
                <w:sz w:val="16"/>
              </w:rPr>
              <w:t>0.3</w:t>
            </w:r>
          </w:p>
        </w:tc>
        <w:tc>
          <w:tcPr>
            <w:tcW w:type="dxa" w:w="1814"/>
          </w:tcPr>
          <w:p>
            <w:pPr>
              <w:spacing w:line="240" w:lineRule="auto" w:after="0" w:before="0"/>
            </w:pPr>
            <w:r/>
            <w:r>
              <w:rPr>
                <w:sz w:val="16"/>
              </w:rPr>
              <w:t>-71.2</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0.60</w:t>
            </w:r>
          </w:p>
        </w:tc>
        <w:tc>
          <w:tcPr>
            <w:tcW w:type="dxa" w:w="1814"/>
          </w:tcPr>
          <w:p>
            <w:pPr>
              <w:spacing w:line="240" w:lineRule="auto" w:after="0" w:before="0"/>
            </w:pPr>
            <w:r/>
            <w:r>
              <w:rPr>
                <w:sz w:val="16"/>
              </w:rPr>
              <w:t>-25.8</w:t>
            </w:r>
          </w:p>
        </w:tc>
        <w:tc>
          <w:tcPr>
            <w:tcW w:type="dxa" w:w="1814"/>
          </w:tcPr>
          <w:p>
            <w:pPr>
              <w:spacing w:line="240" w:lineRule="auto" w:after="0" w:before="0"/>
            </w:pPr>
            <w:r/>
            <w:r>
              <w:rPr>
                <w:sz w:val="16"/>
              </w:rPr>
              <w:t>0.2</w:t>
            </w:r>
          </w:p>
        </w:tc>
        <w:tc>
          <w:tcPr>
            <w:tcW w:type="dxa" w:w="1814"/>
          </w:tcPr>
          <w:p>
            <w:pPr>
              <w:spacing w:line="240" w:lineRule="auto" w:after="0" w:before="0"/>
            </w:pPr>
            <w:r/>
            <w:r>
              <w:rPr>
                <w:sz w:val="16"/>
              </w:rPr>
              <w:t>-114.0</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0.70</w:t>
            </w:r>
          </w:p>
        </w:tc>
        <w:tc>
          <w:tcPr>
            <w:tcW w:type="dxa" w:w="1814"/>
          </w:tcPr>
          <w:p>
            <w:pPr>
              <w:spacing w:line="240" w:lineRule="auto" w:after="0" w:before="0"/>
            </w:pPr>
            <w:r/>
            <w:r>
              <w:rPr>
                <w:sz w:val="16"/>
              </w:rPr>
              <w:t>-43.8</w:t>
            </w:r>
          </w:p>
        </w:tc>
        <w:tc>
          <w:tcPr>
            <w:tcW w:type="dxa" w:w="1814"/>
          </w:tcPr>
          <w:p>
            <w:pPr>
              <w:spacing w:line="240" w:lineRule="auto" w:after="0" w:before="0"/>
            </w:pPr>
            <w:r/>
            <w:r>
              <w:rPr>
                <w:sz w:val="16"/>
              </w:rPr>
              <w:t>-0.1</w:t>
            </w:r>
          </w:p>
        </w:tc>
        <w:tc>
          <w:tcPr>
            <w:tcW w:type="dxa" w:w="1814"/>
          </w:tcPr>
          <w:p>
            <w:pPr>
              <w:spacing w:line="240" w:lineRule="auto" w:after="0" w:before="0"/>
            </w:pPr>
            <w:r/>
            <w:r>
              <w:rPr>
                <w:sz w:val="16"/>
              </w:rPr>
              <w:t>-185.4</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0.80</w:t>
            </w:r>
          </w:p>
        </w:tc>
        <w:tc>
          <w:tcPr>
            <w:tcW w:type="dxa" w:w="1814"/>
          </w:tcPr>
          <w:p>
            <w:pPr>
              <w:spacing w:line="240" w:lineRule="auto" w:after="0" w:before="0"/>
            </w:pPr>
            <w:r/>
            <w:r>
              <w:rPr>
                <w:sz w:val="16"/>
              </w:rPr>
              <w:t>-41.4</w:t>
            </w:r>
          </w:p>
        </w:tc>
        <w:tc>
          <w:tcPr>
            <w:tcW w:type="dxa" w:w="1814"/>
          </w:tcPr>
          <w:p>
            <w:pPr>
              <w:spacing w:line="240" w:lineRule="auto" w:after="0" w:before="0"/>
            </w:pPr>
            <w:r/>
            <w:r>
              <w:rPr>
                <w:sz w:val="16"/>
              </w:rPr>
              <w:t>0.0</w:t>
            </w:r>
          </w:p>
        </w:tc>
        <w:tc>
          <w:tcPr>
            <w:tcW w:type="dxa" w:w="1814"/>
          </w:tcPr>
          <w:p>
            <w:pPr>
              <w:spacing w:line="240" w:lineRule="auto" w:after="0" w:before="0"/>
            </w:pPr>
            <w:r/>
            <w:r>
              <w:rPr>
                <w:sz w:val="16"/>
              </w:rPr>
              <w:t>-328.1</w:t>
            </w:r>
          </w:p>
        </w:tc>
        <w:tc>
          <w:tcPr>
            <w:tcW w:type="dxa" w:w="1814"/>
          </w:tcPr>
          <w:p>
            <w:pPr>
              <w:spacing w:line="240" w:lineRule="auto" w:after="0" w:before="0"/>
            </w:pPr>
            <w:r/>
            <w:r>
              <w:rPr>
                <w:sz w:val="16"/>
              </w:rPr>
              <w:t>0.0</w:t>
            </w:r>
          </w:p>
        </w:tc>
      </w:tr>
    </w:tbl>
    <w:p/>
    <w:tbl>
      <w:tblPr>
        <w:tblStyle w:val="TableGrid"/>
        <w:tblW w:type="auto" w:w="0"/>
        <w:jc w:val="center"/>
        <w:tblLook w:firstColumn="1" w:firstRow="1" w:lastColumn="0" w:lastRow="0" w:noHBand="0" w:noVBand="1" w:val="04A0"/>
      </w:tblPr>
      <w:tblGrid>
        <w:gridCol w:w="1814"/>
        <w:gridCol w:w="1814"/>
        <w:gridCol w:w="1814"/>
        <w:gridCol w:w="1814"/>
        <w:gridCol w:w="1814"/>
      </w:tblGrid>
      <w:tr>
        <w:trPr>
          <w:cantSplit/>
          <w:tblHeader/>
        </w:trPr>
        <w:tc>
          <w:tcPr>
            <w:tcW w:type="dxa" w:w="1814"/>
            <w:shd w:val="clear" w:fill="F2F2F2"/>
          </w:tcPr>
          <w:p>
            <w:pPr>
              <w:spacing w:line="240" w:lineRule="auto" w:after="0" w:before="0"/>
            </w:pPr>
            <w:r>
              <w:rPr>
                <w:b/>
              </w:rPr>
            </w:r>
            <w:r>
              <w:rPr>
                <w:b/>
                <w:sz w:val="16"/>
              </w:rPr>
              <w:t>threshold</w:t>
            </w:r>
          </w:p>
        </w:tc>
        <w:tc>
          <w:tcPr>
            <w:tcW w:type="dxa" w:w="1814"/>
            <w:shd w:val="clear" w:fill="F2F2F2"/>
          </w:tcPr>
          <w:p>
            <w:pPr>
              <w:spacing w:line="240" w:lineRule="auto" w:after="0" w:before="0"/>
            </w:pPr>
            <w:r>
              <w:rPr>
                <w:b/>
              </w:rPr>
            </w:r>
            <w:r>
              <w:rPr>
                <w:b/>
                <w:sz w:val="16"/>
              </w:rPr>
              <w:t>NB raw</w:t>
            </w:r>
          </w:p>
        </w:tc>
        <w:tc>
          <w:tcPr>
            <w:tcW w:type="dxa" w:w="1814"/>
            <w:shd w:val="clear" w:fill="F2F2F2"/>
          </w:tcPr>
          <w:p>
            <w:pPr>
              <w:spacing w:line="240" w:lineRule="auto" w:after="0" w:before="0"/>
            </w:pPr>
            <w:r>
              <w:rPr>
                <w:b/>
              </w:rPr>
            </w:r>
            <w:r>
              <w:rPr>
                <w:b/>
                <w:sz w:val="16"/>
              </w:rPr>
              <w:t>NB isotonic</w:t>
            </w:r>
          </w:p>
        </w:tc>
        <w:tc>
          <w:tcPr>
            <w:tcW w:type="dxa" w:w="1814"/>
            <w:shd w:val="clear" w:fill="F2F2F2"/>
          </w:tcPr>
          <w:p>
            <w:pPr>
              <w:spacing w:line="240" w:lineRule="auto" w:after="0" w:before="0"/>
            </w:pPr>
            <w:r>
              <w:rPr>
                <w:b/>
              </w:rPr>
            </w:r>
            <w:r>
              <w:rPr>
                <w:b/>
                <w:sz w:val="16"/>
              </w:rPr>
              <w:t>NB treat-all</w:t>
            </w:r>
          </w:p>
        </w:tc>
        <w:tc>
          <w:tcPr>
            <w:tcW w:type="dxa" w:w="1814"/>
            <w:shd w:val="clear" w:fill="F2F2F2"/>
          </w:tcPr>
          <w:p>
            <w:pPr>
              <w:spacing w:line="240" w:lineRule="auto" w:after="0" w:before="0"/>
            </w:pPr>
            <w:r>
              <w:rPr>
                <w:b/>
              </w:rPr>
            </w:r>
            <w:r>
              <w:rPr>
                <w:b/>
                <w:sz w:val="16"/>
              </w:rPr>
              <w:t>NB treat-none</w:t>
            </w:r>
          </w:p>
        </w:tc>
      </w:tr>
      <w:tr>
        <w:trPr>
          <w:cantSplit/>
        </w:trPr>
        <w:tc>
          <w:tcPr>
            <w:tcW w:type="dxa" w:w="1814"/>
          </w:tcPr>
          <w:p>
            <w:pPr>
              <w:spacing w:line="240" w:lineRule="auto" w:after="0" w:before="0"/>
            </w:pPr>
            <w:r/>
            <w:r>
              <w:rPr>
                <w:sz w:val="16"/>
              </w:rPr>
              <w:t>0.05</w:t>
            </w:r>
          </w:p>
        </w:tc>
        <w:tc>
          <w:tcPr>
            <w:tcW w:type="dxa" w:w="1814"/>
          </w:tcPr>
          <w:p>
            <w:pPr>
              <w:spacing w:line="240" w:lineRule="auto" w:after="0" w:before="0"/>
            </w:pPr>
            <w:r/>
            <w:r>
              <w:rPr>
                <w:sz w:val="16"/>
              </w:rPr>
              <w:t>6.5</w:t>
            </w:r>
          </w:p>
        </w:tc>
        <w:tc>
          <w:tcPr>
            <w:tcW w:type="dxa" w:w="1814"/>
          </w:tcPr>
          <w:p>
            <w:pPr>
              <w:spacing w:line="240" w:lineRule="auto" w:after="0" w:before="0"/>
            </w:pPr>
            <w:r/>
            <w:r>
              <w:rPr>
                <w:sz w:val="16"/>
              </w:rPr>
              <w:t>8.5</w:t>
            </w:r>
          </w:p>
        </w:tc>
        <w:tc>
          <w:tcPr>
            <w:tcW w:type="dxa" w:w="1814"/>
          </w:tcPr>
          <w:p>
            <w:pPr>
              <w:spacing w:line="240" w:lineRule="auto" w:after="0" w:before="0"/>
            </w:pPr>
            <w:r/>
            <w:r>
              <w:rPr>
                <w:sz w:val="16"/>
              </w:rPr>
              <w:t>8.5</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0.10</w:t>
            </w:r>
          </w:p>
        </w:tc>
        <w:tc>
          <w:tcPr>
            <w:tcW w:type="dxa" w:w="1814"/>
          </w:tcPr>
          <w:p>
            <w:pPr>
              <w:spacing w:line="240" w:lineRule="auto" w:after="0" w:before="0"/>
            </w:pPr>
            <w:r/>
            <w:r>
              <w:rPr>
                <w:sz w:val="16"/>
              </w:rPr>
              <w:t>4.9</w:t>
            </w:r>
          </w:p>
        </w:tc>
        <w:tc>
          <w:tcPr>
            <w:tcW w:type="dxa" w:w="1814"/>
          </w:tcPr>
          <w:p>
            <w:pPr>
              <w:spacing w:line="240" w:lineRule="auto" w:after="0" w:before="0"/>
            </w:pPr>
            <w:r/>
            <w:r>
              <w:rPr>
                <w:sz w:val="16"/>
              </w:rPr>
              <w:t>4.9</w:t>
            </w:r>
          </w:p>
        </w:tc>
        <w:tc>
          <w:tcPr>
            <w:tcW w:type="dxa" w:w="1814"/>
          </w:tcPr>
          <w:p>
            <w:pPr>
              <w:spacing w:line="240" w:lineRule="auto" w:after="0" w:before="0"/>
            </w:pPr>
            <w:r/>
            <w:r>
              <w:rPr>
                <w:sz w:val="16"/>
              </w:rPr>
              <w:t>3.4</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0.15</w:t>
            </w:r>
          </w:p>
        </w:tc>
        <w:tc>
          <w:tcPr>
            <w:tcW w:type="dxa" w:w="1814"/>
          </w:tcPr>
          <w:p>
            <w:pPr>
              <w:spacing w:line="240" w:lineRule="auto" w:after="0" w:before="0"/>
            </w:pPr>
            <w:r/>
            <w:r>
              <w:rPr>
                <w:sz w:val="16"/>
              </w:rPr>
              <w:t>3.3</w:t>
            </w:r>
          </w:p>
        </w:tc>
        <w:tc>
          <w:tcPr>
            <w:tcW w:type="dxa" w:w="1814"/>
          </w:tcPr>
          <w:p>
            <w:pPr>
              <w:spacing w:line="240" w:lineRule="auto" w:after="0" w:before="0"/>
            </w:pPr>
            <w:r/>
            <w:r>
              <w:rPr>
                <w:sz w:val="16"/>
              </w:rPr>
              <w:t>4.0</w:t>
            </w:r>
          </w:p>
        </w:tc>
        <w:tc>
          <w:tcPr>
            <w:tcW w:type="dxa" w:w="1814"/>
          </w:tcPr>
          <w:p>
            <w:pPr>
              <w:spacing w:line="240" w:lineRule="auto" w:after="0" w:before="0"/>
            </w:pPr>
            <w:r/>
            <w:r>
              <w:rPr>
                <w:sz w:val="16"/>
              </w:rPr>
              <w:t>-2.3</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0.20</w:t>
            </w:r>
          </w:p>
        </w:tc>
        <w:tc>
          <w:tcPr>
            <w:tcW w:type="dxa" w:w="1814"/>
          </w:tcPr>
          <w:p>
            <w:pPr>
              <w:spacing w:line="240" w:lineRule="auto" w:after="0" w:before="0"/>
            </w:pPr>
            <w:r/>
            <w:r>
              <w:rPr>
                <w:sz w:val="16"/>
              </w:rPr>
              <w:t>1.4</w:t>
            </w:r>
          </w:p>
        </w:tc>
        <w:tc>
          <w:tcPr>
            <w:tcW w:type="dxa" w:w="1814"/>
          </w:tcPr>
          <w:p>
            <w:pPr>
              <w:spacing w:line="240" w:lineRule="auto" w:after="0" w:before="0"/>
            </w:pPr>
            <w:r/>
            <w:r>
              <w:rPr>
                <w:sz w:val="16"/>
              </w:rPr>
              <w:t>2.9</w:t>
            </w:r>
          </w:p>
        </w:tc>
        <w:tc>
          <w:tcPr>
            <w:tcW w:type="dxa" w:w="1814"/>
          </w:tcPr>
          <w:p>
            <w:pPr>
              <w:spacing w:line="240" w:lineRule="auto" w:after="0" w:before="0"/>
            </w:pPr>
            <w:r/>
            <w:r>
              <w:rPr>
                <w:sz w:val="16"/>
              </w:rPr>
              <w:t>-8.7</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0.25</w:t>
            </w:r>
          </w:p>
        </w:tc>
        <w:tc>
          <w:tcPr>
            <w:tcW w:type="dxa" w:w="1814"/>
          </w:tcPr>
          <w:p>
            <w:pPr>
              <w:spacing w:line="240" w:lineRule="auto" w:after="0" w:before="0"/>
            </w:pPr>
            <w:r/>
            <w:r>
              <w:rPr>
                <w:sz w:val="16"/>
              </w:rPr>
              <w:t>-0.7</w:t>
            </w:r>
          </w:p>
        </w:tc>
        <w:tc>
          <w:tcPr>
            <w:tcW w:type="dxa" w:w="1814"/>
          </w:tcPr>
          <w:p>
            <w:pPr>
              <w:spacing w:line="240" w:lineRule="auto" w:after="0" w:before="0"/>
            </w:pPr>
            <w:r/>
            <w:r>
              <w:rPr>
                <w:sz w:val="16"/>
              </w:rPr>
              <w:t>1.6</w:t>
            </w:r>
          </w:p>
        </w:tc>
        <w:tc>
          <w:tcPr>
            <w:tcW w:type="dxa" w:w="1814"/>
          </w:tcPr>
          <w:p>
            <w:pPr>
              <w:spacing w:line="240" w:lineRule="auto" w:after="0" w:before="0"/>
            </w:pPr>
            <w:r/>
            <w:r>
              <w:rPr>
                <w:sz w:val="16"/>
              </w:rPr>
              <w:t>-15.9</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0.30</w:t>
            </w:r>
          </w:p>
        </w:tc>
        <w:tc>
          <w:tcPr>
            <w:tcW w:type="dxa" w:w="1814"/>
          </w:tcPr>
          <w:p>
            <w:pPr>
              <w:spacing w:line="240" w:lineRule="auto" w:after="0" w:before="0"/>
            </w:pPr>
            <w:r/>
            <w:r>
              <w:rPr>
                <w:sz w:val="16"/>
              </w:rPr>
              <w:t>-2.9</w:t>
            </w:r>
          </w:p>
        </w:tc>
        <w:tc>
          <w:tcPr>
            <w:tcW w:type="dxa" w:w="1814"/>
          </w:tcPr>
          <w:p>
            <w:pPr>
              <w:spacing w:line="240" w:lineRule="auto" w:after="0" w:before="0"/>
            </w:pPr>
            <w:r/>
            <w:r>
              <w:rPr>
                <w:sz w:val="16"/>
              </w:rPr>
              <w:t>1.2</w:t>
            </w:r>
          </w:p>
        </w:tc>
        <w:tc>
          <w:tcPr>
            <w:tcW w:type="dxa" w:w="1814"/>
          </w:tcPr>
          <w:p>
            <w:pPr>
              <w:spacing w:line="240" w:lineRule="auto" w:after="0" w:before="0"/>
            </w:pPr>
            <w:r/>
            <w:r>
              <w:rPr>
                <w:sz w:val="16"/>
              </w:rPr>
              <w:t>-24.2</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0.40</w:t>
            </w:r>
          </w:p>
        </w:tc>
        <w:tc>
          <w:tcPr>
            <w:tcW w:type="dxa" w:w="1814"/>
          </w:tcPr>
          <w:p>
            <w:pPr>
              <w:spacing w:line="240" w:lineRule="auto" w:after="0" w:before="0"/>
            </w:pPr>
            <w:r/>
            <w:r>
              <w:rPr>
                <w:sz w:val="16"/>
              </w:rPr>
              <w:t>-8.7</w:t>
            </w:r>
          </w:p>
        </w:tc>
        <w:tc>
          <w:tcPr>
            <w:tcW w:type="dxa" w:w="1814"/>
          </w:tcPr>
          <w:p>
            <w:pPr>
              <w:spacing w:line="240" w:lineRule="auto" w:after="0" w:before="0"/>
            </w:pPr>
            <w:r/>
            <w:r>
              <w:rPr>
                <w:sz w:val="16"/>
              </w:rPr>
              <w:t>-0.1</w:t>
            </w:r>
          </w:p>
        </w:tc>
        <w:tc>
          <w:tcPr>
            <w:tcW w:type="dxa" w:w="1814"/>
          </w:tcPr>
          <w:p>
            <w:pPr>
              <w:spacing w:line="240" w:lineRule="auto" w:after="0" w:before="0"/>
            </w:pPr>
            <w:r/>
            <w:r>
              <w:rPr>
                <w:sz w:val="16"/>
              </w:rPr>
              <w:t>-44.9</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0.50</w:t>
            </w:r>
          </w:p>
        </w:tc>
        <w:tc>
          <w:tcPr>
            <w:tcW w:type="dxa" w:w="1814"/>
          </w:tcPr>
          <w:p>
            <w:pPr>
              <w:spacing w:line="240" w:lineRule="auto" w:after="0" w:before="0"/>
            </w:pPr>
            <w:r/>
            <w:r>
              <w:rPr>
                <w:sz w:val="16"/>
              </w:rPr>
              <w:t>-8.7</w:t>
            </w:r>
          </w:p>
        </w:tc>
        <w:tc>
          <w:tcPr>
            <w:tcW w:type="dxa" w:w="1814"/>
          </w:tcPr>
          <w:p>
            <w:pPr>
              <w:spacing w:line="240" w:lineRule="auto" w:after="0" w:before="0"/>
            </w:pPr>
            <w:r/>
            <w:r>
              <w:rPr>
                <w:sz w:val="16"/>
              </w:rPr>
              <w:t>-0.2</w:t>
            </w:r>
          </w:p>
        </w:tc>
        <w:tc>
          <w:tcPr>
            <w:tcW w:type="dxa" w:w="1814"/>
          </w:tcPr>
          <w:p>
            <w:pPr>
              <w:spacing w:line="240" w:lineRule="auto" w:after="0" w:before="0"/>
            </w:pPr>
            <w:r/>
            <w:r>
              <w:rPr>
                <w:sz w:val="16"/>
              </w:rPr>
              <w:t>-73.9</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0.60</w:t>
            </w:r>
          </w:p>
        </w:tc>
        <w:tc>
          <w:tcPr>
            <w:tcW w:type="dxa" w:w="1814"/>
          </w:tcPr>
          <w:p>
            <w:pPr>
              <w:spacing w:line="240" w:lineRule="auto" w:after="0" w:before="0"/>
            </w:pPr>
            <w:r/>
            <w:r>
              <w:rPr>
                <w:sz w:val="16"/>
              </w:rPr>
              <w:t>-15.8</w:t>
            </w:r>
          </w:p>
        </w:tc>
        <w:tc>
          <w:tcPr>
            <w:tcW w:type="dxa" w:w="1814"/>
          </w:tcPr>
          <w:p>
            <w:pPr>
              <w:spacing w:line="240" w:lineRule="auto" w:after="0" w:before="0"/>
            </w:pPr>
            <w:r/>
            <w:r>
              <w:rPr>
                <w:sz w:val="16"/>
              </w:rPr>
              <w:t>-0.5</w:t>
            </w:r>
          </w:p>
        </w:tc>
        <w:tc>
          <w:tcPr>
            <w:tcW w:type="dxa" w:w="1814"/>
          </w:tcPr>
          <w:p>
            <w:pPr>
              <w:spacing w:line="240" w:lineRule="auto" w:after="0" w:before="0"/>
            </w:pPr>
            <w:r/>
            <w:r>
              <w:rPr>
                <w:sz w:val="16"/>
              </w:rPr>
              <w:t>-117.4</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0.70</w:t>
            </w:r>
          </w:p>
        </w:tc>
        <w:tc>
          <w:tcPr>
            <w:tcW w:type="dxa" w:w="1814"/>
          </w:tcPr>
          <w:p>
            <w:pPr>
              <w:spacing w:line="240" w:lineRule="auto" w:after="0" w:before="0"/>
            </w:pPr>
            <w:r/>
            <w:r>
              <w:rPr>
                <w:sz w:val="16"/>
              </w:rPr>
              <w:t>-28.2</w:t>
            </w:r>
          </w:p>
        </w:tc>
        <w:tc>
          <w:tcPr>
            <w:tcW w:type="dxa" w:w="1814"/>
          </w:tcPr>
          <w:p>
            <w:pPr>
              <w:spacing w:line="240" w:lineRule="auto" w:after="0" w:before="0"/>
            </w:pPr>
            <w:r/>
            <w:r>
              <w:rPr>
                <w:sz w:val="16"/>
              </w:rPr>
              <w:t>0.0</w:t>
            </w:r>
          </w:p>
        </w:tc>
        <w:tc>
          <w:tcPr>
            <w:tcW w:type="dxa" w:w="1814"/>
          </w:tcPr>
          <w:p>
            <w:pPr>
              <w:spacing w:line="240" w:lineRule="auto" w:after="0" w:before="0"/>
            </w:pPr>
            <w:r/>
            <w:r>
              <w:rPr>
                <w:sz w:val="16"/>
              </w:rPr>
              <w:t>-189.8</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0.80</w:t>
            </w:r>
          </w:p>
        </w:tc>
        <w:tc>
          <w:tcPr>
            <w:tcW w:type="dxa" w:w="1814"/>
          </w:tcPr>
          <w:p>
            <w:pPr>
              <w:spacing w:line="240" w:lineRule="auto" w:after="0" w:before="0"/>
            </w:pPr>
            <w:r/>
            <w:r>
              <w:rPr>
                <w:sz w:val="16"/>
              </w:rPr>
              <w:t>-17.7</w:t>
            </w:r>
          </w:p>
        </w:tc>
        <w:tc>
          <w:tcPr>
            <w:tcW w:type="dxa" w:w="1814"/>
          </w:tcPr>
          <w:p>
            <w:pPr>
              <w:spacing w:line="240" w:lineRule="auto" w:after="0" w:before="0"/>
            </w:pPr>
            <w:r/>
            <w:r>
              <w:rPr>
                <w:sz w:val="16"/>
              </w:rPr>
              <w:t>0.0</w:t>
            </w:r>
          </w:p>
        </w:tc>
        <w:tc>
          <w:tcPr>
            <w:tcW w:type="dxa" w:w="1814"/>
          </w:tcPr>
          <w:p>
            <w:pPr>
              <w:spacing w:line="240" w:lineRule="auto" w:after="0" w:before="0"/>
            </w:pPr>
            <w:r/>
            <w:r>
              <w:rPr>
                <w:sz w:val="16"/>
              </w:rPr>
              <w:t>-334.8</w:t>
            </w:r>
          </w:p>
        </w:tc>
        <w:tc>
          <w:tcPr>
            <w:tcW w:type="dxa" w:w="1814"/>
          </w:tcPr>
          <w:p>
            <w:pPr>
              <w:spacing w:line="240" w:lineRule="auto" w:after="0" w:before="0"/>
            </w:pPr>
            <w:r/>
            <w:r>
              <w:rPr>
                <w:sz w:val="16"/>
              </w:rPr>
              <w:t>0.0</w:t>
            </w:r>
          </w:p>
        </w:tc>
      </w:tr>
    </w:tbl>
    <w:p/>
    <w:tbl>
      <w:tblPr>
        <w:tblStyle w:val="TableGrid"/>
        <w:tblW w:type="auto" w:w="0"/>
        <w:jc w:val="center"/>
        <w:tblLook w:firstColumn="1" w:firstRow="1" w:lastColumn="0" w:lastRow="0" w:noHBand="0" w:noVBand="1" w:val="04A0"/>
      </w:tblPr>
      <w:tblGrid>
        <w:gridCol w:w="1814"/>
        <w:gridCol w:w="1814"/>
        <w:gridCol w:w="1814"/>
        <w:gridCol w:w="1814"/>
        <w:gridCol w:w="1814"/>
      </w:tblGrid>
      <w:tr>
        <w:trPr>
          <w:cantSplit/>
          <w:tblHeader/>
        </w:trPr>
        <w:tc>
          <w:tcPr>
            <w:tcW w:type="dxa" w:w="1814"/>
            <w:shd w:val="clear" w:fill="F2F2F2"/>
          </w:tcPr>
          <w:p>
            <w:pPr>
              <w:spacing w:line="240" w:lineRule="auto" w:after="0" w:before="0"/>
            </w:pPr>
            <w:r>
              <w:rPr>
                <w:b/>
              </w:rPr>
            </w:r>
            <w:r>
              <w:rPr>
                <w:b/>
                <w:sz w:val="16"/>
              </w:rPr>
              <w:t>threshold</w:t>
            </w:r>
          </w:p>
        </w:tc>
        <w:tc>
          <w:tcPr>
            <w:tcW w:type="dxa" w:w="1814"/>
            <w:shd w:val="clear" w:fill="F2F2F2"/>
          </w:tcPr>
          <w:p>
            <w:pPr>
              <w:spacing w:line="240" w:lineRule="auto" w:after="0" w:before="0"/>
            </w:pPr>
            <w:r>
              <w:rPr>
                <w:b/>
              </w:rPr>
            </w:r>
            <w:r>
              <w:rPr>
                <w:b/>
                <w:sz w:val="16"/>
              </w:rPr>
              <w:t>NB raw</w:t>
            </w:r>
          </w:p>
        </w:tc>
        <w:tc>
          <w:tcPr>
            <w:tcW w:type="dxa" w:w="1814"/>
            <w:shd w:val="clear" w:fill="F2F2F2"/>
          </w:tcPr>
          <w:p>
            <w:pPr>
              <w:spacing w:line="240" w:lineRule="auto" w:after="0" w:before="0"/>
            </w:pPr>
            <w:r>
              <w:rPr>
                <w:b/>
              </w:rPr>
            </w:r>
            <w:r>
              <w:rPr>
                <w:b/>
                <w:sz w:val="16"/>
              </w:rPr>
              <w:t>NB isotonic</w:t>
            </w:r>
          </w:p>
        </w:tc>
        <w:tc>
          <w:tcPr>
            <w:tcW w:type="dxa" w:w="1814"/>
            <w:shd w:val="clear" w:fill="F2F2F2"/>
          </w:tcPr>
          <w:p>
            <w:pPr>
              <w:spacing w:line="240" w:lineRule="auto" w:after="0" w:before="0"/>
            </w:pPr>
            <w:r>
              <w:rPr>
                <w:b/>
              </w:rPr>
            </w:r>
            <w:r>
              <w:rPr>
                <w:b/>
                <w:sz w:val="16"/>
              </w:rPr>
              <w:t>NB treat-all</w:t>
            </w:r>
          </w:p>
        </w:tc>
        <w:tc>
          <w:tcPr>
            <w:tcW w:type="dxa" w:w="1814"/>
            <w:shd w:val="clear" w:fill="F2F2F2"/>
          </w:tcPr>
          <w:p>
            <w:pPr>
              <w:spacing w:line="240" w:lineRule="auto" w:after="0" w:before="0"/>
            </w:pPr>
            <w:r>
              <w:rPr>
                <w:b/>
              </w:rPr>
            </w:r>
            <w:r>
              <w:rPr>
                <w:b/>
                <w:sz w:val="16"/>
              </w:rPr>
              <w:t>NB treat-none</w:t>
            </w:r>
          </w:p>
        </w:tc>
      </w:tr>
      <w:tr>
        <w:trPr>
          <w:cantSplit/>
        </w:trPr>
        <w:tc>
          <w:tcPr>
            <w:tcW w:type="dxa" w:w="1814"/>
          </w:tcPr>
          <w:p>
            <w:pPr>
              <w:spacing w:line="240" w:lineRule="auto" w:after="0" w:before="0"/>
            </w:pPr>
            <w:r/>
            <w:r>
              <w:rPr>
                <w:sz w:val="16"/>
              </w:rPr>
              <w:t>0.05</w:t>
            </w:r>
          </w:p>
        </w:tc>
        <w:tc>
          <w:tcPr>
            <w:tcW w:type="dxa" w:w="1814"/>
          </w:tcPr>
          <w:p>
            <w:pPr>
              <w:spacing w:line="240" w:lineRule="auto" w:after="0" w:before="0"/>
            </w:pPr>
            <w:r/>
            <w:r>
              <w:rPr>
                <w:sz w:val="16"/>
              </w:rPr>
              <w:t>6.0</w:t>
            </w:r>
          </w:p>
        </w:tc>
        <w:tc>
          <w:tcPr>
            <w:tcW w:type="dxa" w:w="1814"/>
          </w:tcPr>
          <w:p>
            <w:pPr>
              <w:spacing w:line="240" w:lineRule="auto" w:after="0" w:before="0"/>
            </w:pPr>
            <w:r/>
            <w:r>
              <w:rPr>
                <w:sz w:val="16"/>
              </w:rPr>
              <w:t>6.0</w:t>
            </w:r>
          </w:p>
        </w:tc>
        <w:tc>
          <w:tcPr>
            <w:tcW w:type="dxa" w:w="1814"/>
          </w:tcPr>
          <w:p>
            <w:pPr>
              <w:spacing w:line="240" w:lineRule="auto" w:after="0" w:before="0"/>
            </w:pPr>
            <w:r/>
            <w:r>
              <w:rPr>
                <w:sz w:val="16"/>
              </w:rPr>
              <w:t>6.3</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0.10</w:t>
            </w:r>
          </w:p>
        </w:tc>
        <w:tc>
          <w:tcPr>
            <w:tcW w:type="dxa" w:w="1814"/>
          </w:tcPr>
          <w:p>
            <w:pPr>
              <w:spacing w:line="240" w:lineRule="auto" w:after="0" w:before="0"/>
            </w:pPr>
            <w:r/>
            <w:r>
              <w:rPr>
                <w:sz w:val="16"/>
              </w:rPr>
              <w:t>2.9</w:t>
            </w:r>
          </w:p>
        </w:tc>
        <w:tc>
          <w:tcPr>
            <w:tcW w:type="dxa" w:w="1814"/>
          </w:tcPr>
          <w:p>
            <w:pPr>
              <w:spacing w:line="240" w:lineRule="auto" w:after="0" w:before="0"/>
            </w:pPr>
            <w:r/>
            <w:r>
              <w:rPr>
                <w:sz w:val="16"/>
              </w:rPr>
              <w:t>3.6</w:t>
            </w:r>
          </w:p>
        </w:tc>
        <w:tc>
          <w:tcPr>
            <w:tcW w:type="dxa" w:w="1814"/>
          </w:tcPr>
          <w:p>
            <w:pPr>
              <w:spacing w:line="240" w:lineRule="auto" w:after="0" w:before="0"/>
            </w:pPr>
            <w:r/>
            <w:r>
              <w:rPr>
                <w:sz w:val="16"/>
              </w:rPr>
              <w:t>1.1</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0.15</w:t>
            </w:r>
          </w:p>
        </w:tc>
        <w:tc>
          <w:tcPr>
            <w:tcW w:type="dxa" w:w="1814"/>
          </w:tcPr>
          <w:p>
            <w:pPr>
              <w:spacing w:line="240" w:lineRule="auto" w:after="0" w:before="0"/>
            </w:pPr>
            <w:r/>
            <w:r>
              <w:rPr>
                <w:sz w:val="16"/>
              </w:rPr>
              <w:t>-0.6</w:t>
            </w:r>
          </w:p>
        </w:tc>
        <w:tc>
          <w:tcPr>
            <w:tcW w:type="dxa" w:w="1814"/>
          </w:tcPr>
          <w:p>
            <w:pPr>
              <w:spacing w:line="240" w:lineRule="auto" w:after="0" w:before="0"/>
            </w:pPr>
            <w:r/>
            <w:r>
              <w:rPr>
                <w:sz w:val="16"/>
              </w:rPr>
              <w:t>2.7</w:t>
            </w:r>
          </w:p>
        </w:tc>
        <w:tc>
          <w:tcPr>
            <w:tcW w:type="dxa" w:w="1814"/>
          </w:tcPr>
          <w:p>
            <w:pPr>
              <w:spacing w:line="240" w:lineRule="auto" w:after="0" w:before="0"/>
            </w:pPr>
            <w:r/>
            <w:r>
              <w:rPr>
                <w:sz w:val="16"/>
              </w:rPr>
              <w:t>-4.8</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0.20</w:t>
            </w:r>
          </w:p>
        </w:tc>
        <w:tc>
          <w:tcPr>
            <w:tcW w:type="dxa" w:w="1814"/>
          </w:tcPr>
          <w:p>
            <w:pPr>
              <w:spacing w:line="240" w:lineRule="auto" w:after="0" w:before="0"/>
            </w:pPr>
            <w:r/>
            <w:r>
              <w:rPr>
                <w:sz w:val="16"/>
              </w:rPr>
              <w:t>-4.5</w:t>
            </w:r>
          </w:p>
        </w:tc>
        <w:tc>
          <w:tcPr>
            <w:tcW w:type="dxa" w:w="1814"/>
          </w:tcPr>
          <w:p>
            <w:pPr>
              <w:spacing w:line="240" w:lineRule="auto" w:after="0" w:before="0"/>
            </w:pPr>
            <w:r/>
            <w:r>
              <w:rPr>
                <w:sz w:val="16"/>
              </w:rPr>
              <w:t>1.6</w:t>
            </w:r>
          </w:p>
        </w:tc>
        <w:tc>
          <w:tcPr>
            <w:tcW w:type="dxa" w:w="1814"/>
          </w:tcPr>
          <w:p>
            <w:pPr>
              <w:spacing w:line="240" w:lineRule="auto" w:after="0" w:before="0"/>
            </w:pPr>
            <w:r/>
            <w:r>
              <w:rPr>
                <w:sz w:val="16"/>
              </w:rPr>
              <w:t>-11.3</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0.25</w:t>
            </w:r>
          </w:p>
        </w:tc>
        <w:tc>
          <w:tcPr>
            <w:tcW w:type="dxa" w:w="1814"/>
          </w:tcPr>
          <w:p>
            <w:pPr>
              <w:spacing w:line="240" w:lineRule="auto" w:after="0" w:before="0"/>
            </w:pPr>
            <w:r/>
            <w:r>
              <w:rPr>
                <w:sz w:val="16"/>
              </w:rPr>
              <w:t>-8.4</w:t>
            </w:r>
          </w:p>
        </w:tc>
        <w:tc>
          <w:tcPr>
            <w:tcW w:type="dxa" w:w="1814"/>
          </w:tcPr>
          <w:p>
            <w:pPr>
              <w:spacing w:line="240" w:lineRule="auto" w:after="0" w:before="0"/>
            </w:pPr>
            <w:r/>
            <w:r>
              <w:rPr>
                <w:sz w:val="16"/>
              </w:rPr>
              <w:t>0.6</w:t>
            </w:r>
          </w:p>
        </w:tc>
        <w:tc>
          <w:tcPr>
            <w:tcW w:type="dxa" w:w="1814"/>
          </w:tcPr>
          <w:p>
            <w:pPr>
              <w:spacing w:line="240" w:lineRule="auto" w:after="0" w:before="0"/>
            </w:pPr>
            <w:r/>
            <w:r>
              <w:rPr>
                <w:sz w:val="16"/>
              </w:rPr>
              <w:t>-18.7</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0.30</w:t>
            </w:r>
          </w:p>
        </w:tc>
        <w:tc>
          <w:tcPr>
            <w:tcW w:type="dxa" w:w="1814"/>
          </w:tcPr>
          <w:p>
            <w:pPr>
              <w:spacing w:line="240" w:lineRule="auto" w:after="0" w:before="0"/>
            </w:pPr>
            <w:r/>
            <w:r>
              <w:rPr>
                <w:sz w:val="16"/>
              </w:rPr>
              <w:t>-10.7</w:t>
            </w:r>
          </w:p>
        </w:tc>
        <w:tc>
          <w:tcPr>
            <w:tcW w:type="dxa" w:w="1814"/>
          </w:tcPr>
          <w:p>
            <w:pPr>
              <w:spacing w:line="240" w:lineRule="auto" w:after="0" w:before="0"/>
            </w:pPr>
            <w:r/>
            <w:r>
              <w:rPr>
                <w:sz w:val="16"/>
              </w:rPr>
              <w:t>-0.2</w:t>
            </w:r>
          </w:p>
        </w:tc>
        <w:tc>
          <w:tcPr>
            <w:tcW w:type="dxa" w:w="1814"/>
          </w:tcPr>
          <w:p>
            <w:pPr>
              <w:spacing w:line="240" w:lineRule="auto" w:after="0" w:before="0"/>
            </w:pPr>
            <w:r/>
            <w:r>
              <w:rPr>
                <w:sz w:val="16"/>
              </w:rPr>
              <w:t>-27.2</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0.40</w:t>
            </w:r>
          </w:p>
        </w:tc>
        <w:tc>
          <w:tcPr>
            <w:tcW w:type="dxa" w:w="1814"/>
          </w:tcPr>
          <w:p>
            <w:pPr>
              <w:spacing w:line="240" w:lineRule="auto" w:after="0" w:before="0"/>
            </w:pPr>
            <w:r/>
            <w:r>
              <w:rPr>
                <w:sz w:val="16"/>
              </w:rPr>
              <w:t>-12.2</w:t>
            </w:r>
          </w:p>
        </w:tc>
        <w:tc>
          <w:tcPr>
            <w:tcW w:type="dxa" w:w="1814"/>
          </w:tcPr>
          <w:p>
            <w:pPr>
              <w:spacing w:line="240" w:lineRule="auto" w:after="0" w:before="0"/>
            </w:pPr>
            <w:r/>
            <w:r>
              <w:rPr>
                <w:sz w:val="16"/>
              </w:rPr>
              <w:t>0.0</w:t>
            </w:r>
          </w:p>
        </w:tc>
        <w:tc>
          <w:tcPr>
            <w:tcW w:type="dxa" w:w="1814"/>
          </w:tcPr>
          <w:p>
            <w:pPr>
              <w:spacing w:line="240" w:lineRule="auto" w:after="0" w:before="0"/>
            </w:pPr>
            <w:r/>
            <w:r>
              <w:rPr>
                <w:sz w:val="16"/>
              </w:rPr>
              <w:t>-48.4</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0.50</w:t>
            </w:r>
          </w:p>
        </w:tc>
        <w:tc>
          <w:tcPr>
            <w:tcW w:type="dxa" w:w="1814"/>
          </w:tcPr>
          <w:p>
            <w:pPr>
              <w:spacing w:line="240" w:lineRule="auto" w:after="0" w:before="0"/>
            </w:pPr>
            <w:r/>
            <w:r>
              <w:rPr>
                <w:sz w:val="16"/>
              </w:rPr>
              <w:t>-5.7</w:t>
            </w:r>
          </w:p>
        </w:tc>
        <w:tc>
          <w:tcPr>
            <w:tcW w:type="dxa" w:w="1814"/>
          </w:tcPr>
          <w:p>
            <w:pPr>
              <w:spacing w:line="240" w:lineRule="auto" w:after="0" w:before="0"/>
            </w:pPr>
            <w:r/>
            <w:r>
              <w:rPr>
                <w:sz w:val="16"/>
              </w:rPr>
              <w:t>0.0</w:t>
            </w:r>
          </w:p>
        </w:tc>
        <w:tc>
          <w:tcPr>
            <w:tcW w:type="dxa" w:w="1814"/>
          </w:tcPr>
          <w:p>
            <w:pPr>
              <w:spacing w:line="240" w:lineRule="auto" w:after="0" w:before="0"/>
            </w:pPr>
            <w:r/>
            <w:r>
              <w:rPr>
                <w:sz w:val="16"/>
              </w:rPr>
              <w:t>-78.1</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0.60</w:t>
            </w:r>
          </w:p>
        </w:tc>
        <w:tc>
          <w:tcPr>
            <w:tcW w:type="dxa" w:w="1814"/>
          </w:tcPr>
          <w:p>
            <w:pPr>
              <w:spacing w:line="240" w:lineRule="auto" w:after="0" w:before="0"/>
            </w:pPr>
            <w:r/>
            <w:r>
              <w:rPr>
                <w:sz w:val="16"/>
              </w:rPr>
              <w:t>-8.5</w:t>
            </w:r>
          </w:p>
        </w:tc>
        <w:tc>
          <w:tcPr>
            <w:tcW w:type="dxa" w:w="1814"/>
          </w:tcPr>
          <w:p>
            <w:pPr>
              <w:spacing w:line="240" w:lineRule="auto" w:after="0" w:before="0"/>
            </w:pPr>
            <w:r/>
            <w:r>
              <w:rPr>
                <w:sz w:val="16"/>
              </w:rPr>
              <w:t>-0.1</w:t>
            </w:r>
          </w:p>
        </w:tc>
        <w:tc>
          <w:tcPr>
            <w:tcW w:type="dxa" w:w="1814"/>
          </w:tcPr>
          <w:p>
            <w:pPr>
              <w:spacing w:line="240" w:lineRule="auto" w:after="0" w:before="0"/>
            </w:pPr>
            <w:r/>
            <w:r>
              <w:rPr>
                <w:sz w:val="16"/>
              </w:rPr>
              <w:t>-122.6</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0.70</w:t>
            </w:r>
          </w:p>
        </w:tc>
        <w:tc>
          <w:tcPr>
            <w:tcW w:type="dxa" w:w="1814"/>
          </w:tcPr>
          <w:p>
            <w:pPr>
              <w:spacing w:line="240" w:lineRule="auto" w:after="0" w:before="0"/>
            </w:pPr>
            <w:r/>
            <w:r>
              <w:rPr>
                <w:sz w:val="16"/>
              </w:rPr>
              <w:t>-3.7</w:t>
            </w:r>
          </w:p>
        </w:tc>
        <w:tc>
          <w:tcPr>
            <w:tcW w:type="dxa" w:w="1814"/>
          </w:tcPr>
          <w:p>
            <w:pPr>
              <w:spacing w:line="240" w:lineRule="auto" w:after="0" w:before="0"/>
            </w:pPr>
            <w:r/>
            <w:r>
              <w:rPr>
                <w:sz w:val="16"/>
              </w:rPr>
              <w:t>-0.1</w:t>
            </w:r>
          </w:p>
        </w:tc>
        <w:tc>
          <w:tcPr>
            <w:tcW w:type="dxa" w:w="1814"/>
          </w:tcPr>
          <w:p>
            <w:pPr>
              <w:spacing w:line="240" w:lineRule="auto" w:after="0" w:before="0"/>
            </w:pPr>
            <w:r/>
            <w:r>
              <w:rPr>
                <w:sz w:val="16"/>
              </w:rPr>
              <w:t>-196.8</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0.80</w:t>
            </w:r>
          </w:p>
        </w:tc>
        <w:tc>
          <w:tcPr>
            <w:tcW w:type="dxa" w:w="1814"/>
          </w:tcPr>
          <w:p>
            <w:pPr>
              <w:spacing w:line="240" w:lineRule="auto" w:after="0" w:before="0"/>
            </w:pPr>
            <w:r/>
            <w:r>
              <w:rPr>
                <w:sz w:val="16"/>
              </w:rPr>
              <w:t>-0.1</w:t>
            </w:r>
          </w:p>
        </w:tc>
        <w:tc>
          <w:tcPr>
            <w:tcW w:type="dxa" w:w="1814"/>
          </w:tcPr>
          <w:p>
            <w:pPr>
              <w:spacing w:line="240" w:lineRule="auto" w:after="0" w:before="0"/>
            </w:pPr>
            <w:r/>
            <w:r>
              <w:rPr>
                <w:sz w:val="16"/>
              </w:rPr>
              <w:t>-0.2</w:t>
            </w:r>
          </w:p>
        </w:tc>
        <w:tc>
          <w:tcPr>
            <w:tcW w:type="dxa" w:w="1814"/>
          </w:tcPr>
          <w:p>
            <w:pPr>
              <w:spacing w:line="240" w:lineRule="auto" w:after="0" w:before="0"/>
            </w:pPr>
            <w:r/>
            <w:r>
              <w:rPr>
                <w:sz w:val="16"/>
              </w:rPr>
              <w:t>-345.3</w:t>
            </w:r>
          </w:p>
        </w:tc>
        <w:tc>
          <w:tcPr>
            <w:tcW w:type="dxa" w:w="1814"/>
          </w:tcPr>
          <w:p>
            <w:pPr>
              <w:spacing w:line="240" w:lineRule="auto" w:after="0" w:before="0"/>
            </w:pPr>
            <w:r/>
            <w:r>
              <w:rPr>
                <w:sz w:val="16"/>
              </w:rPr>
              <w:t>0.0</w:t>
            </w:r>
          </w:p>
        </w:tc>
      </w:tr>
    </w:tbl>
    <w:p/>
    <w:tbl>
      <w:tblPr>
        <w:tblStyle w:val="TableGrid"/>
        <w:tblW w:type="auto" w:w="0"/>
        <w:jc w:val="center"/>
        <w:tblLook w:firstColumn="1" w:firstRow="1" w:lastColumn="0" w:lastRow="0" w:noHBand="0" w:noVBand="1" w:val="04A0"/>
      </w:tblPr>
      <w:tblGrid>
        <w:gridCol w:w="1814"/>
        <w:gridCol w:w="1814"/>
        <w:gridCol w:w="1814"/>
        <w:gridCol w:w="1814"/>
        <w:gridCol w:w="1814"/>
      </w:tblGrid>
      <w:tr>
        <w:trPr>
          <w:cantSplit/>
          <w:tblHeader/>
        </w:trPr>
        <w:tc>
          <w:tcPr>
            <w:tcW w:type="dxa" w:w="1814"/>
            <w:shd w:val="clear" w:fill="F2F2F2"/>
          </w:tcPr>
          <w:p>
            <w:pPr>
              <w:spacing w:line="240" w:lineRule="auto" w:after="0" w:before="0"/>
            </w:pPr>
            <w:r>
              <w:rPr>
                <w:b/>
              </w:rPr>
            </w:r>
            <w:r>
              <w:rPr>
                <w:b/>
                <w:sz w:val="16"/>
              </w:rPr>
              <w:t>threshold</w:t>
            </w:r>
          </w:p>
        </w:tc>
        <w:tc>
          <w:tcPr>
            <w:tcW w:type="dxa" w:w="1814"/>
            <w:shd w:val="clear" w:fill="F2F2F2"/>
          </w:tcPr>
          <w:p>
            <w:pPr>
              <w:spacing w:line="240" w:lineRule="auto" w:after="0" w:before="0"/>
            </w:pPr>
            <w:r>
              <w:rPr>
                <w:b/>
              </w:rPr>
            </w:r>
            <w:r>
              <w:rPr>
                <w:b/>
                <w:sz w:val="16"/>
              </w:rPr>
              <w:t>NB raw</w:t>
            </w:r>
          </w:p>
        </w:tc>
        <w:tc>
          <w:tcPr>
            <w:tcW w:type="dxa" w:w="1814"/>
            <w:shd w:val="clear" w:fill="F2F2F2"/>
          </w:tcPr>
          <w:p>
            <w:pPr>
              <w:spacing w:line="240" w:lineRule="auto" w:after="0" w:before="0"/>
            </w:pPr>
            <w:r>
              <w:rPr>
                <w:b/>
              </w:rPr>
            </w:r>
            <w:r>
              <w:rPr>
                <w:b/>
                <w:sz w:val="16"/>
              </w:rPr>
              <w:t>NB isotonic</w:t>
            </w:r>
          </w:p>
        </w:tc>
        <w:tc>
          <w:tcPr>
            <w:tcW w:type="dxa" w:w="1814"/>
            <w:shd w:val="clear" w:fill="F2F2F2"/>
          </w:tcPr>
          <w:p>
            <w:pPr>
              <w:spacing w:line="240" w:lineRule="auto" w:after="0" w:before="0"/>
            </w:pPr>
            <w:r>
              <w:rPr>
                <w:b/>
              </w:rPr>
            </w:r>
            <w:r>
              <w:rPr>
                <w:b/>
                <w:sz w:val="16"/>
              </w:rPr>
              <w:t>NB treat-all</w:t>
            </w:r>
          </w:p>
        </w:tc>
        <w:tc>
          <w:tcPr>
            <w:tcW w:type="dxa" w:w="1814"/>
            <w:shd w:val="clear" w:fill="F2F2F2"/>
          </w:tcPr>
          <w:p>
            <w:pPr>
              <w:spacing w:line="240" w:lineRule="auto" w:after="0" w:before="0"/>
            </w:pPr>
            <w:r>
              <w:rPr>
                <w:b/>
              </w:rPr>
            </w:r>
            <w:r>
              <w:rPr>
                <w:b/>
                <w:sz w:val="16"/>
              </w:rPr>
              <w:t>NB treat-none</w:t>
            </w:r>
          </w:p>
        </w:tc>
      </w:tr>
      <w:tr>
        <w:trPr>
          <w:cantSplit/>
        </w:trPr>
        <w:tc>
          <w:tcPr>
            <w:tcW w:type="dxa" w:w="1814"/>
          </w:tcPr>
          <w:p>
            <w:pPr>
              <w:spacing w:line="240" w:lineRule="auto" w:after="0" w:before="0"/>
            </w:pPr>
            <w:r/>
            <w:r>
              <w:rPr>
                <w:sz w:val="16"/>
              </w:rPr>
              <w:t>0.05</w:t>
            </w:r>
          </w:p>
        </w:tc>
        <w:tc>
          <w:tcPr>
            <w:tcW w:type="dxa" w:w="1814"/>
          </w:tcPr>
          <w:p>
            <w:pPr>
              <w:spacing w:line="240" w:lineRule="auto" w:after="0" w:before="0"/>
            </w:pPr>
            <w:r/>
            <w:r>
              <w:rPr>
                <w:sz w:val="16"/>
              </w:rPr>
              <w:t>6.2</w:t>
            </w:r>
          </w:p>
        </w:tc>
        <w:tc>
          <w:tcPr>
            <w:tcW w:type="dxa" w:w="1814"/>
          </w:tcPr>
          <w:p>
            <w:pPr>
              <w:spacing w:line="240" w:lineRule="auto" w:after="0" w:before="0"/>
            </w:pPr>
            <w:r/>
            <w:r>
              <w:rPr>
                <w:sz w:val="16"/>
              </w:rPr>
              <w:t>6.5</w:t>
            </w:r>
          </w:p>
        </w:tc>
        <w:tc>
          <w:tcPr>
            <w:tcW w:type="dxa" w:w="1814"/>
          </w:tcPr>
          <w:p>
            <w:pPr>
              <w:spacing w:line="240" w:lineRule="auto" w:after="0" w:before="0"/>
            </w:pPr>
            <w:r/>
            <w:r>
              <w:rPr>
                <w:sz w:val="16"/>
              </w:rPr>
              <w:t>4.9</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0.10</w:t>
            </w:r>
          </w:p>
        </w:tc>
        <w:tc>
          <w:tcPr>
            <w:tcW w:type="dxa" w:w="1814"/>
          </w:tcPr>
          <w:p>
            <w:pPr>
              <w:spacing w:line="240" w:lineRule="auto" w:after="0" w:before="0"/>
            </w:pPr>
            <w:r/>
            <w:r>
              <w:rPr>
                <w:sz w:val="16"/>
              </w:rPr>
              <w:t>3.4</w:t>
            </w:r>
          </w:p>
        </w:tc>
        <w:tc>
          <w:tcPr>
            <w:tcW w:type="dxa" w:w="1814"/>
          </w:tcPr>
          <w:p>
            <w:pPr>
              <w:spacing w:line="240" w:lineRule="auto" w:after="0" w:before="0"/>
            </w:pPr>
            <w:r/>
            <w:r>
              <w:rPr>
                <w:sz w:val="16"/>
              </w:rPr>
              <w:t>5.0</w:t>
            </w:r>
          </w:p>
        </w:tc>
        <w:tc>
          <w:tcPr>
            <w:tcW w:type="dxa" w:w="1814"/>
          </w:tcPr>
          <w:p>
            <w:pPr>
              <w:spacing w:line="240" w:lineRule="auto" w:after="0" w:before="0"/>
            </w:pPr>
            <w:r/>
            <w:r>
              <w:rPr>
                <w:sz w:val="16"/>
              </w:rPr>
              <w:t>-0.4</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0.15</w:t>
            </w:r>
          </w:p>
        </w:tc>
        <w:tc>
          <w:tcPr>
            <w:tcW w:type="dxa" w:w="1814"/>
          </w:tcPr>
          <w:p>
            <w:pPr>
              <w:spacing w:line="240" w:lineRule="auto" w:after="0" w:before="0"/>
            </w:pPr>
            <w:r/>
            <w:r>
              <w:rPr>
                <w:sz w:val="16"/>
              </w:rPr>
              <w:t>0.2</w:t>
            </w:r>
          </w:p>
        </w:tc>
        <w:tc>
          <w:tcPr>
            <w:tcW w:type="dxa" w:w="1814"/>
          </w:tcPr>
          <w:p>
            <w:pPr>
              <w:spacing w:line="240" w:lineRule="auto" w:after="0" w:before="0"/>
            </w:pPr>
            <w:r/>
            <w:r>
              <w:rPr>
                <w:sz w:val="16"/>
              </w:rPr>
              <w:t>3.4</w:t>
            </w:r>
          </w:p>
        </w:tc>
        <w:tc>
          <w:tcPr>
            <w:tcW w:type="dxa" w:w="1814"/>
          </w:tcPr>
          <w:p>
            <w:pPr>
              <w:spacing w:line="240" w:lineRule="auto" w:after="0" w:before="0"/>
            </w:pPr>
            <w:r/>
            <w:r>
              <w:rPr>
                <w:sz w:val="16"/>
              </w:rPr>
              <w:t>-6.3</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0.20</w:t>
            </w:r>
          </w:p>
        </w:tc>
        <w:tc>
          <w:tcPr>
            <w:tcW w:type="dxa" w:w="1814"/>
          </w:tcPr>
          <w:p>
            <w:pPr>
              <w:spacing w:line="240" w:lineRule="auto" w:after="0" w:before="0"/>
            </w:pPr>
            <w:r/>
            <w:r>
              <w:rPr>
                <w:sz w:val="16"/>
              </w:rPr>
              <w:t>-3.3</w:t>
            </w:r>
          </w:p>
        </w:tc>
        <w:tc>
          <w:tcPr>
            <w:tcW w:type="dxa" w:w="1814"/>
          </w:tcPr>
          <w:p>
            <w:pPr>
              <w:spacing w:line="240" w:lineRule="auto" w:after="0" w:before="0"/>
            </w:pPr>
            <w:r/>
            <w:r>
              <w:rPr>
                <w:sz w:val="16"/>
              </w:rPr>
              <w:t>1.6</w:t>
            </w:r>
          </w:p>
        </w:tc>
        <w:tc>
          <w:tcPr>
            <w:tcW w:type="dxa" w:w="1814"/>
          </w:tcPr>
          <w:p>
            <w:pPr>
              <w:spacing w:line="240" w:lineRule="auto" w:after="0" w:before="0"/>
            </w:pPr>
            <w:r/>
            <w:r>
              <w:rPr>
                <w:sz w:val="16"/>
              </w:rPr>
              <w:t>-13.0</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0.25</w:t>
            </w:r>
          </w:p>
        </w:tc>
        <w:tc>
          <w:tcPr>
            <w:tcW w:type="dxa" w:w="1814"/>
          </w:tcPr>
          <w:p>
            <w:pPr>
              <w:spacing w:line="240" w:lineRule="auto" w:after="0" w:before="0"/>
            </w:pPr>
            <w:r/>
            <w:r>
              <w:rPr>
                <w:sz w:val="16"/>
              </w:rPr>
              <w:t>-7.2</w:t>
            </w:r>
          </w:p>
        </w:tc>
        <w:tc>
          <w:tcPr>
            <w:tcW w:type="dxa" w:w="1814"/>
          </w:tcPr>
          <w:p>
            <w:pPr>
              <w:spacing w:line="240" w:lineRule="auto" w:after="0" w:before="0"/>
            </w:pPr>
            <w:r/>
            <w:r>
              <w:rPr>
                <w:sz w:val="16"/>
              </w:rPr>
              <w:t>0.3</w:t>
            </w:r>
          </w:p>
        </w:tc>
        <w:tc>
          <w:tcPr>
            <w:tcW w:type="dxa" w:w="1814"/>
          </w:tcPr>
          <w:p>
            <w:pPr>
              <w:spacing w:line="240" w:lineRule="auto" w:after="0" w:before="0"/>
            </w:pPr>
            <w:r/>
            <w:r>
              <w:rPr>
                <w:sz w:val="16"/>
              </w:rPr>
              <w:t>-20.5</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0.30</w:t>
            </w:r>
          </w:p>
        </w:tc>
        <w:tc>
          <w:tcPr>
            <w:tcW w:type="dxa" w:w="1814"/>
          </w:tcPr>
          <w:p>
            <w:pPr>
              <w:spacing w:line="240" w:lineRule="auto" w:after="0" w:before="0"/>
            </w:pPr>
            <w:r/>
            <w:r>
              <w:rPr>
                <w:sz w:val="16"/>
              </w:rPr>
              <w:t>-11.7</w:t>
            </w:r>
          </w:p>
        </w:tc>
        <w:tc>
          <w:tcPr>
            <w:tcW w:type="dxa" w:w="1814"/>
          </w:tcPr>
          <w:p>
            <w:pPr>
              <w:spacing w:line="240" w:lineRule="auto" w:after="0" w:before="0"/>
            </w:pPr>
            <w:r/>
            <w:r>
              <w:rPr>
                <w:sz w:val="16"/>
              </w:rPr>
              <w:t>-0.3</w:t>
            </w:r>
          </w:p>
        </w:tc>
        <w:tc>
          <w:tcPr>
            <w:tcW w:type="dxa" w:w="1814"/>
          </w:tcPr>
          <w:p>
            <w:pPr>
              <w:spacing w:line="240" w:lineRule="auto" w:after="0" w:before="0"/>
            </w:pPr>
            <w:r/>
            <w:r>
              <w:rPr>
                <w:sz w:val="16"/>
              </w:rPr>
              <w:t>-29.1</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0.40</w:t>
            </w:r>
          </w:p>
        </w:tc>
        <w:tc>
          <w:tcPr>
            <w:tcW w:type="dxa" w:w="1814"/>
          </w:tcPr>
          <w:p>
            <w:pPr>
              <w:spacing w:line="240" w:lineRule="auto" w:after="0" w:before="0"/>
            </w:pPr>
            <w:r/>
            <w:r>
              <w:rPr>
                <w:sz w:val="16"/>
              </w:rPr>
              <w:t>-22.7</w:t>
            </w:r>
          </w:p>
        </w:tc>
        <w:tc>
          <w:tcPr>
            <w:tcW w:type="dxa" w:w="1814"/>
          </w:tcPr>
          <w:p>
            <w:pPr>
              <w:spacing w:line="240" w:lineRule="auto" w:after="0" w:before="0"/>
            </w:pPr>
            <w:r/>
            <w:r>
              <w:rPr>
                <w:sz w:val="16"/>
              </w:rPr>
              <w:t>0.0</w:t>
            </w:r>
          </w:p>
        </w:tc>
        <w:tc>
          <w:tcPr>
            <w:tcW w:type="dxa" w:w="1814"/>
          </w:tcPr>
          <w:p>
            <w:pPr>
              <w:spacing w:line="240" w:lineRule="auto" w:after="0" w:before="0"/>
            </w:pPr>
            <w:r/>
            <w:r>
              <w:rPr>
                <w:sz w:val="16"/>
              </w:rPr>
              <w:t>-50.6</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0.50</w:t>
            </w:r>
          </w:p>
        </w:tc>
        <w:tc>
          <w:tcPr>
            <w:tcW w:type="dxa" w:w="1814"/>
          </w:tcPr>
          <w:p>
            <w:pPr>
              <w:spacing w:line="240" w:lineRule="auto" w:after="0" w:before="0"/>
            </w:pPr>
            <w:r/>
            <w:r>
              <w:rPr>
                <w:sz w:val="16"/>
              </w:rPr>
              <w:t>-18.1</w:t>
            </w:r>
          </w:p>
        </w:tc>
        <w:tc>
          <w:tcPr>
            <w:tcW w:type="dxa" w:w="1814"/>
          </w:tcPr>
          <w:p>
            <w:pPr>
              <w:spacing w:line="240" w:lineRule="auto" w:after="0" w:before="0"/>
            </w:pPr>
            <w:r/>
            <w:r>
              <w:rPr>
                <w:sz w:val="16"/>
              </w:rPr>
              <w:t>0.0</w:t>
            </w:r>
          </w:p>
        </w:tc>
        <w:tc>
          <w:tcPr>
            <w:tcW w:type="dxa" w:w="1814"/>
          </w:tcPr>
          <w:p>
            <w:pPr>
              <w:spacing w:line="240" w:lineRule="auto" w:after="0" w:before="0"/>
            </w:pPr>
            <w:r/>
            <w:r>
              <w:rPr>
                <w:sz w:val="16"/>
              </w:rPr>
              <w:t>-80.8</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0.60</w:t>
            </w:r>
          </w:p>
        </w:tc>
        <w:tc>
          <w:tcPr>
            <w:tcW w:type="dxa" w:w="1814"/>
          </w:tcPr>
          <w:p>
            <w:pPr>
              <w:spacing w:line="240" w:lineRule="auto" w:after="0" w:before="0"/>
            </w:pPr>
            <w:r/>
            <w:r>
              <w:rPr>
                <w:sz w:val="16"/>
              </w:rPr>
              <w:t>-27.4</w:t>
            </w:r>
          </w:p>
        </w:tc>
        <w:tc>
          <w:tcPr>
            <w:tcW w:type="dxa" w:w="1814"/>
          </w:tcPr>
          <w:p>
            <w:pPr>
              <w:spacing w:line="240" w:lineRule="auto" w:after="0" w:before="0"/>
            </w:pPr>
            <w:r/>
            <w:r>
              <w:rPr>
                <w:sz w:val="16"/>
              </w:rPr>
              <w:t>-0.1</w:t>
            </w:r>
          </w:p>
        </w:tc>
        <w:tc>
          <w:tcPr>
            <w:tcW w:type="dxa" w:w="1814"/>
          </w:tcPr>
          <w:p>
            <w:pPr>
              <w:spacing w:line="240" w:lineRule="auto" w:after="0" w:before="0"/>
            </w:pPr>
            <w:r/>
            <w:r>
              <w:rPr>
                <w:sz w:val="16"/>
              </w:rPr>
              <w:t>-125.9</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0.70</w:t>
            </w:r>
          </w:p>
        </w:tc>
        <w:tc>
          <w:tcPr>
            <w:tcW w:type="dxa" w:w="1814"/>
          </w:tcPr>
          <w:p>
            <w:pPr>
              <w:spacing w:line="240" w:lineRule="auto" w:after="0" w:before="0"/>
            </w:pPr>
            <w:r/>
            <w:r>
              <w:rPr>
                <w:sz w:val="16"/>
              </w:rPr>
              <w:t>-38.0</w:t>
            </w:r>
          </w:p>
        </w:tc>
        <w:tc>
          <w:tcPr>
            <w:tcW w:type="dxa" w:w="1814"/>
          </w:tcPr>
          <w:p>
            <w:pPr>
              <w:spacing w:line="240" w:lineRule="auto" w:after="0" w:before="0"/>
            </w:pPr>
            <w:r/>
            <w:r>
              <w:rPr>
                <w:sz w:val="16"/>
              </w:rPr>
              <w:t>0.0</w:t>
            </w:r>
          </w:p>
        </w:tc>
        <w:tc>
          <w:tcPr>
            <w:tcW w:type="dxa" w:w="1814"/>
          </w:tcPr>
          <w:p>
            <w:pPr>
              <w:spacing w:line="240" w:lineRule="auto" w:after="0" w:before="0"/>
            </w:pPr>
            <w:r/>
            <w:r>
              <w:rPr>
                <w:sz w:val="16"/>
              </w:rPr>
              <w:t>-201.3</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0.80</w:t>
            </w:r>
          </w:p>
        </w:tc>
        <w:tc>
          <w:tcPr>
            <w:tcW w:type="dxa" w:w="1814"/>
          </w:tcPr>
          <w:p>
            <w:pPr>
              <w:spacing w:line="240" w:lineRule="auto" w:after="0" w:before="0"/>
            </w:pPr>
            <w:r/>
            <w:r>
              <w:rPr>
                <w:sz w:val="16"/>
              </w:rPr>
              <w:t>-13.7</w:t>
            </w:r>
          </w:p>
        </w:tc>
        <w:tc>
          <w:tcPr>
            <w:tcW w:type="dxa" w:w="1814"/>
          </w:tcPr>
          <w:p>
            <w:pPr>
              <w:spacing w:line="240" w:lineRule="auto" w:after="0" w:before="0"/>
            </w:pPr>
            <w:r/>
            <w:r>
              <w:rPr>
                <w:sz w:val="16"/>
              </w:rPr>
              <w:t>0.0</w:t>
            </w:r>
          </w:p>
        </w:tc>
        <w:tc>
          <w:tcPr>
            <w:tcW w:type="dxa" w:w="1814"/>
          </w:tcPr>
          <w:p>
            <w:pPr>
              <w:spacing w:line="240" w:lineRule="auto" w:after="0" w:before="0"/>
            </w:pPr>
            <w:r/>
            <w:r>
              <w:rPr>
                <w:sz w:val="16"/>
              </w:rPr>
              <w:t>-351.9</w:t>
            </w:r>
          </w:p>
        </w:tc>
        <w:tc>
          <w:tcPr>
            <w:tcW w:type="dxa" w:w="1814"/>
          </w:tcPr>
          <w:p>
            <w:pPr>
              <w:spacing w:line="240" w:lineRule="auto" w:after="0" w:before="0"/>
            </w:pPr>
            <w:r/>
            <w:r>
              <w:rPr>
                <w:sz w:val="16"/>
              </w:rPr>
              <w:t>0.0</w:t>
            </w:r>
          </w:p>
        </w:tc>
      </w:tr>
    </w:tbl>
    <w:p/>
    <w:tbl>
      <w:tblPr>
        <w:tblStyle w:val="TableGrid"/>
        <w:tblW w:type="auto" w:w="0"/>
        <w:jc w:val="center"/>
        <w:tblLook w:firstColumn="1" w:firstRow="1" w:lastColumn="0" w:lastRow="0" w:noHBand="0" w:noVBand="1" w:val="04A0"/>
      </w:tblPr>
      <w:tblGrid>
        <w:gridCol w:w="1814"/>
        <w:gridCol w:w="1814"/>
        <w:gridCol w:w="1814"/>
        <w:gridCol w:w="1814"/>
        <w:gridCol w:w="1814"/>
      </w:tblGrid>
      <w:tr>
        <w:trPr>
          <w:cantSplit/>
          <w:tblHeader/>
        </w:trPr>
        <w:tc>
          <w:tcPr>
            <w:tcW w:type="dxa" w:w="1814"/>
            <w:shd w:val="clear" w:fill="F2F2F2"/>
          </w:tcPr>
          <w:p>
            <w:pPr>
              <w:spacing w:line="240" w:lineRule="auto" w:after="0" w:before="0"/>
            </w:pPr>
            <w:r>
              <w:rPr>
                <w:b/>
              </w:rPr>
            </w:r>
            <w:r>
              <w:rPr>
                <w:b/>
                <w:sz w:val="16"/>
              </w:rPr>
              <w:t>threshold</w:t>
            </w:r>
          </w:p>
        </w:tc>
        <w:tc>
          <w:tcPr>
            <w:tcW w:type="dxa" w:w="1814"/>
            <w:shd w:val="clear" w:fill="F2F2F2"/>
          </w:tcPr>
          <w:p>
            <w:pPr>
              <w:spacing w:line="240" w:lineRule="auto" w:after="0" w:before="0"/>
            </w:pPr>
            <w:r>
              <w:rPr>
                <w:b/>
              </w:rPr>
            </w:r>
            <w:r>
              <w:rPr>
                <w:b/>
                <w:sz w:val="16"/>
              </w:rPr>
              <w:t>NB raw</w:t>
            </w:r>
          </w:p>
        </w:tc>
        <w:tc>
          <w:tcPr>
            <w:tcW w:type="dxa" w:w="1814"/>
            <w:shd w:val="clear" w:fill="F2F2F2"/>
          </w:tcPr>
          <w:p>
            <w:pPr>
              <w:spacing w:line="240" w:lineRule="auto" w:after="0" w:before="0"/>
            </w:pPr>
            <w:r>
              <w:rPr>
                <w:b/>
              </w:rPr>
            </w:r>
            <w:r>
              <w:rPr>
                <w:b/>
                <w:sz w:val="16"/>
              </w:rPr>
              <w:t>NB isotonic</w:t>
            </w:r>
          </w:p>
        </w:tc>
        <w:tc>
          <w:tcPr>
            <w:tcW w:type="dxa" w:w="1814"/>
            <w:shd w:val="clear" w:fill="F2F2F2"/>
          </w:tcPr>
          <w:p>
            <w:pPr>
              <w:spacing w:line="240" w:lineRule="auto" w:after="0" w:before="0"/>
            </w:pPr>
            <w:r>
              <w:rPr>
                <w:b/>
              </w:rPr>
            </w:r>
            <w:r>
              <w:rPr>
                <w:b/>
                <w:sz w:val="16"/>
              </w:rPr>
              <w:t>NB treat-all</w:t>
            </w:r>
          </w:p>
        </w:tc>
        <w:tc>
          <w:tcPr>
            <w:tcW w:type="dxa" w:w="1814"/>
            <w:shd w:val="clear" w:fill="F2F2F2"/>
          </w:tcPr>
          <w:p>
            <w:pPr>
              <w:spacing w:line="240" w:lineRule="auto" w:after="0" w:before="0"/>
            </w:pPr>
            <w:r>
              <w:rPr>
                <w:b/>
              </w:rPr>
            </w:r>
            <w:r>
              <w:rPr>
                <w:b/>
                <w:sz w:val="16"/>
              </w:rPr>
              <w:t>NB treat-none</w:t>
            </w:r>
          </w:p>
        </w:tc>
      </w:tr>
      <w:tr>
        <w:trPr>
          <w:cantSplit/>
        </w:trPr>
        <w:tc>
          <w:tcPr>
            <w:tcW w:type="dxa" w:w="1814"/>
          </w:tcPr>
          <w:p>
            <w:pPr>
              <w:spacing w:line="240" w:lineRule="auto" w:after="0" w:before="0"/>
            </w:pPr>
            <w:r/>
            <w:r>
              <w:rPr>
                <w:sz w:val="16"/>
              </w:rPr>
              <w:t>0.05</w:t>
            </w:r>
          </w:p>
        </w:tc>
        <w:tc>
          <w:tcPr>
            <w:tcW w:type="dxa" w:w="1814"/>
          </w:tcPr>
          <w:p>
            <w:pPr>
              <w:spacing w:line="240" w:lineRule="auto" w:after="0" w:before="0"/>
            </w:pPr>
            <w:r/>
            <w:r>
              <w:rPr>
                <w:sz w:val="16"/>
              </w:rPr>
              <w:t>3.2</w:t>
            </w:r>
          </w:p>
        </w:tc>
        <w:tc>
          <w:tcPr>
            <w:tcW w:type="dxa" w:w="1814"/>
          </w:tcPr>
          <w:p>
            <w:pPr>
              <w:spacing w:line="240" w:lineRule="auto" w:after="0" w:before="0"/>
            </w:pPr>
            <w:r/>
            <w:r>
              <w:rPr>
                <w:sz w:val="16"/>
              </w:rPr>
              <w:t>3.3</w:t>
            </w:r>
          </w:p>
        </w:tc>
        <w:tc>
          <w:tcPr>
            <w:tcW w:type="dxa" w:w="1814"/>
          </w:tcPr>
          <w:p>
            <w:pPr>
              <w:spacing w:line="240" w:lineRule="auto" w:after="0" w:before="0"/>
            </w:pPr>
            <w:r/>
            <w:r>
              <w:rPr>
                <w:sz w:val="16"/>
              </w:rPr>
              <w:t>1.7</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0.10</w:t>
            </w:r>
          </w:p>
        </w:tc>
        <w:tc>
          <w:tcPr>
            <w:tcW w:type="dxa" w:w="1814"/>
          </w:tcPr>
          <w:p>
            <w:pPr>
              <w:spacing w:line="240" w:lineRule="auto" w:after="0" w:before="0"/>
            </w:pPr>
            <w:r/>
            <w:r>
              <w:rPr>
                <w:sz w:val="16"/>
              </w:rPr>
              <w:t>-0.2</w:t>
            </w:r>
          </w:p>
        </w:tc>
        <w:tc>
          <w:tcPr>
            <w:tcW w:type="dxa" w:w="1814"/>
          </w:tcPr>
          <w:p>
            <w:pPr>
              <w:spacing w:line="240" w:lineRule="auto" w:after="0" w:before="0"/>
            </w:pPr>
            <w:r/>
            <w:r>
              <w:rPr>
                <w:sz w:val="16"/>
              </w:rPr>
              <w:t>1.8</w:t>
            </w:r>
          </w:p>
        </w:tc>
        <w:tc>
          <w:tcPr>
            <w:tcW w:type="dxa" w:w="1814"/>
          </w:tcPr>
          <w:p>
            <w:pPr>
              <w:spacing w:line="240" w:lineRule="auto" w:after="0" w:before="0"/>
            </w:pPr>
            <w:r/>
            <w:r>
              <w:rPr>
                <w:sz w:val="16"/>
              </w:rPr>
              <w:t>-3.7</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0.15</w:t>
            </w:r>
          </w:p>
        </w:tc>
        <w:tc>
          <w:tcPr>
            <w:tcW w:type="dxa" w:w="1814"/>
          </w:tcPr>
          <w:p>
            <w:pPr>
              <w:spacing w:line="240" w:lineRule="auto" w:after="0" w:before="0"/>
            </w:pPr>
            <w:r/>
            <w:r>
              <w:rPr>
                <w:sz w:val="16"/>
              </w:rPr>
              <w:t>-4.1</w:t>
            </w:r>
          </w:p>
        </w:tc>
        <w:tc>
          <w:tcPr>
            <w:tcW w:type="dxa" w:w="1814"/>
          </w:tcPr>
          <w:p>
            <w:pPr>
              <w:spacing w:line="240" w:lineRule="auto" w:after="0" w:before="0"/>
            </w:pPr>
            <w:r/>
            <w:r>
              <w:rPr>
                <w:sz w:val="16"/>
              </w:rPr>
              <w:t>1.5</w:t>
            </w:r>
          </w:p>
        </w:tc>
        <w:tc>
          <w:tcPr>
            <w:tcW w:type="dxa" w:w="1814"/>
          </w:tcPr>
          <w:p>
            <w:pPr>
              <w:spacing w:line="240" w:lineRule="auto" w:after="0" w:before="0"/>
            </w:pPr>
            <w:r/>
            <w:r>
              <w:rPr>
                <w:sz w:val="16"/>
              </w:rPr>
              <w:t>-9.8</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0.20</w:t>
            </w:r>
          </w:p>
        </w:tc>
        <w:tc>
          <w:tcPr>
            <w:tcW w:type="dxa" w:w="1814"/>
          </w:tcPr>
          <w:p>
            <w:pPr>
              <w:spacing w:line="240" w:lineRule="auto" w:after="0" w:before="0"/>
            </w:pPr>
            <w:r/>
            <w:r>
              <w:rPr>
                <w:sz w:val="16"/>
              </w:rPr>
              <w:t>-8.3</w:t>
            </w:r>
          </w:p>
        </w:tc>
        <w:tc>
          <w:tcPr>
            <w:tcW w:type="dxa" w:w="1814"/>
          </w:tcPr>
          <w:p>
            <w:pPr>
              <w:spacing w:line="240" w:lineRule="auto" w:after="0" w:before="0"/>
            </w:pPr>
            <w:r/>
            <w:r>
              <w:rPr>
                <w:sz w:val="16"/>
              </w:rPr>
              <w:t>0.6</w:t>
            </w:r>
          </w:p>
        </w:tc>
        <w:tc>
          <w:tcPr>
            <w:tcW w:type="dxa" w:w="1814"/>
          </w:tcPr>
          <w:p>
            <w:pPr>
              <w:spacing w:line="240" w:lineRule="auto" w:after="0" w:before="0"/>
            </w:pPr>
            <w:r/>
            <w:r>
              <w:rPr>
                <w:sz w:val="16"/>
              </w:rPr>
              <w:t>-16.7</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0.25</w:t>
            </w:r>
          </w:p>
        </w:tc>
        <w:tc>
          <w:tcPr>
            <w:tcW w:type="dxa" w:w="1814"/>
          </w:tcPr>
          <w:p>
            <w:pPr>
              <w:spacing w:line="240" w:lineRule="auto" w:after="0" w:before="0"/>
            </w:pPr>
            <w:r/>
            <w:r>
              <w:rPr>
                <w:sz w:val="16"/>
              </w:rPr>
              <w:t>-13.1</w:t>
            </w:r>
          </w:p>
        </w:tc>
        <w:tc>
          <w:tcPr>
            <w:tcW w:type="dxa" w:w="1814"/>
          </w:tcPr>
          <w:p>
            <w:pPr>
              <w:spacing w:line="240" w:lineRule="auto" w:after="0" w:before="0"/>
            </w:pPr>
            <w:r/>
            <w:r>
              <w:rPr>
                <w:sz w:val="16"/>
              </w:rPr>
              <w:t>0.5</w:t>
            </w:r>
          </w:p>
        </w:tc>
        <w:tc>
          <w:tcPr>
            <w:tcW w:type="dxa" w:w="1814"/>
          </w:tcPr>
          <w:p>
            <w:pPr>
              <w:spacing w:line="240" w:lineRule="auto" w:after="0" w:before="0"/>
            </w:pPr>
            <w:r/>
            <w:r>
              <w:rPr>
                <w:sz w:val="16"/>
              </w:rPr>
              <w:t>-24.5</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0.30</w:t>
            </w:r>
          </w:p>
        </w:tc>
        <w:tc>
          <w:tcPr>
            <w:tcW w:type="dxa" w:w="1814"/>
          </w:tcPr>
          <w:p>
            <w:pPr>
              <w:spacing w:line="240" w:lineRule="auto" w:after="0" w:before="0"/>
            </w:pPr>
            <w:r/>
            <w:r>
              <w:rPr>
                <w:sz w:val="16"/>
              </w:rPr>
              <w:t>-18.6</w:t>
            </w:r>
          </w:p>
        </w:tc>
        <w:tc>
          <w:tcPr>
            <w:tcW w:type="dxa" w:w="1814"/>
          </w:tcPr>
          <w:p>
            <w:pPr>
              <w:spacing w:line="240" w:lineRule="auto" w:after="0" w:before="0"/>
            </w:pPr>
            <w:r/>
            <w:r>
              <w:rPr>
                <w:sz w:val="16"/>
              </w:rPr>
              <w:t>0.4</w:t>
            </w:r>
          </w:p>
        </w:tc>
        <w:tc>
          <w:tcPr>
            <w:tcW w:type="dxa" w:w="1814"/>
          </w:tcPr>
          <w:p>
            <w:pPr>
              <w:spacing w:line="240" w:lineRule="auto" w:after="0" w:before="0"/>
            </w:pPr>
            <w:r/>
            <w:r>
              <w:rPr>
                <w:sz w:val="16"/>
              </w:rPr>
              <w:t>-33.3</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0.40</w:t>
            </w:r>
          </w:p>
        </w:tc>
        <w:tc>
          <w:tcPr>
            <w:tcW w:type="dxa" w:w="1814"/>
          </w:tcPr>
          <w:p>
            <w:pPr>
              <w:spacing w:line="240" w:lineRule="auto" w:after="0" w:before="0"/>
            </w:pPr>
            <w:r/>
            <w:r>
              <w:rPr>
                <w:sz w:val="16"/>
              </w:rPr>
              <w:t>-30.5</w:t>
            </w:r>
          </w:p>
        </w:tc>
        <w:tc>
          <w:tcPr>
            <w:tcW w:type="dxa" w:w="1814"/>
          </w:tcPr>
          <w:p>
            <w:pPr>
              <w:spacing w:line="240" w:lineRule="auto" w:after="0" w:before="0"/>
            </w:pPr>
            <w:r/>
            <w:r>
              <w:rPr>
                <w:sz w:val="16"/>
              </w:rPr>
              <w:t>0.1</w:t>
            </w:r>
          </w:p>
        </w:tc>
        <w:tc>
          <w:tcPr>
            <w:tcW w:type="dxa" w:w="1814"/>
          </w:tcPr>
          <w:p>
            <w:pPr>
              <w:spacing w:line="240" w:lineRule="auto" w:after="0" w:before="0"/>
            </w:pPr>
            <w:r/>
            <w:r>
              <w:rPr>
                <w:sz w:val="16"/>
              </w:rPr>
              <w:t>-55.6</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0.50</w:t>
            </w:r>
          </w:p>
        </w:tc>
        <w:tc>
          <w:tcPr>
            <w:tcW w:type="dxa" w:w="1814"/>
          </w:tcPr>
          <w:p>
            <w:pPr>
              <w:spacing w:line="240" w:lineRule="auto" w:after="0" w:before="0"/>
            </w:pPr>
            <w:r/>
            <w:r>
              <w:rPr>
                <w:sz w:val="16"/>
              </w:rPr>
              <w:t>-46.9</w:t>
            </w:r>
          </w:p>
        </w:tc>
        <w:tc>
          <w:tcPr>
            <w:tcW w:type="dxa" w:w="1814"/>
          </w:tcPr>
          <w:p>
            <w:pPr>
              <w:spacing w:line="240" w:lineRule="auto" w:after="0" w:before="0"/>
            </w:pPr>
            <w:r/>
            <w:r>
              <w:rPr>
                <w:sz w:val="16"/>
              </w:rPr>
              <w:t>-0.4</w:t>
            </w:r>
          </w:p>
        </w:tc>
        <w:tc>
          <w:tcPr>
            <w:tcW w:type="dxa" w:w="1814"/>
          </w:tcPr>
          <w:p>
            <w:pPr>
              <w:spacing w:line="240" w:lineRule="auto" w:after="0" w:before="0"/>
            </w:pPr>
            <w:r/>
            <w:r>
              <w:rPr>
                <w:sz w:val="16"/>
              </w:rPr>
              <w:t>-86.7</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0.60</w:t>
            </w:r>
          </w:p>
        </w:tc>
        <w:tc>
          <w:tcPr>
            <w:tcW w:type="dxa" w:w="1814"/>
          </w:tcPr>
          <w:p>
            <w:pPr>
              <w:spacing w:line="240" w:lineRule="auto" w:after="0" w:before="0"/>
            </w:pPr>
            <w:r/>
            <w:r>
              <w:rPr>
                <w:sz w:val="16"/>
              </w:rPr>
              <w:t>-45.2</w:t>
            </w:r>
          </w:p>
        </w:tc>
        <w:tc>
          <w:tcPr>
            <w:tcW w:type="dxa" w:w="1814"/>
          </w:tcPr>
          <w:p>
            <w:pPr>
              <w:spacing w:line="240" w:lineRule="auto" w:after="0" w:before="0"/>
            </w:pPr>
            <w:r/>
            <w:r>
              <w:rPr>
                <w:sz w:val="16"/>
              </w:rPr>
              <w:t>0.0</w:t>
            </w:r>
          </w:p>
        </w:tc>
        <w:tc>
          <w:tcPr>
            <w:tcW w:type="dxa" w:w="1814"/>
          </w:tcPr>
          <w:p>
            <w:pPr>
              <w:spacing w:line="240" w:lineRule="auto" w:after="0" w:before="0"/>
            </w:pPr>
            <w:r/>
            <w:r>
              <w:rPr>
                <w:sz w:val="16"/>
              </w:rPr>
              <w:t>-133.3</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0.70</w:t>
            </w:r>
          </w:p>
        </w:tc>
        <w:tc>
          <w:tcPr>
            <w:tcW w:type="dxa" w:w="1814"/>
          </w:tcPr>
          <w:p>
            <w:pPr>
              <w:spacing w:line="240" w:lineRule="auto" w:after="0" w:before="0"/>
            </w:pPr>
            <w:r/>
            <w:r>
              <w:rPr>
                <w:sz w:val="16"/>
              </w:rPr>
              <w:t>-22.5</w:t>
            </w:r>
          </w:p>
        </w:tc>
        <w:tc>
          <w:tcPr>
            <w:tcW w:type="dxa" w:w="1814"/>
          </w:tcPr>
          <w:p>
            <w:pPr>
              <w:spacing w:line="240" w:lineRule="auto" w:after="0" w:before="0"/>
            </w:pPr>
            <w:r/>
            <w:r>
              <w:rPr>
                <w:sz w:val="16"/>
              </w:rPr>
              <w:t>0.0</w:t>
            </w:r>
          </w:p>
        </w:tc>
        <w:tc>
          <w:tcPr>
            <w:tcW w:type="dxa" w:w="1814"/>
          </w:tcPr>
          <w:p>
            <w:pPr>
              <w:spacing w:line="240" w:lineRule="auto" w:after="0" w:before="0"/>
            </w:pPr>
            <w:r/>
            <w:r>
              <w:rPr>
                <w:sz w:val="16"/>
              </w:rPr>
              <w:t>-211.1</w:t>
            </w:r>
          </w:p>
        </w:tc>
        <w:tc>
          <w:tcPr>
            <w:tcW w:type="dxa" w:w="1814"/>
          </w:tcPr>
          <w:p>
            <w:pPr>
              <w:spacing w:line="240" w:lineRule="auto" w:after="0" w:before="0"/>
            </w:pPr>
            <w:r/>
            <w:r>
              <w:rPr>
                <w:sz w:val="16"/>
              </w:rPr>
              <w:t>0.0</w:t>
            </w:r>
          </w:p>
        </w:tc>
      </w:tr>
      <w:tr>
        <w:trPr>
          <w:cantSplit/>
        </w:trPr>
        <w:tc>
          <w:tcPr>
            <w:tcW w:type="dxa" w:w="1814"/>
          </w:tcPr>
          <w:p>
            <w:pPr>
              <w:spacing w:line="240" w:lineRule="auto" w:after="0" w:before="0"/>
            </w:pPr>
            <w:r/>
            <w:r>
              <w:rPr>
                <w:sz w:val="16"/>
              </w:rPr>
              <w:t>0.80</w:t>
            </w:r>
          </w:p>
        </w:tc>
        <w:tc>
          <w:tcPr>
            <w:tcW w:type="dxa" w:w="1814"/>
          </w:tcPr>
          <w:p>
            <w:pPr>
              <w:spacing w:line="240" w:lineRule="auto" w:after="0" w:before="0"/>
            </w:pPr>
            <w:r/>
            <w:r>
              <w:rPr>
                <w:sz w:val="16"/>
              </w:rPr>
              <w:t>-10.9</w:t>
            </w:r>
          </w:p>
        </w:tc>
        <w:tc>
          <w:tcPr>
            <w:tcW w:type="dxa" w:w="1814"/>
          </w:tcPr>
          <w:p>
            <w:pPr>
              <w:spacing w:line="240" w:lineRule="auto" w:after="0" w:before="0"/>
            </w:pPr>
            <w:r/>
            <w:r>
              <w:rPr>
                <w:sz w:val="16"/>
              </w:rPr>
              <w:t>0.0</w:t>
            </w:r>
          </w:p>
        </w:tc>
        <w:tc>
          <w:tcPr>
            <w:tcW w:type="dxa" w:w="1814"/>
          </w:tcPr>
          <w:p>
            <w:pPr>
              <w:spacing w:line="240" w:lineRule="auto" w:after="0" w:before="0"/>
            </w:pPr>
            <w:r/>
            <w:r>
              <w:rPr>
                <w:sz w:val="16"/>
              </w:rPr>
              <w:t>-366.7</w:t>
            </w:r>
          </w:p>
        </w:tc>
        <w:tc>
          <w:tcPr>
            <w:tcW w:type="dxa" w:w="1814"/>
          </w:tcPr>
          <w:p>
            <w:pPr>
              <w:spacing w:line="240" w:lineRule="auto" w:after="0" w:before="0"/>
            </w:pPr>
            <w:r/>
            <w:r>
              <w:rPr>
                <w:sz w:val="16"/>
              </w:rPr>
              <w:t>0.0</w:t>
            </w:r>
          </w:p>
        </w:tc>
      </w:tr>
    </w:tbl>
    <w:p/>
    <w:p>
      <w:pPr>
        <w:pStyle w:val="Heading1"/>
      </w:pPr>
      <w:r>
        <w:rPr>
          <w:rFonts w:ascii="Times New Roman" w:hAnsi="Times New Roman" w:eastAsia="Times New Roman" w:cs="Times New Roman"/>
          <w:b/>
          <w:i w:val="0"/>
          <w:color w:val="000000"/>
        </w:rPr>
        <w:t xml:space="preserve">Supplementary Table S6c — Multiplicity control (Holm, BH-FDR) and panel-size sensitivity </w:t>
      </w:r>
    </w:p>
    <w:p>
      <w:pPr>
        <w:pStyle w:val="Heading2"/>
      </w:pPr>
      <w:r>
        <w:rPr>
          <w:rFonts w:ascii="Times New Roman" w:hAnsi="Times New Roman" w:eastAsia="Times New Roman" w:cs="Times New Roman"/>
          <w:b/>
          <w:i w:val="0"/>
          <w:color w:val="000000"/>
        </w:rPr>
        <w:t>B6a Multiplicity control over per-group AUROC (H0: AUROC = 0.5; Mann–Whitney U, two-sided; Holm and BH-FDR at 0.05; label-level, exploratory)</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rPr>
          <w:cantSplit/>
          <w:tblHeader/>
        </w:trPr>
        <w:tc>
          <w:tcPr>
            <w:tcW w:type="dxa" w:w="1296"/>
            <w:shd w:val="clear" w:fill="F2F2F2"/>
          </w:tcPr>
          <w:p>
            <w:pPr>
              <w:spacing w:line="240" w:lineRule="auto" w:after="0" w:before="0"/>
            </w:pPr>
            <w:r>
              <w:rPr>
                <w:b/>
              </w:rPr>
            </w:r>
            <w:r>
              <w:rPr>
                <w:b/>
                <w:sz w:val="16"/>
              </w:rPr>
              <w:t>group</w:t>
            </w:r>
          </w:p>
        </w:tc>
        <w:tc>
          <w:tcPr>
            <w:tcW w:type="dxa" w:w="1296"/>
            <w:shd w:val="clear" w:fill="F2F2F2"/>
          </w:tcPr>
          <w:p>
            <w:pPr>
              <w:spacing w:line="240" w:lineRule="auto" w:after="0" w:before="0"/>
            </w:pPr>
            <w:r>
              <w:rPr>
                <w:b/>
              </w:rPr>
            </w:r>
            <w:r>
              <w:rPr>
                <w:b/>
                <w:sz w:val="16"/>
              </w:rPr>
              <w:t>n coded</w:t>
            </w:r>
          </w:p>
        </w:tc>
        <w:tc>
          <w:tcPr>
            <w:tcW w:type="dxa" w:w="1296"/>
            <w:shd w:val="clear" w:fill="F2F2F2"/>
          </w:tcPr>
          <w:p>
            <w:pPr>
              <w:spacing w:line="240" w:lineRule="auto" w:after="0" w:before="0"/>
            </w:pPr>
            <w:r>
              <w:rPr>
                <w:b/>
              </w:rPr>
            </w:r>
            <w:r>
              <w:rPr>
                <w:b/>
                <w:sz w:val="16"/>
              </w:rPr>
              <w:t>AUROC</w:t>
            </w:r>
          </w:p>
        </w:tc>
        <w:tc>
          <w:tcPr>
            <w:tcW w:type="dxa" w:w="1296"/>
            <w:shd w:val="clear" w:fill="F2F2F2"/>
          </w:tcPr>
          <w:p>
            <w:pPr>
              <w:spacing w:line="240" w:lineRule="auto" w:after="0" w:before="0"/>
            </w:pPr>
            <w:r>
              <w:rPr>
                <w:b/>
              </w:rPr>
            </w:r>
            <w:r>
              <w:rPr>
                <w:b/>
                <w:sz w:val="16"/>
              </w:rPr>
              <w:t>raw p</w:t>
            </w:r>
          </w:p>
        </w:tc>
        <w:tc>
          <w:tcPr>
            <w:tcW w:type="dxa" w:w="1296"/>
            <w:shd w:val="clear" w:fill="F2F2F2"/>
          </w:tcPr>
          <w:p>
            <w:pPr>
              <w:spacing w:line="240" w:lineRule="auto" w:after="0" w:before="0"/>
            </w:pPr>
            <w:r>
              <w:rPr>
                <w:b/>
              </w:rPr>
            </w:r>
            <w:r>
              <w:rPr>
                <w:b/>
                <w:sz w:val="16"/>
              </w:rPr>
              <w:t>Holm-adjusted</w:t>
            </w:r>
          </w:p>
        </w:tc>
        <w:tc>
          <w:tcPr>
            <w:tcW w:type="dxa" w:w="1296"/>
            <w:shd w:val="clear" w:fill="F2F2F2"/>
          </w:tcPr>
          <w:p>
            <w:pPr>
              <w:spacing w:line="240" w:lineRule="auto" w:after="0" w:before="0"/>
            </w:pPr>
            <w:r>
              <w:rPr>
                <w:b/>
              </w:rPr>
            </w:r>
            <w:r>
              <w:rPr>
                <w:b/>
                <w:sz w:val="16"/>
              </w:rPr>
              <w:t>BH q</w:t>
            </w:r>
          </w:p>
        </w:tc>
        <w:tc>
          <w:tcPr>
            <w:tcW w:type="dxa" w:w="1296"/>
            <w:shd w:val="clear" w:fill="F2F2F2"/>
          </w:tcPr>
          <w:p>
            <w:pPr>
              <w:spacing w:line="240" w:lineRule="auto" w:after="0" w:before="0"/>
            </w:pPr>
            <w:r>
              <w:rPr>
                <w:b/>
              </w:rPr>
            </w:r>
            <w:r>
              <w:rPr>
                <w:b/>
                <w:sz w:val="16"/>
              </w:rPr>
              <w:t>significant after BH</w:t>
            </w:r>
          </w:p>
        </w:tc>
      </w:tr>
      <w:tr>
        <w:trPr>
          <w:cantSplit/>
        </w:trPr>
        <w:tc>
          <w:tcPr>
            <w:tcW w:type="dxa" w:w="1296"/>
          </w:tcPr>
          <w:p>
            <w:pPr>
              <w:spacing w:line="240" w:lineRule="auto" w:after="0" w:before="0"/>
            </w:pPr>
            <w:r/>
            <w:r>
              <w:rPr>
                <w:sz w:val="16"/>
              </w:rPr>
              <w:t>renal_impairment</w:t>
            </w:r>
          </w:p>
        </w:tc>
        <w:tc>
          <w:tcPr>
            <w:tcW w:type="dxa" w:w="1296"/>
          </w:tcPr>
          <w:p>
            <w:pPr>
              <w:spacing w:line="240" w:lineRule="auto" w:after="0" w:before="0"/>
            </w:pPr>
            <w:r/>
            <w:r>
              <w:rPr>
                <w:sz w:val="16"/>
              </w:rPr>
              <w:t>326</w:t>
            </w:r>
          </w:p>
        </w:tc>
        <w:tc>
          <w:tcPr>
            <w:tcW w:type="dxa" w:w="1296"/>
          </w:tcPr>
          <w:p>
            <w:pPr>
              <w:spacing w:line="240" w:lineRule="auto" w:after="0" w:before="0"/>
            </w:pPr>
            <w:r/>
            <w:r>
              <w:rPr>
                <w:sz w:val="16"/>
              </w:rPr>
              <w:t>0.777</w:t>
            </w:r>
          </w:p>
        </w:tc>
        <w:tc>
          <w:tcPr>
            <w:tcW w:type="dxa" w:w="1296"/>
          </w:tcPr>
          <w:p>
            <w:pPr>
              <w:spacing w:line="240" w:lineRule="auto" w:after="0" w:before="0"/>
            </w:pPr>
            <w:r/>
            <w:r>
              <w:rPr>
                <w:sz w:val="16"/>
              </w:rPr>
              <w:t>4.39e-62</w:t>
            </w:r>
          </w:p>
        </w:tc>
        <w:tc>
          <w:tcPr>
            <w:tcW w:type="dxa" w:w="1296"/>
          </w:tcPr>
          <w:p>
            <w:pPr>
              <w:spacing w:line="240" w:lineRule="auto" w:after="0" w:before="0"/>
            </w:pPr>
            <w:r/>
            <w:r>
              <w:rPr>
                <w:sz w:val="16"/>
              </w:rPr>
              <w:t>1.18e-60</w:t>
            </w:r>
          </w:p>
        </w:tc>
        <w:tc>
          <w:tcPr>
            <w:tcW w:type="dxa" w:w="1296"/>
          </w:tcPr>
          <w:p>
            <w:pPr>
              <w:spacing w:line="240" w:lineRule="auto" w:after="0" w:before="0"/>
            </w:pPr>
            <w:r/>
            <w:r>
              <w:rPr>
                <w:sz w:val="16"/>
              </w:rPr>
              <w:t>4.24e-61</w:t>
            </w:r>
          </w:p>
        </w:tc>
        <w:tc>
          <w:tcPr>
            <w:tcW w:type="dxa" w:w="1296"/>
          </w:tcPr>
          <w:p>
            <w:pPr>
              <w:spacing w:line="240" w:lineRule="auto" w:after="0" w:before="0"/>
            </w:pPr>
            <w:r/>
            <w:r>
              <w:rPr>
                <w:sz w:val="16"/>
              </w:rPr>
              <w:t>yes</w:t>
            </w:r>
          </w:p>
        </w:tc>
      </w:tr>
      <w:tr>
        <w:trPr>
          <w:cantSplit/>
        </w:trPr>
        <w:tc>
          <w:tcPr>
            <w:tcW w:type="dxa" w:w="1296"/>
          </w:tcPr>
          <w:p>
            <w:pPr>
              <w:spacing w:line="240" w:lineRule="auto" w:after="0" w:before="0"/>
            </w:pPr>
            <w:r/>
            <w:r>
              <w:rPr>
                <w:sz w:val="16"/>
              </w:rPr>
              <w:t>sepsis</w:t>
            </w:r>
          </w:p>
        </w:tc>
        <w:tc>
          <w:tcPr>
            <w:tcW w:type="dxa" w:w="1296"/>
          </w:tcPr>
          <w:p>
            <w:pPr>
              <w:spacing w:line="240" w:lineRule="auto" w:after="0" w:before="0"/>
            </w:pPr>
            <w:r/>
            <w:r>
              <w:rPr>
                <w:sz w:val="16"/>
              </w:rPr>
              <w:t>289</w:t>
            </w:r>
          </w:p>
        </w:tc>
        <w:tc>
          <w:tcPr>
            <w:tcW w:type="dxa" w:w="1296"/>
          </w:tcPr>
          <w:p>
            <w:pPr>
              <w:spacing w:line="240" w:lineRule="auto" w:after="0" w:before="0"/>
            </w:pPr>
            <w:r/>
            <w:r>
              <w:rPr>
                <w:sz w:val="16"/>
              </w:rPr>
              <w:t>0.682</w:t>
            </w:r>
          </w:p>
        </w:tc>
        <w:tc>
          <w:tcPr>
            <w:tcW w:type="dxa" w:w="1296"/>
          </w:tcPr>
          <w:p>
            <w:pPr>
              <w:spacing w:line="240" w:lineRule="auto" w:after="0" w:before="0"/>
            </w:pPr>
            <w:r/>
            <w:r>
              <w:rPr>
                <w:sz w:val="16"/>
              </w:rPr>
              <w:t>2.09e-31</w:t>
            </w:r>
          </w:p>
        </w:tc>
        <w:tc>
          <w:tcPr>
            <w:tcW w:type="dxa" w:w="1296"/>
          </w:tcPr>
          <w:p>
            <w:pPr>
              <w:spacing w:line="240" w:lineRule="auto" w:after="0" w:before="0"/>
            </w:pPr>
            <w:r/>
            <w:r>
              <w:rPr>
                <w:sz w:val="16"/>
              </w:rPr>
              <w:t>3.98e-30</w:t>
            </w:r>
          </w:p>
        </w:tc>
        <w:tc>
          <w:tcPr>
            <w:tcW w:type="dxa" w:w="1296"/>
          </w:tcPr>
          <w:p>
            <w:pPr>
              <w:spacing w:line="240" w:lineRule="auto" w:after="0" w:before="0"/>
            </w:pPr>
            <w:r/>
            <w:r>
              <w:rPr>
                <w:sz w:val="16"/>
              </w:rPr>
              <w:t>5.52e-31</w:t>
            </w:r>
          </w:p>
        </w:tc>
        <w:tc>
          <w:tcPr>
            <w:tcW w:type="dxa" w:w="1296"/>
          </w:tcPr>
          <w:p>
            <w:pPr>
              <w:spacing w:line="240" w:lineRule="auto" w:after="0" w:before="0"/>
            </w:pPr>
            <w:r/>
            <w:r>
              <w:rPr>
                <w:sz w:val="16"/>
              </w:rPr>
              <w:t>yes</w:t>
            </w:r>
          </w:p>
        </w:tc>
      </w:tr>
      <w:tr>
        <w:trPr>
          <w:cantSplit/>
        </w:trPr>
        <w:tc>
          <w:tcPr>
            <w:tcW w:type="dxa" w:w="1296"/>
          </w:tcPr>
          <w:p>
            <w:pPr>
              <w:spacing w:line="240" w:lineRule="auto" w:after="0" w:before="0"/>
            </w:pPr>
            <w:r/>
            <w:r>
              <w:rPr>
                <w:sz w:val="16"/>
              </w:rPr>
              <w:t>diabetes</w:t>
            </w:r>
          </w:p>
        </w:tc>
        <w:tc>
          <w:tcPr>
            <w:tcW w:type="dxa" w:w="1296"/>
          </w:tcPr>
          <w:p>
            <w:pPr>
              <w:spacing w:line="240" w:lineRule="auto" w:after="0" w:before="0"/>
            </w:pPr>
            <w:r/>
            <w:r>
              <w:rPr>
                <w:sz w:val="16"/>
              </w:rPr>
              <w:t>246</w:t>
            </w:r>
          </w:p>
        </w:tc>
        <w:tc>
          <w:tcPr>
            <w:tcW w:type="dxa" w:w="1296"/>
          </w:tcPr>
          <w:p>
            <w:pPr>
              <w:spacing w:line="240" w:lineRule="auto" w:after="0" w:before="0"/>
            </w:pPr>
            <w:r/>
            <w:r>
              <w:rPr>
                <w:sz w:val="16"/>
              </w:rPr>
              <w:t>0.692</w:t>
            </w:r>
          </w:p>
        </w:tc>
        <w:tc>
          <w:tcPr>
            <w:tcW w:type="dxa" w:w="1296"/>
          </w:tcPr>
          <w:p>
            <w:pPr>
              <w:spacing w:line="240" w:lineRule="auto" w:after="0" w:before="0"/>
            </w:pPr>
            <w:r/>
            <w:r>
              <w:rPr>
                <w:sz w:val="16"/>
              </w:rPr>
              <w:t>5.28e-24</w:t>
            </w:r>
          </w:p>
        </w:tc>
        <w:tc>
          <w:tcPr>
            <w:tcW w:type="dxa" w:w="1296"/>
          </w:tcPr>
          <w:p>
            <w:pPr>
              <w:spacing w:line="240" w:lineRule="auto" w:after="0" w:before="0"/>
            </w:pPr>
            <w:r/>
            <w:r>
              <w:rPr>
                <w:sz w:val="16"/>
              </w:rPr>
              <w:t>8.44e-23</w:t>
            </w:r>
          </w:p>
        </w:tc>
        <w:tc>
          <w:tcPr>
            <w:tcW w:type="dxa" w:w="1296"/>
          </w:tcPr>
          <w:p>
            <w:pPr>
              <w:spacing w:line="240" w:lineRule="auto" w:after="0" w:before="0"/>
            </w:pPr>
            <w:r/>
            <w:r>
              <w:rPr>
                <w:sz w:val="16"/>
              </w:rPr>
              <w:t>1.09e-23</w:t>
            </w:r>
          </w:p>
        </w:tc>
        <w:tc>
          <w:tcPr>
            <w:tcW w:type="dxa" w:w="1296"/>
          </w:tcPr>
          <w:p>
            <w:pPr>
              <w:spacing w:line="240" w:lineRule="auto" w:after="0" w:before="0"/>
            </w:pPr>
            <w:r/>
            <w:r>
              <w:rPr>
                <w:sz w:val="16"/>
              </w:rPr>
              <w:t>yes</w:t>
            </w:r>
          </w:p>
        </w:tc>
      </w:tr>
      <w:tr>
        <w:trPr>
          <w:cantSplit/>
        </w:trPr>
        <w:tc>
          <w:tcPr>
            <w:tcW w:type="dxa" w:w="1296"/>
          </w:tcPr>
          <w:p>
            <w:pPr>
              <w:spacing w:line="240" w:lineRule="auto" w:after="0" w:before="0"/>
            </w:pPr>
            <w:r/>
            <w:r>
              <w:rPr>
                <w:sz w:val="16"/>
              </w:rPr>
              <w:t>acute_kidney_injury</w:t>
            </w:r>
          </w:p>
        </w:tc>
        <w:tc>
          <w:tcPr>
            <w:tcW w:type="dxa" w:w="1296"/>
          </w:tcPr>
          <w:p>
            <w:pPr>
              <w:spacing w:line="240" w:lineRule="auto" w:after="0" w:before="0"/>
            </w:pPr>
            <w:r/>
            <w:r>
              <w:rPr>
                <w:sz w:val="16"/>
              </w:rPr>
              <w:t>218</w:t>
            </w:r>
          </w:p>
        </w:tc>
        <w:tc>
          <w:tcPr>
            <w:tcW w:type="dxa" w:w="1296"/>
          </w:tcPr>
          <w:p>
            <w:pPr>
              <w:spacing w:line="240" w:lineRule="auto" w:after="0" w:before="0"/>
            </w:pPr>
            <w:r/>
            <w:r>
              <w:rPr>
                <w:sz w:val="16"/>
              </w:rPr>
              <w:t>0.774</w:t>
            </w:r>
          </w:p>
        </w:tc>
        <w:tc>
          <w:tcPr>
            <w:tcW w:type="dxa" w:w="1296"/>
          </w:tcPr>
          <w:p>
            <w:pPr>
              <w:spacing w:line="240" w:lineRule="auto" w:after="0" w:before="0"/>
            </w:pPr>
            <w:r/>
            <w:r>
              <w:rPr>
                <w:sz w:val="16"/>
              </w:rPr>
              <w:t>3.14e-44</w:t>
            </w:r>
          </w:p>
        </w:tc>
        <w:tc>
          <w:tcPr>
            <w:tcW w:type="dxa" w:w="1296"/>
          </w:tcPr>
          <w:p>
            <w:pPr>
              <w:spacing w:line="240" w:lineRule="auto" w:after="0" w:before="0"/>
            </w:pPr>
            <w:r/>
            <w:r>
              <w:rPr>
                <w:sz w:val="16"/>
              </w:rPr>
              <w:t>7.53e-43</w:t>
            </w:r>
          </w:p>
        </w:tc>
        <w:tc>
          <w:tcPr>
            <w:tcW w:type="dxa" w:w="1296"/>
          </w:tcPr>
          <w:p>
            <w:pPr>
              <w:spacing w:line="240" w:lineRule="auto" w:after="0" w:before="0"/>
            </w:pPr>
            <w:r/>
            <w:r>
              <w:rPr>
                <w:sz w:val="16"/>
              </w:rPr>
              <w:t>1.52e-43</w:t>
            </w:r>
          </w:p>
        </w:tc>
        <w:tc>
          <w:tcPr>
            <w:tcW w:type="dxa" w:w="1296"/>
          </w:tcPr>
          <w:p>
            <w:pPr>
              <w:spacing w:line="240" w:lineRule="auto" w:after="0" w:before="0"/>
            </w:pPr>
            <w:r/>
            <w:r>
              <w:rPr>
                <w:sz w:val="16"/>
              </w:rPr>
              <w:t>yes</w:t>
            </w:r>
          </w:p>
        </w:tc>
      </w:tr>
      <w:tr>
        <w:trPr>
          <w:cantSplit/>
        </w:trPr>
        <w:tc>
          <w:tcPr>
            <w:tcW w:type="dxa" w:w="1296"/>
          </w:tcPr>
          <w:p>
            <w:pPr>
              <w:spacing w:line="240" w:lineRule="auto" w:after="0" w:before="0"/>
            </w:pPr>
            <w:r/>
            <w:r>
              <w:rPr>
                <w:sz w:val="16"/>
              </w:rPr>
              <w:t>chronic_kidney_disease</w:t>
            </w:r>
          </w:p>
        </w:tc>
        <w:tc>
          <w:tcPr>
            <w:tcW w:type="dxa" w:w="1296"/>
          </w:tcPr>
          <w:p>
            <w:pPr>
              <w:spacing w:line="240" w:lineRule="auto" w:after="0" w:before="0"/>
            </w:pPr>
            <w:r/>
            <w:r>
              <w:rPr>
                <w:sz w:val="16"/>
              </w:rPr>
              <w:t>148</w:t>
            </w:r>
          </w:p>
        </w:tc>
        <w:tc>
          <w:tcPr>
            <w:tcW w:type="dxa" w:w="1296"/>
          </w:tcPr>
          <w:p>
            <w:pPr>
              <w:spacing w:line="240" w:lineRule="auto" w:after="0" w:before="0"/>
            </w:pPr>
            <w:r/>
            <w:r>
              <w:rPr>
                <w:sz w:val="16"/>
              </w:rPr>
              <w:t>0.783</w:t>
            </w:r>
          </w:p>
        </w:tc>
        <w:tc>
          <w:tcPr>
            <w:tcW w:type="dxa" w:w="1296"/>
          </w:tcPr>
          <w:p>
            <w:pPr>
              <w:spacing w:line="240" w:lineRule="auto" w:after="0" w:before="0"/>
            </w:pPr>
            <w:r/>
            <w:r>
              <w:rPr>
                <w:sz w:val="16"/>
              </w:rPr>
              <w:t>3.77e-39</w:t>
            </w:r>
          </w:p>
        </w:tc>
        <w:tc>
          <w:tcPr>
            <w:tcW w:type="dxa" w:w="1296"/>
          </w:tcPr>
          <w:p>
            <w:pPr>
              <w:spacing w:line="240" w:lineRule="auto" w:after="0" w:before="0"/>
            </w:pPr>
            <w:r/>
            <w:r>
              <w:rPr>
                <w:sz w:val="16"/>
              </w:rPr>
              <w:t>8.30e-38</w:t>
            </w:r>
          </w:p>
        </w:tc>
        <w:tc>
          <w:tcPr>
            <w:tcW w:type="dxa" w:w="1296"/>
          </w:tcPr>
          <w:p>
            <w:pPr>
              <w:spacing w:line="240" w:lineRule="auto" w:after="0" w:before="0"/>
            </w:pPr>
            <w:r/>
            <w:r>
              <w:rPr>
                <w:sz w:val="16"/>
              </w:rPr>
              <w:t>1.37e-38</w:t>
            </w:r>
          </w:p>
        </w:tc>
        <w:tc>
          <w:tcPr>
            <w:tcW w:type="dxa" w:w="1296"/>
          </w:tcPr>
          <w:p>
            <w:pPr>
              <w:spacing w:line="240" w:lineRule="auto" w:after="0" w:before="0"/>
            </w:pPr>
            <w:r/>
            <w:r>
              <w:rPr>
                <w:sz w:val="16"/>
              </w:rPr>
              <w:t>yes</w:t>
            </w:r>
          </w:p>
        </w:tc>
      </w:tr>
      <w:tr>
        <w:trPr>
          <w:cantSplit/>
        </w:trPr>
        <w:tc>
          <w:tcPr>
            <w:tcW w:type="dxa" w:w="1296"/>
          </w:tcPr>
          <w:p>
            <w:pPr>
              <w:spacing w:line="240" w:lineRule="auto" w:after="0" w:before="0"/>
            </w:pPr>
            <w:r/>
            <w:r>
              <w:rPr>
                <w:sz w:val="16"/>
              </w:rPr>
              <w:t>anemia</w:t>
            </w:r>
          </w:p>
        </w:tc>
        <w:tc>
          <w:tcPr>
            <w:tcW w:type="dxa" w:w="1296"/>
          </w:tcPr>
          <w:p>
            <w:pPr>
              <w:spacing w:line="240" w:lineRule="auto" w:after="0" w:before="0"/>
            </w:pPr>
            <w:r/>
            <w:r>
              <w:rPr>
                <w:sz w:val="16"/>
              </w:rPr>
              <w:t>147</w:t>
            </w:r>
          </w:p>
        </w:tc>
        <w:tc>
          <w:tcPr>
            <w:tcW w:type="dxa" w:w="1296"/>
          </w:tcPr>
          <w:p>
            <w:pPr>
              <w:spacing w:line="240" w:lineRule="auto" w:after="0" w:before="0"/>
            </w:pPr>
            <w:r/>
            <w:r>
              <w:rPr>
                <w:sz w:val="16"/>
              </w:rPr>
              <w:t>0.782</w:t>
            </w:r>
          </w:p>
        </w:tc>
        <w:tc>
          <w:tcPr>
            <w:tcW w:type="dxa" w:w="1296"/>
          </w:tcPr>
          <w:p>
            <w:pPr>
              <w:spacing w:line="240" w:lineRule="auto" w:after="0" w:before="0"/>
            </w:pPr>
            <w:r/>
            <w:r>
              <w:rPr>
                <w:sz w:val="16"/>
              </w:rPr>
              <w:t>1.28e-31</w:t>
            </w:r>
          </w:p>
        </w:tc>
        <w:tc>
          <w:tcPr>
            <w:tcW w:type="dxa" w:w="1296"/>
          </w:tcPr>
          <w:p>
            <w:pPr>
              <w:spacing w:line="240" w:lineRule="auto" w:after="0" w:before="0"/>
            </w:pPr>
            <w:r/>
            <w:r>
              <w:rPr>
                <w:sz w:val="16"/>
              </w:rPr>
              <w:t>2.57e-30</w:t>
            </w:r>
          </w:p>
        </w:tc>
        <w:tc>
          <w:tcPr>
            <w:tcW w:type="dxa" w:w="1296"/>
          </w:tcPr>
          <w:p>
            <w:pPr>
              <w:spacing w:line="240" w:lineRule="auto" w:after="0" w:before="0"/>
            </w:pPr>
            <w:r/>
            <w:r>
              <w:rPr>
                <w:sz w:val="16"/>
              </w:rPr>
              <w:t>3.72e-31</w:t>
            </w:r>
          </w:p>
        </w:tc>
        <w:tc>
          <w:tcPr>
            <w:tcW w:type="dxa" w:w="1296"/>
          </w:tcPr>
          <w:p>
            <w:pPr>
              <w:spacing w:line="240" w:lineRule="auto" w:after="0" w:before="0"/>
            </w:pPr>
            <w:r/>
            <w:r>
              <w:rPr>
                <w:sz w:val="16"/>
              </w:rPr>
              <w:t>yes</w:t>
            </w:r>
          </w:p>
        </w:tc>
      </w:tr>
      <w:tr>
        <w:trPr>
          <w:cantSplit/>
        </w:trPr>
        <w:tc>
          <w:tcPr>
            <w:tcW w:type="dxa" w:w="1296"/>
          </w:tcPr>
          <w:p>
            <w:pPr>
              <w:spacing w:line="240" w:lineRule="auto" w:after="0" w:before="0"/>
            </w:pPr>
            <w:r/>
            <w:r>
              <w:rPr>
                <w:sz w:val="16"/>
              </w:rPr>
              <w:t>gi_bleeding</w:t>
            </w:r>
          </w:p>
        </w:tc>
        <w:tc>
          <w:tcPr>
            <w:tcW w:type="dxa" w:w="1296"/>
          </w:tcPr>
          <w:p>
            <w:pPr>
              <w:spacing w:line="240" w:lineRule="auto" w:after="0" w:before="0"/>
            </w:pPr>
            <w:r/>
            <w:r>
              <w:rPr>
                <w:sz w:val="16"/>
              </w:rPr>
              <w:t>145</w:t>
            </w:r>
          </w:p>
        </w:tc>
        <w:tc>
          <w:tcPr>
            <w:tcW w:type="dxa" w:w="1296"/>
          </w:tcPr>
          <w:p>
            <w:pPr>
              <w:spacing w:line="240" w:lineRule="auto" w:after="0" w:before="0"/>
            </w:pPr>
            <w:r/>
            <w:r>
              <w:rPr>
                <w:sz w:val="16"/>
              </w:rPr>
              <w:t>0.751</w:t>
            </w:r>
          </w:p>
        </w:tc>
        <w:tc>
          <w:tcPr>
            <w:tcW w:type="dxa" w:w="1296"/>
          </w:tcPr>
          <w:p>
            <w:pPr>
              <w:spacing w:line="240" w:lineRule="auto" w:after="0" w:before="0"/>
            </w:pPr>
            <w:r/>
            <w:r>
              <w:rPr>
                <w:sz w:val="16"/>
              </w:rPr>
              <w:t>3.82e-25</w:t>
            </w:r>
          </w:p>
        </w:tc>
        <w:tc>
          <w:tcPr>
            <w:tcW w:type="dxa" w:w="1296"/>
          </w:tcPr>
          <w:p>
            <w:pPr>
              <w:spacing w:line="240" w:lineRule="auto" w:after="0" w:before="0"/>
            </w:pPr>
            <w:r/>
            <w:r>
              <w:rPr>
                <w:sz w:val="16"/>
              </w:rPr>
              <w:t>6.88e-24</w:t>
            </w:r>
          </w:p>
        </w:tc>
        <w:tc>
          <w:tcPr>
            <w:tcW w:type="dxa" w:w="1296"/>
          </w:tcPr>
          <w:p>
            <w:pPr>
              <w:spacing w:line="240" w:lineRule="auto" w:after="0" w:before="0"/>
            </w:pPr>
            <w:r/>
            <w:r>
              <w:rPr>
                <w:sz w:val="16"/>
              </w:rPr>
              <w:t>9.23e-25</w:t>
            </w:r>
          </w:p>
        </w:tc>
        <w:tc>
          <w:tcPr>
            <w:tcW w:type="dxa" w:w="1296"/>
          </w:tcPr>
          <w:p>
            <w:pPr>
              <w:spacing w:line="240" w:lineRule="auto" w:after="0" w:before="0"/>
            </w:pPr>
            <w:r/>
            <w:r>
              <w:rPr>
                <w:sz w:val="16"/>
              </w:rPr>
              <w:t>yes</w:t>
            </w:r>
          </w:p>
        </w:tc>
      </w:tr>
      <w:tr>
        <w:trPr>
          <w:cantSplit/>
        </w:trPr>
        <w:tc>
          <w:tcPr>
            <w:tcW w:type="dxa" w:w="1296"/>
          </w:tcPr>
          <w:p>
            <w:pPr>
              <w:spacing w:line="240" w:lineRule="auto" w:after="0" w:before="0"/>
            </w:pPr>
            <w:r/>
            <w:r>
              <w:rPr>
                <w:sz w:val="16"/>
              </w:rPr>
              <w:t>diabetic_ketoacidosis</w:t>
            </w:r>
          </w:p>
        </w:tc>
        <w:tc>
          <w:tcPr>
            <w:tcW w:type="dxa" w:w="1296"/>
          </w:tcPr>
          <w:p>
            <w:pPr>
              <w:spacing w:line="240" w:lineRule="auto" w:after="0" w:before="0"/>
            </w:pPr>
            <w:r/>
            <w:r>
              <w:rPr>
                <w:sz w:val="16"/>
              </w:rPr>
              <w:t>107</w:t>
            </w:r>
          </w:p>
        </w:tc>
        <w:tc>
          <w:tcPr>
            <w:tcW w:type="dxa" w:w="1296"/>
          </w:tcPr>
          <w:p>
            <w:pPr>
              <w:spacing w:line="240" w:lineRule="auto" w:after="0" w:before="0"/>
            </w:pPr>
            <w:r/>
            <w:r>
              <w:rPr>
                <w:sz w:val="16"/>
              </w:rPr>
              <w:t>0.855</w:t>
            </w:r>
          </w:p>
        </w:tc>
        <w:tc>
          <w:tcPr>
            <w:tcW w:type="dxa" w:w="1296"/>
          </w:tcPr>
          <w:p>
            <w:pPr>
              <w:spacing w:line="240" w:lineRule="auto" w:after="0" w:before="0"/>
            </w:pPr>
            <w:r/>
            <w:r>
              <w:rPr>
                <w:sz w:val="16"/>
              </w:rPr>
              <w:t>1.19e-89</w:t>
            </w:r>
          </w:p>
        </w:tc>
        <w:tc>
          <w:tcPr>
            <w:tcW w:type="dxa" w:w="1296"/>
          </w:tcPr>
          <w:p>
            <w:pPr>
              <w:spacing w:line="240" w:lineRule="auto" w:after="0" w:before="0"/>
            </w:pPr>
            <w:r/>
            <w:r>
              <w:rPr>
                <w:sz w:val="16"/>
              </w:rPr>
              <w:t>3.33e-88</w:t>
            </w:r>
          </w:p>
        </w:tc>
        <w:tc>
          <w:tcPr>
            <w:tcW w:type="dxa" w:w="1296"/>
          </w:tcPr>
          <w:p>
            <w:pPr>
              <w:spacing w:line="240" w:lineRule="auto" w:after="0" w:before="0"/>
            </w:pPr>
            <w:r/>
            <w:r>
              <w:rPr>
                <w:sz w:val="16"/>
              </w:rPr>
              <w:t>1.72e-88</w:t>
            </w:r>
          </w:p>
        </w:tc>
        <w:tc>
          <w:tcPr>
            <w:tcW w:type="dxa" w:w="1296"/>
          </w:tcPr>
          <w:p>
            <w:pPr>
              <w:spacing w:line="240" w:lineRule="auto" w:after="0" w:before="0"/>
            </w:pPr>
            <w:r/>
            <w:r>
              <w:rPr>
                <w:sz w:val="16"/>
              </w:rPr>
              <w:t>yes</w:t>
            </w:r>
          </w:p>
        </w:tc>
      </w:tr>
      <w:tr>
        <w:trPr>
          <w:cantSplit/>
        </w:trPr>
        <w:tc>
          <w:tcPr>
            <w:tcW w:type="dxa" w:w="1296"/>
          </w:tcPr>
          <w:p>
            <w:pPr>
              <w:spacing w:line="240" w:lineRule="auto" w:after="0" w:before="0"/>
            </w:pPr>
            <w:r/>
            <w:r>
              <w:rPr>
                <w:sz w:val="16"/>
              </w:rPr>
              <w:t>hyperglycemia</w:t>
            </w:r>
          </w:p>
        </w:tc>
        <w:tc>
          <w:tcPr>
            <w:tcW w:type="dxa" w:w="1296"/>
          </w:tcPr>
          <w:p>
            <w:pPr>
              <w:spacing w:line="240" w:lineRule="auto" w:after="0" w:before="0"/>
            </w:pPr>
            <w:r/>
            <w:r>
              <w:rPr>
                <w:sz w:val="16"/>
              </w:rPr>
              <w:t>96</w:t>
            </w:r>
          </w:p>
        </w:tc>
        <w:tc>
          <w:tcPr>
            <w:tcW w:type="dxa" w:w="1296"/>
          </w:tcPr>
          <w:p>
            <w:pPr>
              <w:spacing w:line="240" w:lineRule="auto" w:after="0" w:before="0"/>
            </w:pPr>
            <w:r/>
            <w:r>
              <w:rPr>
                <w:sz w:val="16"/>
              </w:rPr>
              <w:t>0.699</w:t>
            </w:r>
          </w:p>
        </w:tc>
        <w:tc>
          <w:tcPr>
            <w:tcW w:type="dxa" w:w="1296"/>
          </w:tcPr>
          <w:p>
            <w:pPr>
              <w:spacing w:line="240" w:lineRule="auto" w:after="0" w:before="0"/>
            </w:pPr>
            <w:r/>
            <w:r>
              <w:rPr>
                <w:sz w:val="16"/>
              </w:rPr>
              <w:t>1.28e-11</w:t>
            </w:r>
          </w:p>
        </w:tc>
        <w:tc>
          <w:tcPr>
            <w:tcW w:type="dxa" w:w="1296"/>
          </w:tcPr>
          <w:p>
            <w:pPr>
              <w:spacing w:line="240" w:lineRule="auto" w:after="0" w:before="0"/>
            </w:pPr>
            <w:r/>
            <w:r>
              <w:rPr>
                <w:sz w:val="16"/>
              </w:rPr>
              <w:t>1.41e-10</w:t>
            </w:r>
          </w:p>
        </w:tc>
        <w:tc>
          <w:tcPr>
            <w:tcW w:type="dxa" w:w="1296"/>
          </w:tcPr>
          <w:p>
            <w:pPr>
              <w:spacing w:line="240" w:lineRule="auto" w:after="0" w:before="0"/>
            </w:pPr>
            <w:r/>
            <w:r>
              <w:rPr>
                <w:sz w:val="16"/>
              </w:rPr>
              <w:t>1.96e-11</w:t>
            </w:r>
          </w:p>
        </w:tc>
        <w:tc>
          <w:tcPr>
            <w:tcW w:type="dxa" w:w="1296"/>
          </w:tcPr>
          <w:p>
            <w:pPr>
              <w:spacing w:line="240" w:lineRule="auto" w:after="0" w:before="0"/>
            </w:pPr>
            <w:r/>
            <w:r>
              <w:rPr>
                <w:sz w:val="16"/>
              </w:rPr>
              <w:t>yes</w:t>
            </w:r>
          </w:p>
        </w:tc>
      </w:tr>
      <w:tr>
        <w:trPr>
          <w:cantSplit/>
        </w:trPr>
        <w:tc>
          <w:tcPr>
            <w:tcW w:type="dxa" w:w="1296"/>
          </w:tcPr>
          <w:p>
            <w:pPr>
              <w:spacing w:line="240" w:lineRule="auto" w:after="0" w:before="0"/>
            </w:pPr>
            <w:r/>
            <w:r>
              <w:rPr>
                <w:sz w:val="16"/>
              </w:rPr>
              <w:t>acute_myocardial_infarction</w:t>
            </w:r>
          </w:p>
        </w:tc>
        <w:tc>
          <w:tcPr>
            <w:tcW w:type="dxa" w:w="1296"/>
          </w:tcPr>
          <w:p>
            <w:pPr>
              <w:spacing w:line="240" w:lineRule="auto" w:after="0" w:before="0"/>
            </w:pPr>
            <w:r/>
            <w:r>
              <w:rPr>
                <w:sz w:val="16"/>
              </w:rPr>
              <w:t>84</w:t>
            </w:r>
          </w:p>
        </w:tc>
        <w:tc>
          <w:tcPr>
            <w:tcW w:type="dxa" w:w="1296"/>
          </w:tcPr>
          <w:p>
            <w:pPr>
              <w:spacing w:line="240" w:lineRule="auto" w:after="0" w:before="0"/>
            </w:pPr>
            <w:r/>
            <w:r>
              <w:rPr>
                <w:sz w:val="16"/>
              </w:rPr>
              <w:t>0.758</w:t>
            </w:r>
          </w:p>
        </w:tc>
        <w:tc>
          <w:tcPr>
            <w:tcW w:type="dxa" w:w="1296"/>
          </w:tcPr>
          <w:p>
            <w:pPr>
              <w:spacing w:line="240" w:lineRule="auto" w:after="0" w:before="0"/>
            </w:pPr>
            <w:r/>
            <w:r>
              <w:rPr>
                <w:sz w:val="16"/>
              </w:rPr>
              <w:t>1.32e-14</w:t>
            </w:r>
          </w:p>
        </w:tc>
        <w:tc>
          <w:tcPr>
            <w:tcW w:type="dxa" w:w="1296"/>
          </w:tcPr>
          <w:p>
            <w:pPr>
              <w:spacing w:line="240" w:lineRule="auto" w:after="0" w:before="0"/>
            </w:pPr>
            <w:r/>
            <w:r>
              <w:rPr>
                <w:sz w:val="16"/>
              </w:rPr>
              <w:t>1.99e-13</w:t>
            </w:r>
          </w:p>
        </w:tc>
        <w:tc>
          <w:tcPr>
            <w:tcW w:type="dxa" w:w="1296"/>
          </w:tcPr>
          <w:p>
            <w:pPr>
              <w:spacing w:line="240" w:lineRule="auto" w:after="0" w:before="0"/>
            </w:pPr>
            <w:r/>
            <w:r>
              <w:rPr>
                <w:sz w:val="16"/>
              </w:rPr>
              <w:t>2.56e-14</w:t>
            </w:r>
          </w:p>
        </w:tc>
        <w:tc>
          <w:tcPr>
            <w:tcW w:type="dxa" w:w="1296"/>
          </w:tcPr>
          <w:p>
            <w:pPr>
              <w:spacing w:line="240" w:lineRule="auto" w:after="0" w:before="0"/>
            </w:pPr>
            <w:r/>
            <w:r>
              <w:rPr>
                <w:sz w:val="16"/>
              </w:rPr>
              <w:t>yes</w:t>
            </w:r>
          </w:p>
        </w:tc>
      </w:tr>
      <w:tr>
        <w:trPr>
          <w:cantSplit/>
        </w:trPr>
        <w:tc>
          <w:tcPr>
            <w:tcW w:type="dxa" w:w="1296"/>
          </w:tcPr>
          <w:p>
            <w:pPr>
              <w:spacing w:line="240" w:lineRule="auto" w:after="0" w:before="0"/>
            </w:pPr>
            <w:r/>
            <w:r>
              <w:rPr>
                <w:sz w:val="16"/>
              </w:rPr>
              <w:t>hypokalemia</w:t>
            </w:r>
          </w:p>
        </w:tc>
        <w:tc>
          <w:tcPr>
            <w:tcW w:type="dxa" w:w="1296"/>
          </w:tcPr>
          <w:p>
            <w:pPr>
              <w:spacing w:line="240" w:lineRule="auto" w:after="0" w:before="0"/>
            </w:pPr>
            <w:r/>
            <w:r>
              <w:rPr>
                <w:sz w:val="16"/>
              </w:rPr>
              <w:t>67</w:t>
            </w:r>
          </w:p>
        </w:tc>
        <w:tc>
          <w:tcPr>
            <w:tcW w:type="dxa" w:w="1296"/>
          </w:tcPr>
          <w:p>
            <w:pPr>
              <w:spacing w:line="240" w:lineRule="auto" w:after="0" w:before="0"/>
            </w:pPr>
            <w:r/>
            <w:r>
              <w:rPr>
                <w:sz w:val="16"/>
              </w:rPr>
              <w:t>0.716</w:t>
            </w:r>
          </w:p>
        </w:tc>
        <w:tc>
          <w:tcPr>
            <w:tcW w:type="dxa" w:w="1296"/>
          </w:tcPr>
          <w:p>
            <w:pPr>
              <w:spacing w:line="240" w:lineRule="auto" w:after="0" w:before="0"/>
            </w:pPr>
            <w:r/>
            <w:r>
              <w:rPr>
                <w:sz w:val="16"/>
              </w:rPr>
              <w:t>3.06e-24</w:t>
            </w:r>
          </w:p>
        </w:tc>
        <w:tc>
          <w:tcPr>
            <w:tcW w:type="dxa" w:w="1296"/>
          </w:tcPr>
          <w:p>
            <w:pPr>
              <w:spacing w:line="240" w:lineRule="auto" w:after="0" w:before="0"/>
            </w:pPr>
            <w:r/>
            <w:r>
              <w:rPr>
                <w:sz w:val="16"/>
              </w:rPr>
              <w:t>5.21e-23</w:t>
            </w:r>
          </w:p>
        </w:tc>
        <w:tc>
          <w:tcPr>
            <w:tcW w:type="dxa" w:w="1296"/>
          </w:tcPr>
          <w:p>
            <w:pPr>
              <w:spacing w:line="240" w:lineRule="auto" w:after="0" w:before="0"/>
            </w:pPr>
            <w:r/>
            <w:r>
              <w:rPr>
                <w:sz w:val="16"/>
              </w:rPr>
              <w:t>6.83e-24</w:t>
            </w:r>
          </w:p>
        </w:tc>
        <w:tc>
          <w:tcPr>
            <w:tcW w:type="dxa" w:w="1296"/>
          </w:tcPr>
          <w:p>
            <w:pPr>
              <w:spacing w:line="240" w:lineRule="auto" w:after="0" w:before="0"/>
            </w:pPr>
            <w:r/>
            <w:r>
              <w:rPr>
                <w:sz w:val="16"/>
              </w:rPr>
              <w:t>yes</w:t>
            </w:r>
          </w:p>
        </w:tc>
      </w:tr>
      <w:tr>
        <w:trPr>
          <w:cantSplit/>
        </w:trPr>
        <w:tc>
          <w:tcPr>
            <w:tcW w:type="dxa" w:w="1296"/>
          </w:tcPr>
          <w:p>
            <w:pPr>
              <w:spacing w:line="240" w:lineRule="auto" w:after="0" w:before="0"/>
            </w:pPr>
            <w:r/>
            <w:r>
              <w:rPr>
                <w:sz w:val="16"/>
              </w:rPr>
              <w:t>heart_failure</w:t>
            </w:r>
          </w:p>
        </w:tc>
        <w:tc>
          <w:tcPr>
            <w:tcW w:type="dxa" w:w="1296"/>
          </w:tcPr>
          <w:p>
            <w:pPr>
              <w:spacing w:line="240" w:lineRule="auto" w:after="0" w:before="0"/>
            </w:pPr>
            <w:r/>
            <w:r>
              <w:rPr>
                <w:sz w:val="16"/>
              </w:rPr>
              <w:t>58</w:t>
            </w:r>
          </w:p>
        </w:tc>
        <w:tc>
          <w:tcPr>
            <w:tcW w:type="dxa" w:w="1296"/>
          </w:tcPr>
          <w:p>
            <w:pPr>
              <w:spacing w:line="240" w:lineRule="auto" w:after="0" w:before="0"/>
            </w:pPr>
            <w:r/>
            <w:r>
              <w:rPr>
                <w:sz w:val="16"/>
              </w:rPr>
              <w:t>0.664</w:t>
            </w:r>
          </w:p>
        </w:tc>
        <w:tc>
          <w:tcPr>
            <w:tcW w:type="dxa" w:w="1296"/>
          </w:tcPr>
          <w:p>
            <w:pPr>
              <w:spacing w:line="240" w:lineRule="auto" w:after="0" w:before="0"/>
            </w:pPr>
            <w:r/>
            <w:r>
              <w:rPr>
                <w:sz w:val="16"/>
              </w:rPr>
              <w:t>1.35e-04</w:t>
            </w:r>
          </w:p>
        </w:tc>
        <w:tc>
          <w:tcPr>
            <w:tcW w:type="dxa" w:w="1296"/>
          </w:tcPr>
          <w:p>
            <w:pPr>
              <w:spacing w:line="240" w:lineRule="auto" w:after="0" w:before="0"/>
            </w:pPr>
            <w:r/>
            <w:r>
              <w:rPr>
                <w:sz w:val="16"/>
              </w:rPr>
              <w:t>5.42e-04</w:t>
            </w:r>
          </w:p>
        </w:tc>
        <w:tc>
          <w:tcPr>
            <w:tcW w:type="dxa" w:w="1296"/>
          </w:tcPr>
          <w:p>
            <w:pPr>
              <w:spacing w:line="240" w:lineRule="auto" w:after="0" w:before="0"/>
            </w:pPr>
            <w:r/>
            <w:r>
              <w:rPr>
                <w:sz w:val="16"/>
              </w:rPr>
              <w:t>1.51e-04</w:t>
            </w:r>
          </w:p>
        </w:tc>
        <w:tc>
          <w:tcPr>
            <w:tcW w:type="dxa" w:w="1296"/>
          </w:tcPr>
          <w:p>
            <w:pPr>
              <w:spacing w:line="240" w:lineRule="auto" w:after="0" w:before="0"/>
            </w:pPr>
            <w:r/>
            <w:r>
              <w:rPr>
                <w:sz w:val="16"/>
              </w:rPr>
              <w:t>yes</w:t>
            </w:r>
          </w:p>
        </w:tc>
      </w:tr>
      <w:tr>
        <w:trPr>
          <w:cantSplit/>
        </w:trPr>
        <w:tc>
          <w:tcPr>
            <w:tcW w:type="dxa" w:w="1296"/>
          </w:tcPr>
          <w:p>
            <w:pPr>
              <w:spacing w:line="240" w:lineRule="auto" w:after="0" w:before="0"/>
            </w:pPr>
            <w:r/>
            <w:r>
              <w:rPr>
                <w:sz w:val="16"/>
              </w:rPr>
              <w:t>leukocytosis</w:t>
            </w:r>
          </w:p>
        </w:tc>
        <w:tc>
          <w:tcPr>
            <w:tcW w:type="dxa" w:w="1296"/>
          </w:tcPr>
          <w:p>
            <w:pPr>
              <w:spacing w:line="240" w:lineRule="auto" w:after="0" w:before="0"/>
            </w:pPr>
            <w:r/>
            <w:r>
              <w:rPr>
                <w:sz w:val="16"/>
              </w:rPr>
              <w:t>57</w:t>
            </w:r>
          </w:p>
        </w:tc>
        <w:tc>
          <w:tcPr>
            <w:tcW w:type="dxa" w:w="1296"/>
          </w:tcPr>
          <w:p>
            <w:pPr>
              <w:spacing w:line="240" w:lineRule="auto" w:after="0" w:before="0"/>
            </w:pPr>
            <w:r/>
            <w:r>
              <w:rPr>
                <w:sz w:val="16"/>
              </w:rPr>
              <w:t>0.729</w:t>
            </w:r>
          </w:p>
        </w:tc>
        <w:tc>
          <w:tcPr>
            <w:tcW w:type="dxa" w:w="1296"/>
          </w:tcPr>
          <w:p>
            <w:pPr>
              <w:spacing w:line="240" w:lineRule="auto" w:after="0" w:before="0"/>
            </w:pPr>
            <w:r/>
            <w:r>
              <w:rPr>
                <w:sz w:val="16"/>
              </w:rPr>
              <w:t>7.85e-12</w:t>
            </w:r>
          </w:p>
        </w:tc>
        <w:tc>
          <w:tcPr>
            <w:tcW w:type="dxa" w:w="1296"/>
          </w:tcPr>
          <w:p>
            <w:pPr>
              <w:spacing w:line="240" w:lineRule="auto" w:after="0" w:before="0"/>
            </w:pPr>
            <w:r/>
            <w:r>
              <w:rPr>
                <w:sz w:val="16"/>
              </w:rPr>
              <w:t>9.42e-11</w:t>
            </w:r>
          </w:p>
        </w:tc>
        <w:tc>
          <w:tcPr>
            <w:tcW w:type="dxa" w:w="1296"/>
          </w:tcPr>
          <w:p>
            <w:pPr>
              <w:spacing w:line="240" w:lineRule="auto" w:after="0" w:before="0"/>
            </w:pPr>
            <w:r/>
            <w:r>
              <w:rPr>
                <w:sz w:val="16"/>
              </w:rPr>
              <w:t>1.26e-11</w:t>
            </w:r>
          </w:p>
        </w:tc>
        <w:tc>
          <w:tcPr>
            <w:tcW w:type="dxa" w:w="1296"/>
          </w:tcPr>
          <w:p>
            <w:pPr>
              <w:spacing w:line="240" w:lineRule="auto" w:after="0" w:before="0"/>
            </w:pPr>
            <w:r/>
            <w:r>
              <w:rPr>
                <w:sz w:val="16"/>
              </w:rPr>
              <w:t>yes</w:t>
            </w:r>
          </w:p>
        </w:tc>
      </w:tr>
      <w:tr>
        <w:trPr>
          <w:cantSplit/>
        </w:trPr>
        <w:tc>
          <w:tcPr>
            <w:tcW w:type="dxa" w:w="1296"/>
          </w:tcPr>
          <w:p>
            <w:pPr>
              <w:spacing w:line="240" w:lineRule="auto" w:after="0" w:before="0"/>
            </w:pPr>
            <w:r/>
            <w:r>
              <w:rPr>
                <w:sz w:val="16"/>
              </w:rPr>
              <w:t>hyponatremia</w:t>
            </w:r>
          </w:p>
        </w:tc>
        <w:tc>
          <w:tcPr>
            <w:tcW w:type="dxa" w:w="1296"/>
          </w:tcPr>
          <w:p>
            <w:pPr>
              <w:spacing w:line="240" w:lineRule="auto" w:after="0" w:before="0"/>
            </w:pPr>
            <w:r/>
            <w:r>
              <w:rPr>
                <w:sz w:val="16"/>
              </w:rPr>
              <w:t>52</w:t>
            </w:r>
          </w:p>
        </w:tc>
        <w:tc>
          <w:tcPr>
            <w:tcW w:type="dxa" w:w="1296"/>
          </w:tcPr>
          <w:p>
            <w:pPr>
              <w:spacing w:line="240" w:lineRule="auto" w:after="0" w:before="0"/>
            </w:pPr>
            <w:r/>
            <w:r>
              <w:rPr>
                <w:sz w:val="16"/>
              </w:rPr>
              <w:t>0.887</w:t>
            </w:r>
          </w:p>
        </w:tc>
        <w:tc>
          <w:tcPr>
            <w:tcW w:type="dxa" w:w="1296"/>
          </w:tcPr>
          <w:p>
            <w:pPr>
              <w:spacing w:line="240" w:lineRule="auto" w:after="0" w:before="0"/>
            </w:pPr>
            <w:r/>
            <w:r>
              <w:rPr>
                <w:sz w:val="16"/>
              </w:rPr>
              <w:t>7.25e-41</w:t>
            </w:r>
          </w:p>
        </w:tc>
        <w:tc>
          <w:tcPr>
            <w:tcW w:type="dxa" w:w="1296"/>
          </w:tcPr>
          <w:p>
            <w:pPr>
              <w:spacing w:line="240" w:lineRule="auto" w:after="0" w:before="0"/>
            </w:pPr>
            <w:r/>
            <w:r>
              <w:rPr>
                <w:sz w:val="16"/>
              </w:rPr>
              <w:t>1.67e-39</w:t>
            </w:r>
          </w:p>
        </w:tc>
        <w:tc>
          <w:tcPr>
            <w:tcW w:type="dxa" w:w="1296"/>
          </w:tcPr>
          <w:p>
            <w:pPr>
              <w:spacing w:line="240" w:lineRule="auto" w:after="0" w:before="0"/>
            </w:pPr>
            <w:r/>
            <w:r>
              <w:rPr>
                <w:sz w:val="16"/>
              </w:rPr>
              <w:t>3.00e-40</w:t>
            </w:r>
          </w:p>
        </w:tc>
        <w:tc>
          <w:tcPr>
            <w:tcW w:type="dxa" w:w="1296"/>
          </w:tcPr>
          <w:p>
            <w:pPr>
              <w:spacing w:line="240" w:lineRule="auto" w:after="0" w:before="0"/>
            </w:pPr>
            <w:r/>
            <w:r>
              <w:rPr>
                <w:sz w:val="16"/>
              </w:rPr>
              <w:t>yes</w:t>
            </w:r>
          </w:p>
        </w:tc>
      </w:tr>
      <w:tr>
        <w:trPr>
          <w:cantSplit/>
        </w:trPr>
        <w:tc>
          <w:tcPr>
            <w:tcW w:type="dxa" w:w="1296"/>
          </w:tcPr>
          <w:p>
            <w:pPr>
              <w:spacing w:line="240" w:lineRule="auto" w:after="0" w:before="0"/>
            </w:pPr>
            <w:r/>
            <w:r>
              <w:rPr>
                <w:sz w:val="16"/>
              </w:rPr>
              <w:t>metabolic_acidosis</w:t>
            </w:r>
          </w:p>
        </w:tc>
        <w:tc>
          <w:tcPr>
            <w:tcW w:type="dxa" w:w="1296"/>
          </w:tcPr>
          <w:p>
            <w:pPr>
              <w:spacing w:line="240" w:lineRule="auto" w:after="0" w:before="0"/>
            </w:pPr>
            <w:r/>
            <w:r>
              <w:rPr>
                <w:sz w:val="16"/>
              </w:rPr>
              <w:t>51</w:t>
            </w:r>
          </w:p>
        </w:tc>
        <w:tc>
          <w:tcPr>
            <w:tcW w:type="dxa" w:w="1296"/>
          </w:tcPr>
          <w:p>
            <w:pPr>
              <w:spacing w:line="240" w:lineRule="auto" w:after="0" w:before="0"/>
            </w:pPr>
            <w:r/>
            <w:r>
              <w:rPr>
                <w:sz w:val="16"/>
              </w:rPr>
              <w:t>0.757</w:t>
            </w:r>
          </w:p>
        </w:tc>
        <w:tc>
          <w:tcPr>
            <w:tcW w:type="dxa" w:w="1296"/>
          </w:tcPr>
          <w:p>
            <w:pPr>
              <w:spacing w:line="240" w:lineRule="auto" w:after="0" w:before="0"/>
            </w:pPr>
            <w:r/>
            <w:r>
              <w:rPr>
                <w:sz w:val="16"/>
              </w:rPr>
              <w:t>1.77e-13</w:t>
            </w:r>
          </w:p>
        </w:tc>
        <w:tc>
          <w:tcPr>
            <w:tcW w:type="dxa" w:w="1296"/>
          </w:tcPr>
          <w:p>
            <w:pPr>
              <w:spacing w:line="240" w:lineRule="auto" w:after="0" w:before="0"/>
            </w:pPr>
            <w:r/>
            <w:r>
              <w:rPr>
                <w:sz w:val="16"/>
              </w:rPr>
              <w:t>2.30e-12</w:t>
            </w:r>
          </w:p>
        </w:tc>
        <w:tc>
          <w:tcPr>
            <w:tcW w:type="dxa" w:w="1296"/>
          </w:tcPr>
          <w:p>
            <w:pPr>
              <w:spacing w:line="240" w:lineRule="auto" w:after="0" w:before="0"/>
            </w:pPr>
            <w:r/>
            <w:r>
              <w:rPr>
                <w:sz w:val="16"/>
              </w:rPr>
              <w:t>3.02e-13</w:t>
            </w:r>
          </w:p>
        </w:tc>
        <w:tc>
          <w:tcPr>
            <w:tcW w:type="dxa" w:w="1296"/>
          </w:tcPr>
          <w:p>
            <w:pPr>
              <w:spacing w:line="240" w:lineRule="auto" w:after="0" w:before="0"/>
            </w:pPr>
            <w:r/>
            <w:r>
              <w:rPr>
                <w:sz w:val="16"/>
              </w:rPr>
              <w:t>yes</w:t>
            </w:r>
          </w:p>
        </w:tc>
      </w:tr>
      <w:tr>
        <w:trPr>
          <w:cantSplit/>
        </w:trPr>
        <w:tc>
          <w:tcPr>
            <w:tcW w:type="dxa" w:w="1296"/>
          </w:tcPr>
          <w:p>
            <w:pPr>
              <w:spacing w:line="240" w:lineRule="auto" w:after="0" w:before="0"/>
            </w:pPr>
            <w:r/>
            <w:r>
              <w:rPr>
                <w:sz w:val="16"/>
              </w:rPr>
              <w:t>hyperkalemia</w:t>
            </w:r>
          </w:p>
        </w:tc>
        <w:tc>
          <w:tcPr>
            <w:tcW w:type="dxa" w:w="1296"/>
          </w:tcPr>
          <w:p>
            <w:pPr>
              <w:spacing w:line="240" w:lineRule="auto" w:after="0" w:before="0"/>
            </w:pPr>
            <w:r/>
            <w:r>
              <w:rPr>
                <w:sz w:val="16"/>
              </w:rPr>
              <w:t>49</w:t>
            </w:r>
          </w:p>
        </w:tc>
        <w:tc>
          <w:tcPr>
            <w:tcW w:type="dxa" w:w="1296"/>
          </w:tcPr>
          <w:p>
            <w:pPr>
              <w:spacing w:line="240" w:lineRule="auto" w:after="0" w:before="0"/>
            </w:pPr>
            <w:r/>
            <w:r>
              <w:rPr>
                <w:sz w:val="16"/>
              </w:rPr>
              <w:t>0.917</w:t>
            </w:r>
          </w:p>
        </w:tc>
        <w:tc>
          <w:tcPr>
            <w:tcW w:type="dxa" w:w="1296"/>
          </w:tcPr>
          <w:p>
            <w:pPr>
              <w:spacing w:line="240" w:lineRule="auto" w:after="0" w:before="0"/>
            </w:pPr>
            <w:r/>
            <w:r>
              <w:rPr>
                <w:sz w:val="16"/>
              </w:rPr>
              <w:t>6.31e-90</w:t>
            </w:r>
          </w:p>
        </w:tc>
        <w:tc>
          <w:tcPr>
            <w:tcW w:type="dxa" w:w="1296"/>
          </w:tcPr>
          <w:p>
            <w:pPr>
              <w:spacing w:line="240" w:lineRule="auto" w:after="0" w:before="0"/>
            </w:pPr>
            <w:r/>
            <w:r>
              <w:rPr>
                <w:sz w:val="16"/>
              </w:rPr>
              <w:t>1.83e-88</w:t>
            </w:r>
          </w:p>
        </w:tc>
        <w:tc>
          <w:tcPr>
            <w:tcW w:type="dxa" w:w="1296"/>
          </w:tcPr>
          <w:p>
            <w:pPr>
              <w:spacing w:line="240" w:lineRule="auto" w:after="0" w:before="0"/>
            </w:pPr>
            <w:r/>
            <w:r>
              <w:rPr>
                <w:sz w:val="16"/>
              </w:rPr>
              <w:t>1.72e-88</w:t>
            </w:r>
          </w:p>
        </w:tc>
        <w:tc>
          <w:tcPr>
            <w:tcW w:type="dxa" w:w="1296"/>
          </w:tcPr>
          <w:p>
            <w:pPr>
              <w:spacing w:line="240" w:lineRule="auto" w:after="0" w:before="0"/>
            </w:pPr>
            <w:r/>
            <w:r>
              <w:rPr>
                <w:sz w:val="16"/>
              </w:rPr>
              <w:t>yes</w:t>
            </w:r>
          </w:p>
        </w:tc>
      </w:tr>
      <w:tr>
        <w:trPr>
          <w:cantSplit/>
        </w:trPr>
        <w:tc>
          <w:tcPr>
            <w:tcW w:type="dxa" w:w="1296"/>
          </w:tcPr>
          <w:p>
            <w:pPr>
              <w:spacing w:line="240" w:lineRule="auto" w:after="0" w:before="0"/>
            </w:pPr>
            <w:r/>
            <w:r>
              <w:rPr>
                <w:sz w:val="16"/>
              </w:rPr>
              <w:t>thrombocytopenia</w:t>
            </w:r>
          </w:p>
        </w:tc>
        <w:tc>
          <w:tcPr>
            <w:tcW w:type="dxa" w:w="1296"/>
          </w:tcPr>
          <w:p>
            <w:pPr>
              <w:spacing w:line="240" w:lineRule="auto" w:after="0" w:before="0"/>
            </w:pPr>
            <w:r/>
            <w:r>
              <w:rPr>
                <w:sz w:val="16"/>
              </w:rPr>
              <w:t>40</w:t>
            </w:r>
          </w:p>
        </w:tc>
        <w:tc>
          <w:tcPr>
            <w:tcW w:type="dxa" w:w="1296"/>
          </w:tcPr>
          <w:p>
            <w:pPr>
              <w:spacing w:line="240" w:lineRule="auto" w:after="0" w:before="0"/>
            </w:pPr>
            <w:r/>
            <w:r>
              <w:rPr>
                <w:sz w:val="16"/>
              </w:rPr>
              <w:t>0.889</w:t>
            </w:r>
          </w:p>
        </w:tc>
        <w:tc>
          <w:tcPr>
            <w:tcW w:type="dxa" w:w="1296"/>
          </w:tcPr>
          <w:p>
            <w:pPr>
              <w:spacing w:line="240" w:lineRule="auto" w:after="0" w:before="0"/>
            </w:pPr>
            <w:r/>
            <w:r>
              <w:rPr>
                <w:sz w:val="16"/>
              </w:rPr>
              <w:t>1.03e-31</w:t>
            </w:r>
          </w:p>
        </w:tc>
        <w:tc>
          <w:tcPr>
            <w:tcW w:type="dxa" w:w="1296"/>
          </w:tcPr>
          <w:p>
            <w:pPr>
              <w:spacing w:line="240" w:lineRule="auto" w:after="0" w:before="0"/>
            </w:pPr>
            <w:r/>
            <w:r>
              <w:rPr>
                <w:sz w:val="16"/>
              </w:rPr>
              <w:t>2.16e-30</w:t>
            </w:r>
          </w:p>
        </w:tc>
        <w:tc>
          <w:tcPr>
            <w:tcW w:type="dxa" w:w="1296"/>
          </w:tcPr>
          <w:p>
            <w:pPr>
              <w:spacing w:line="240" w:lineRule="auto" w:after="0" w:before="0"/>
            </w:pPr>
            <w:r/>
            <w:r>
              <w:rPr>
                <w:sz w:val="16"/>
              </w:rPr>
              <w:t>3.32e-31</w:t>
            </w:r>
          </w:p>
        </w:tc>
        <w:tc>
          <w:tcPr>
            <w:tcW w:type="dxa" w:w="1296"/>
          </w:tcPr>
          <w:p>
            <w:pPr>
              <w:spacing w:line="240" w:lineRule="auto" w:after="0" w:before="0"/>
            </w:pPr>
            <w:r/>
            <w:r>
              <w:rPr>
                <w:sz w:val="16"/>
              </w:rPr>
              <w:t>yes</w:t>
            </w:r>
          </w:p>
        </w:tc>
      </w:tr>
      <w:tr>
        <w:trPr>
          <w:cantSplit/>
        </w:trPr>
        <w:tc>
          <w:tcPr>
            <w:tcW w:type="dxa" w:w="1296"/>
          </w:tcPr>
          <w:p>
            <w:pPr>
              <w:spacing w:line="240" w:lineRule="auto" w:after="0" w:before="0"/>
            </w:pPr>
            <w:r/>
            <w:r>
              <w:rPr>
                <w:sz w:val="16"/>
              </w:rPr>
              <w:t>hypomagnesemia</w:t>
            </w:r>
          </w:p>
        </w:tc>
        <w:tc>
          <w:tcPr>
            <w:tcW w:type="dxa" w:w="1296"/>
          </w:tcPr>
          <w:p>
            <w:pPr>
              <w:spacing w:line="240" w:lineRule="auto" w:after="0" w:before="0"/>
            </w:pPr>
            <w:r/>
            <w:r>
              <w:rPr>
                <w:sz w:val="16"/>
              </w:rPr>
              <w:t>37</w:t>
            </w:r>
          </w:p>
        </w:tc>
        <w:tc>
          <w:tcPr>
            <w:tcW w:type="dxa" w:w="1296"/>
          </w:tcPr>
          <w:p>
            <w:pPr>
              <w:spacing w:line="240" w:lineRule="auto" w:after="0" w:before="0"/>
            </w:pPr>
            <w:r/>
            <w:r>
              <w:rPr>
                <w:sz w:val="16"/>
              </w:rPr>
              <w:t>0.673</w:t>
            </w:r>
          </w:p>
        </w:tc>
        <w:tc>
          <w:tcPr>
            <w:tcW w:type="dxa" w:w="1296"/>
          </w:tcPr>
          <w:p>
            <w:pPr>
              <w:spacing w:line="240" w:lineRule="auto" w:after="0" w:before="0"/>
            </w:pPr>
            <w:r/>
            <w:r>
              <w:rPr>
                <w:sz w:val="16"/>
              </w:rPr>
              <w:t>1.42e-06</w:t>
            </w:r>
          </w:p>
        </w:tc>
        <w:tc>
          <w:tcPr>
            <w:tcW w:type="dxa" w:w="1296"/>
          </w:tcPr>
          <w:p>
            <w:pPr>
              <w:spacing w:line="240" w:lineRule="auto" w:after="0" w:before="0"/>
            </w:pPr>
            <w:r/>
            <w:r>
              <w:rPr>
                <w:sz w:val="16"/>
              </w:rPr>
              <w:t>9.95e-06</w:t>
            </w:r>
          </w:p>
        </w:tc>
        <w:tc>
          <w:tcPr>
            <w:tcW w:type="dxa" w:w="1296"/>
          </w:tcPr>
          <w:p>
            <w:pPr>
              <w:spacing w:line="240" w:lineRule="auto" w:after="0" w:before="0"/>
            </w:pPr>
            <w:r/>
            <w:r>
              <w:rPr>
                <w:sz w:val="16"/>
              </w:rPr>
              <w:t>1.79e-06</w:t>
            </w:r>
          </w:p>
        </w:tc>
        <w:tc>
          <w:tcPr>
            <w:tcW w:type="dxa" w:w="1296"/>
          </w:tcPr>
          <w:p>
            <w:pPr>
              <w:spacing w:line="240" w:lineRule="auto" w:after="0" w:before="0"/>
            </w:pPr>
            <w:r/>
            <w:r>
              <w:rPr>
                <w:sz w:val="16"/>
              </w:rPr>
              <w:t>yes</w:t>
            </w:r>
          </w:p>
        </w:tc>
      </w:tr>
      <w:tr>
        <w:trPr>
          <w:cantSplit/>
        </w:trPr>
        <w:tc>
          <w:tcPr>
            <w:tcW w:type="dxa" w:w="1296"/>
          </w:tcPr>
          <w:p>
            <w:pPr>
              <w:spacing w:line="240" w:lineRule="auto" w:after="0" w:before="0"/>
            </w:pPr>
            <w:r/>
            <w:r>
              <w:rPr>
                <w:sz w:val="16"/>
              </w:rPr>
              <w:t>alcohol_withdrawal</w:t>
            </w:r>
          </w:p>
        </w:tc>
        <w:tc>
          <w:tcPr>
            <w:tcW w:type="dxa" w:w="1296"/>
          </w:tcPr>
          <w:p>
            <w:pPr>
              <w:spacing w:line="240" w:lineRule="auto" w:after="0" w:before="0"/>
            </w:pPr>
            <w:r/>
            <w:r>
              <w:rPr>
                <w:sz w:val="16"/>
              </w:rPr>
              <w:t>33</w:t>
            </w:r>
          </w:p>
        </w:tc>
        <w:tc>
          <w:tcPr>
            <w:tcW w:type="dxa" w:w="1296"/>
          </w:tcPr>
          <w:p>
            <w:pPr>
              <w:spacing w:line="240" w:lineRule="auto" w:after="0" w:before="0"/>
            </w:pPr>
            <w:r/>
            <w:r>
              <w:rPr>
                <w:sz w:val="16"/>
              </w:rPr>
              <w:t>0.652</w:t>
            </w:r>
          </w:p>
        </w:tc>
        <w:tc>
          <w:tcPr>
            <w:tcW w:type="dxa" w:w="1296"/>
          </w:tcPr>
          <w:p>
            <w:pPr>
              <w:spacing w:line="240" w:lineRule="auto" w:after="0" w:before="0"/>
            </w:pPr>
            <w:r/>
            <w:r>
              <w:rPr>
                <w:sz w:val="16"/>
              </w:rPr>
              <w:t>5.67e-07</w:t>
            </w:r>
          </w:p>
        </w:tc>
        <w:tc>
          <w:tcPr>
            <w:tcW w:type="dxa" w:w="1296"/>
          </w:tcPr>
          <w:p>
            <w:pPr>
              <w:spacing w:line="240" w:lineRule="auto" w:after="0" w:before="0"/>
            </w:pPr>
            <w:r/>
            <w:r>
              <w:rPr>
                <w:sz w:val="16"/>
              </w:rPr>
              <w:t>4.53e-06</w:t>
            </w:r>
          </w:p>
        </w:tc>
        <w:tc>
          <w:tcPr>
            <w:tcW w:type="dxa" w:w="1296"/>
          </w:tcPr>
          <w:p>
            <w:pPr>
              <w:spacing w:line="240" w:lineRule="auto" w:after="0" w:before="0"/>
            </w:pPr>
            <w:r/>
            <w:r>
              <w:rPr>
                <w:sz w:val="16"/>
              </w:rPr>
              <w:t>7.47e-07</w:t>
            </w:r>
          </w:p>
        </w:tc>
        <w:tc>
          <w:tcPr>
            <w:tcW w:type="dxa" w:w="1296"/>
          </w:tcPr>
          <w:p>
            <w:pPr>
              <w:spacing w:line="240" w:lineRule="auto" w:after="0" w:before="0"/>
            </w:pPr>
            <w:r/>
            <w:r>
              <w:rPr>
                <w:sz w:val="16"/>
              </w:rPr>
              <w:t>yes</w:t>
            </w:r>
          </w:p>
        </w:tc>
      </w:tr>
      <w:tr>
        <w:trPr>
          <w:cantSplit/>
        </w:trPr>
        <w:tc>
          <w:tcPr>
            <w:tcW w:type="dxa" w:w="1296"/>
          </w:tcPr>
          <w:p>
            <w:pPr>
              <w:spacing w:line="240" w:lineRule="auto" w:after="0" w:before="0"/>
            </w:pPr>
            <w:r/>
            <w:r>
              <w:rPr>
                <w:sz w:val="16"/>
              </w:rPr>
              <w:t>coagulopathy</w:t>
            </w:r>
          </w:p>
        </w:tc>
        <w:tc>
          <w:tcPr>
            <w:tcW w:type="dxa" w:w="1296"/>
          </w:tcPr>
          <w:p>
            <w:pPr>
              <w:spacing w:line="240" w:lineRule="auto" w:after="0" w:before="0"/>
            </w:pPr>
            <w:r/>
            <w:r>
              <w:rPr>
                <w:sz w:val="16"/>
              </w:rPr>
              <w:t>28</w:t>
            </w:r>
          </w:p>
        </w:tc>
        <w:tc>
          <w:tcPr>
            <w:tcW w:type="dxa" w:w="1296"/>
          </w:tcPr>
          <w:p>
            <w:pPr>
              <w:spacing w:line="240" w:lineRule="auto" w:after="0" w:before="0"/>
            </w:pPr>
            <w:r/>
            <w:r>
              <w:rPr>
                <w:sz w:val="16"/>
              </w:rPr>
              <w:t>0.751</w:t>
            </w:r>
          </w:p>
        </w:tc>
        <w:tc>
          <w:tcPr>
            <w:tcW w:type="dxa" w:w="1296"/>
          </w:tcPr>
          <w:p>
            <w:pPr>
              <w:spacing w:line="240" w:lineRule="auto" w:after="0" w:before="0"/>
            </w:pPr>
            <w:r/>
            <w:r>
              <w:rPr>
                <w:sz w:val="16"/>
              </w:rPr>
              <w:t>1.86e-11</w:t>
            </w:r>
          </w:p>
        </w:tc>
        <w:tc>
          <w:tcPr>
            <w:tcW w:type="dxa" w:w="1296"/>
          </w:tcPr>
          <w:p>
            <w:pPr>
              <w:spacing w:line="240" w:lineRule="auto" w:after="0" w:before="0"/>
            </w:pPr>
            <w:r/>
            <w:r>
              <w:rPr>
                <w:sz w:val="16"/>
              </w:rPr>
              <w:t>1.86e-10</w:t>
            </w:r>
          </w:p>
        </w:tc>
        <w:tc>
          <w:tcPr>
            <w:tcW w:type="dxa" w:w="1296"/>
          </w:tcPr>
          <w:p>
            <w:pPr>
              <w:spacing w:line="240" w:lineRule="auto" w:after="0" w:before="0"/>
            </w:pPr>
            <w:r/>
            <w:r>
              <w:rPr>
                <w:sz w:val="16"/>
              </w:rPr>
              <w:t>2.70e-11</w:t>
            </w:r>
          </w:p>
        </w:tc>
        <w:tc>
          <w:tcPr>
            <w:tcW w:type="dxa" w:w="1296"/>
          </w:tcPr>
          <w:p>
            <w:pPr>
              <w:spacing w:line="240" w:lineRule="auto" w:after="0" w:before="0"/>
            </w:pPr>
            <w:r/>
            <w:r>
              <w:rPr>
                <w:sz w:val="16"/>
              </w:rPr>
              <w:t>yes</w:t>
            </w:r>
          </w:p>
        </w:tc>
      </w:tr>
      <w:tr>
        <w:trPr>
          <w:cantSplit/>
        </w:trPr>
        <w:tc>
          <w:tcPr>
            <w:tcW w:type="dxa" w:w="1296"/>
          </w:tcPr>
          <w:p>
            <w:pPr>
              <w:spacing w:line="240" w:lineRule="auto" w:after="0" w:before="0"/>
            </w:pPr>
            <w:r/>
            <w:r>
              <w:rPr>
                <w:sz w:val="16"/>
              </w:rPr>
              <w:t>cirrhosis_liver_failure</w:t>
            </w:r>
          </w:p>
        </w:tc>
        <w:tc>
          <w:tcPr>
            <w:tcW w:type="dxa" w:w="1296"/>
          </w:tcPr>
          <w:p>
            <w:pPr>
              <w:spacing w:line="240" w:lineRule="auto" w:after="0" w:before="0"/>
            </w:pPr>
            <w:r/>
            <w:r>
              <w:rPr>
                <w:sz w:val="16"/>
              </w:rPr>
              <w:t>25</w:t>
            </w:r>
          </w:p>
        </w:tc>
        <w:tc>
          <w:tcPr>
            <w:tcW w:type="dxa" w:w="1296"/>
          </w:tcPr>
          <w:p>
            <w:pPr>
              <w:spacing w:line="240" w:lineRule="auto" w:after="0" w:before="0"/>
            </w:pPr>
            <w:r/>
            <w:r>
              <w:rPr>
                <w:sz w:val="16"/>
              </w:rPr>
              <w:t>0.865</w:t>
            </w:r>
          </w:p>
        </w:tc>
        <w:tc>
          <w:tcPr>
            <w:tcW w:type="dxa" w:w="1296"/>
          </w:tcPr>
          <w:p>
            <w:pPr>
              <w:spacing w:line="240" w:lineRule="auto" w:after="0" w:before="0"/>
            </w:pPr>
            <w:r/>
            <w:r>
              <w:rPr>
                <w:sz w:val="16"/>
              </w:rPr>
              <w:t>4.79e-14</w:t>
            </w:r>
          </w:p>
        </w:tc>
        <w:tc>
          <w:tcPr>
            <w:tcW w:type="dxa" w:w="1296"/>
          </w:tcPr>
          <w:p>
            <w:pPr>
              <w:spacing w:line="240" w:lineRule="auto" w:after="0" w:before="0"/>
            </w:pPr>
            <w:r/>
            <w:r>
              <w:rPr>
                <w:sz w:val="16"/>
              </w:rPr>
              <w:t>6.71e-13</w:t>
            </w:r>
          </w:p>
        </w:tc>
        <w:tc>
          <w:tcPr>
            <w:tcW w:type="dxa" w:w="1296"/>
          </w:tcPr>
          <w:p>
            <w:pPr>
              <w:spacing w:line="240" w:lineRule="auto" w:after="0" w:before="0"/>
            </w:pPr>
            <w:r/>
            <w:r>
              <w:rPr>
                <w:sz w:val="16"/>
              </w:rPr>
              <w:t>8.69e-14</w:t>
            </w:r>
          </w:p>
        </w:tc>
        <w:tc>
          <w:tcPr>
            <w:tcW w:type="dxa" w:w="1296"/>
          </w:tcPr>
          <w:p>
            <w:pPr>
              <w:spacing w:line="240" w:lineRule="auto" w:after="0" w:before="0"/>
            </w:pPr>
            <w:r/>
            <w:r>
              <w:rPr>
                <w:sz w:val="16"/>
              </w:rPr>
              <w:t>yes</w:t>
            </w:r>
          </w:p>
        </w:tc>
      </w:tr>
      <w:tr>
        <w:trPr>
          <w:cantSplit/>
        </w:trPr>
        <w:tc>
          <w:tcPr>
            <w:tcW w:type="dxa" w:w="1296"/>
          </w:tcPr>
          <w:p>
            <w:pPr>
              <w:spacing w:line="240" w:lineRule="auto" w:after="0" w:before="0"/>
            </w:pPr>
            <w:r/>
            <w:r>
              <w:rPr>
                <w:sz w:val="16"/>
              </w:rPr>
              <w:t>hypoglycemia</w:t>
            </w:r>
          </w:p>
        </w:tc>
        <w:tc>
          <w:tcPr>
            <w:tcW w:type="dxa" w:w="1296"/>
          </w:tcPr>
          <w:p>
            <w:pPr>
              <w:spacing w:line="240" w:lineRule="auto" w:after="0" w:before="0"/>
            </w:pPr>
            <w:r/>
            <w:r>
              <w:rPr>
                <w:sz w:val="16"/>
              </w:rPr>
              <w:t>21</w:t>
            </w:r>
          </w:p>
        </w:tc>
        <w:tc>
          <w:tcPr>
            <w:tcW w:type="dxa" w:w="1296"/>
          </w:tcPr>
          <w:p>
            <w:pPr>
              <w:spacing w:line="240" w:lineRule="auto" w:after="0" w:before="0"/>
            </w:pPr>
            <w:r/>
            <w:r>
              <w:rPr>
                <w:sz w:val="16"/>
              </w:rPr>
              <w:t>0.641</w:t>
            </w:r>
          </w:p>
        </w:tc>
        <w:tc>
          <w:tcPr>
            <w:tcW w:type="dxa" w:w="1296"/>
          </w:tcPr>
          <w:p>
            <w:pPr>
              <w:spacing w:line="240" w:lineRule="auto" w:after="0" w:before="0"/>
            </w:pPr>
            <w:r/>
            <w:r>
              <w:rPr>
                <w:sz w:val="16"/>
              </w:rPr>
              <w:t>1.28e-52</w:t>
            </w:r>
          </w:p>
        </w:tc>
        <w:tc>
          <w:tcPr>
            <w:tcW w:type="dxa" w:w="1296"/>
          </w:tcPr>
          <w:p>
            <w:pPr>
              <w:spacing w:line="240" w:lineRule="auto" w:after="0" w:before="0"/>
            </w:pPr>
            <w:r/>
            <w:r>
              <w:rPr>
                <w:sz w:val="16"/>
              </w:rPr>
              <w:t>3.32e-51</w:t>
            </w:r>
          </w:p>
        </w:tc>
        <w:tc>
          <w:tcPr>
            <w:tcW w:type="dxa" w:w="1296"/>
          </w:tcPr>
          <w:p>
            <w:pPr>
              <w:spacing w:line="240" w:lineRule="auto" w:after="0" w:before="0"/>
            </w:pPr>
            <w:r/>
            <w:r>
              <w:rPr>
                <w:sz w:val="16"/>
              </w:rPr>
              <w:t>9.25e-52</w:t>
            </w:r>
          </w:p>
        </w:tc>
        <w:tc>
          <w:tcPr>
            <w:tcW w:type="dxa" w:w="1296"/>
          </w:tcPr>
          <w:p>
            <w:pPr>
              <w:spacing w:line="240" w:lineRule="auto" w:after="0" w:before="0"/>
            </w:pPr>
            <w:r/>
            <w:r>
              <w:rPr>
                <w:sz w:val="16"/>
              </w:rPr>
              <w:t>yes</w:t>
            </w:r>
          </w:p>
        </w:tc>
      </w:tr>
      <w:tr>
        <w:trPr>
          <w:cantSplit/>
        </w:trPr>
        <w:tc>
          <w:tcPr>
            <w:tcW w:type="dxa" w:w="1296"/>
          </w:tcPr>
          <w:p>
            <w:pPr>
              <w:spacing w:line="240" w:lineRule="auto" w:after="0" w:before="0"/>
            </w:pPr>
            <w:r/>
            <w:r>
              <w:rPr>
                <w:sz w:val="16"/>
              </w:rPr>
              <w:t>lactic_acidosis</w:t>
            </w:r>
          </w:p>
        </w:tc>
        <w:tc>
          <w:tcPr>
            <w:tcW w:type="dxa" w:w="1296"/>
          </w:tcPr>
          <w:p>
            <w:pPr>
              <w:spacing w:line="240" w:lineRule="auto" w:after="0" w:before="0"/>
            </w:pPr>
            <w:r/>
            <w:r>
              <w:rPr>
                <w:sz w:val="16"/>
              </w:rPr>
              <w:t>19</w:t>
            </w:r>
          </w:p>
        </w:tc>
        <w:tc>
          <w:tcPr>
            <w:tcW w:type="dxa" w:w="1296"/>
          </w:tcPr>
          <w:p>
            <w:pPr>
              <w:spacing w:line="240" w:lineRule="auto" w:after="0" w:before="0"/>
            </w:pPr>
            <w:r/>
            <w:r>
              <w:rPr>
                <w:sz w:val="16"/>
              </w:rPr>
              <w:t>0.735</w:t>
            </w:r>
          </w:p>
        </w:tc>
        <w:tc>
          <w:tcPr>
            <w:tcW w:type="dxa" w:w="1296"/>
          </w:tcPr>
          <w:p>
            <w:pPr>
              <w:spacing w:line="240" w:lineRule="auto" w:after="0" w:before="0"/>
            </w:pPr>
            <w:r/>
            <w:r>
              <w:rPr>
                <w:sz w:val="16"/>
              </w:rPr>
              <w:t>1.97e-06</w:t>
            </w:r>
          </w:p>
        </w:tc>
        <w:tc>
          <w:tcPr>
            <w:tcW w:type="dxa" w:w="1296"/>
          </w:tcPr>
          <w:p>
            <w:pPr>
              <w:spacing w:line="240" w:lineRule="auto" w:after="0" w:before="0"/>
            </w:pPr>
            <w:r/>
            <w:r>
              <w:rPr>
                <w:sz w:val="16"/>
              </w:rPr>
              <w:t>1.18e-05</w:t>
            </w:r>
          </w:p>
        </w:tc>
        <w:tc>
          <w:tcPr>
            <w:tcW w:type="dxa" w:w="1296"/>
          </w:tcPr>
          <w:p>
            <w:pPr>
              <w:spacing w:line="240" w:lineRule="auto" w:after="0" w:before="0"/>
            </w:pPr>
            <w:r/>
            <w:r>
              <w:rPr>
                <w:sz w:val="16"/>
              </w:rPr>
              <w:t>2.38e-06</w:t>
            </w:r>
          </w:p>
        </w:tc>
        <w:tc>
          <w:tcPr>
            <w:tcW w:type="dxa" w:w="1296"/>
          </w:tcPr>
          <w:p>
            <w:pPr>
              <w:spacing w:line="240" w:lineRule="auto" w:after="0" w:before="0"/>
            </w:pPr>
            <w:r/>
            <w:r>
              <w:rPr>
                <w:sz w:val="16"/>
              </w:rPr>
              <w:t>yes</w:t>
            </w:r>
          </w:p>
        </w:tc>
      </w:tr>
      <w:tr>
        <w:trPr>
          <w:cantSplit/>
        </w:trPr>
        <w:tc>
          <w:tcPr>
            <w:tcW w:type="dxa" w:w="1296"/>
          </w:tcPr>
          <w:p>
            <w:pPr>
              <w:spacing w:line="240" w:lineRule="auto" w:after="0" w:before="0"/>
            </w:pPr>
            <w:r/>
            <w:r>
              <w:rPr>
                <w:sz w:val="16"/>
              </w:rPr>
              <w:t>acute_pancreatitis</w:t>
            </w:r>
          </w:p>
        </w:tc>
        <w:tc>
          <w:tcPr>
            <w:tcW w:type="dxa" w:w="1296"/>
          </w:tcPr>
          <w:p>
            <w:pPr>
              <w:spacing w:line="240" w:lineRule="auto" w:after="0" w:before="0"/>
            </w:pPr>
            <w:r/>
            <w:r>
              <w:rPr>
                <w:sz w:val="16"/>
              </w:rPr>
              <w:t>18</w:t>
            </w:r>
          </w:p>
        </w:tc>
        <w:tc>
          <w:tcPr>
            <w:tcW w:type="dxa" w:w="1296"/>
          </w:tcPr>
          <w:p>
            <w:pPr>
              <w:spacing w:line="240" w:lineRule="auto" w:after="0" w:before="0"/>
            </w:pPr>
            <w:r/>
            <w:r>
              <w:rPr>
                <w:sz w:val="16"/>
              </w:rPr>
              <w:t>0.733</w:t>
            </w:r>
          </w:p>
        </w:tc>
        <w:tc>
          <w:tcPr>
            <w:tcW w:type="dxa" w:w="1296"/>
          </w:tcPr>
          <w:p>
            <w:pPr>
              <w:spacing w:line="240" w:lineRule="auto" w:after="0" w:before="0"/>
            </w:pPr>
            <w:r/>
            <w:r>
              <w:rPr>
                <w:sz w:val="16"/>
              </w:rPr>
              <w:t>8.08e-06</w:t>
            </w:r>
          </w:p>
        </w:tc>
        <w:tc>
          <w:tcPr>
            <w:tcW w:type="dxa" w:w="1296"/>
          </w:tcPr>
          <w:p>
            <w:pPr>
              <w:spacing w:line="240" w:lineRule="auto" w:after="0" w:before="0"/>
            </w:pPr>
            <w:r/>
            <w:r>
              <w:rPr>
                <w:sz w:val="16"/>
              </w:rPr>
              <w:t>4.04e-05</w:t>
            </w:r>
          </w:p>
        </w:tc>
        <w:tc>
          <w:tcPr>
            <w:tcW w:type="dxa" w:w="1296"/>
          </w:tcPr>
          <w:p>
            <w:pPr>
              <w:spacing w:line="240" w:lineRule="auto" w:after="0" w:before="0"/>
            </w:pPr>
            <w:r/>
            <w:r>
              <w:rPr>
                <w:sz w:val="16"/>
              </w:rPr>
              <w:t>9.38e-06</w:t>
            </w:r>
          </w:p>
        </w:tc>
        <w:tc>
          <w:tcPr>
            <w:tcW w:type="dxa" w:w="1296"/>
          </w:tcPr>
          <w:p>
            <w:pPr>
              <w:spacing w:line="240" w:lineRule="auto" w:after="0" w:before="0"/>
            </w:pPr>
            <w:r/>
            <w:r>
              <w:rPr>
                <w:sz w:val="16"/>
              </w:rPr>
              <w:t>yes</w:t>
            </w:r>
          </w:p>
        </w:tc>
      </w:tr>
      <w:tr>
        <w:trPr>
          <w:cantSplit/>
        </w:trPr>
        <w:tc>
          <w:tcPr>
            <w:tcW w:type="dxa" w:w="1296"/>
          </w:tcPr>
          <w:p>
            <w:pPr>
              <w:spacing w:line="240" w:lineRule="auto" w:after="0" w:before="0"/>
            </w:pPr>
            <w:r/>
            <w:r>
              <w:rPr>
                <w:sz w:val="16"/>
              </w:rPr>
              <w:t>malnutrition</w:t>
            </w:r>
          </w:p>
        </w:tc>
        <w:tc>
          <w:tcPr>
            <w:tcW w:type="dxa" w:w="1296"/>
          </w:tcPr>
          <w:p>
            <w:pPr>
              <w:spacing w:line="240" w:lineRule="auto" w:after="0" w:before="0"/>
            </w:pPr>
            <w:r/>
            <w:r>
              <w:rPr>
                <w:sz w:val="16"/>
              </w:rPr>
              <w:t>16</w:t>
            </w:r>
          </w:p>
        </w:tc>
        <w:tc>
          <w:tcPr>
            <w:tcW w:type="dxa" w:w="1296"/>
          </w:tcPr>
          <w:p>
            <w:pPr>
              <w:spacing w:line="240" w:lineRule="auto" w:after="0" w:before="0"/>
            </w:pPr>
            <w:r/>
            <w:r>
              <w:rPr>
                <w:sz w:val="16"/>
              </w:rPr>
              <w:t>0.515</w:t>
            </w:r>
          </w:p>
        </w:tc>
        <w:tc>
          <w:tcPr>
            <w:tcW w:type="dxa" w:w="1296"/>
          </w:tcPr>
          <w:p>
            <w:pPr>
              <w:spacing w:line="240" w:lineRule="auto" w:after="0" w:before="0"/>
            </w:pPr>
            <w:r/>
            <w:r>
              <w:rPr>
                <w:sz w:val="16"/>
              </w:rPr>
              <w:t>8.33e-01</w:t>
            </w:r>
          </w:p>
        </w:tc>
        <w:tc>
          <w:tcPr>
            <w:tcW w:type="dxa" w:w="1296"/>
          </w:tcPr>
          <w:p>
            <w:pPr>
              <w:spacing w:line="240" w:lineRule="auto" w:after="0" w:before="0"/>
            </w:pPr>
            <w:r/>
            <w:r>
              <w:rPr>
                <w:sz w:val="16"/>
              </w:rPr>
              <w:t>8.33e-01</w:t>
            </w:r>
          </w:p>
        </w:tc>
        <w:tc>
          <w:tcPr>
            <w:tcW w:type="dxa" w:w="1296"/>
          </w:tcPr>
          <w:p>
            <w:pPr>
              <w:spacing w:line="240" w:lineRule="auto" w:after="0" w:before="0"/>
            </w:pPr>
            <w:r/>
            <w:r>
              <w:rPr>
                <w:sz w:val="16"/>
              </w:rPr>
              <w:t>8.33e-01</w:t>
            </w:r>
          </w:p>
        </w:tc>
        <w:tc>
          <w:tcPr>
            <w:tcW w:type="dxa" w:w="1296"/>
          </w:tcPr>
          <w:p>
            <w:pPr>
              <w:spacing w:line="240" w:lineRule="auto" w:after="0" w:before="0"/>
            </w:pPr>
            <w:r/>
            <w:r>
              <w:rPr>
                <w:sz w:val="16"/>
              </w:rPr>
              <w:t>no</w:t>
            </w:r>
          </w:p>
        </w:tc>
      </w:tr>
      <w:tr>
        <w:trPr>
          <w:cantSplit/>
        </w:trPr>
        <w:tc>
          <w:tcPr>
            <w:tcW w:type="dxa" w:w="1296"/>
          </w:tcPr>
          <w:p>
            <w:pPr>
              <w:spacing w:line="240" w:lineRule="auto" w:after="0" w:before="0"/>
            </w:pPr>
            <w:r/>
            <w:r>
              <w:rPr>
                <w:sz w:val="16"/>
              </w:rPr>
              <w:t>hypernatremia</w:t>
            </w:r>
          </w:p>
        </w:tc>
        <w:tc>
          <w:tcPr>
            <w:tcW w:type="dxa" w:w="1296"/>
          </w:tcPr>
          <w:p>
            <w:pPr>
              <w:spacing w:line="240" w:lineRule="auto" w:after="0" w:before="0"/>
            </w:pPr>
            <w:r/>
            <w:r>
              <w:rPr>
                <w:sz w:val="16"/>
              </w:rPr>
              <w:t>14</w:t>
            </w:r>
          </w:p>
        </w:tc>
        <w:tc>
          <w:tcPr>
            <w:tcW w:type="dxa" w:w="1296"/>
          </w:tcPr>
          <w:p>
            <w:pPr>
              <w:spacing w:line="240" w:lineRule="auto" w:after="0" w:before="0"/>
            </w:pPr>
            <w:r/>
            <w:r>
              <w:rPr>
                <w:sz w:val="16"/>
              </w:rPr>
              <w:t>0.883</w:t>
            </w:r>
          </w:p>
        </w:tc>
        <w:tc>
          <w:tcPr>
            <w:tcW w:type="dxa" w:w="1296"/>
          </w:tcPr>
          <w:p>
            <w:pPr>
              <w:spacing w:line="240" w:lineRule="auto" w:after="0" w:before="0"/>
            </w:pPr>
            <w:r/>
            <w:r>
              <w:rPr>
                <w:sz w:val="16"/>
              </w:rPr>
              <w:t>6.04e-49</w:t>
            </w:r>
          </w:p>
        </w:tc>
        <w:tc>
          <w:tcPr>
            <w:tcW w:type="dxa" w:w="1296"/>
          </w:tcPr>
          <w:p>
            <w:pPr>
              <w:spacing w:line="240" w:lineRule="auto" w:after="0" w:before="0"/>
            </w:pPr>
            <w:r/>
            <w:r>
              <w:rPr>
                <w:sz w:val="16"/>
              </w:rPr>
              <w:t>1.51e-47</w:t>
            </w:r>
          </w:p>
        </w:tc>
        <w:tc>
          <w:tcPr>
            <w:tcW w:type="dxa" w:w="1296"/>
          </w:tcPr>
          <w:p>
            <w:pPr>
              <w:spacing w:line="240" w:lineRule="auto" w:after="0" w:before="0"/>
            </w:pPr>
            <w:r/>
            <w:r>
              <w:rPr>
                <w:sz w:val="16"/>
              </w:rPr>
              <w:t>3.50e-48</w:t>
            </w:r>
          </w:p>
        </w:tc>
        <w:tc>
          <w:tcPr>
            <w:tcW w:type="dxa" w:w="1296"/>
          </w:tcPr>
          <w:p>
            <w:pPr>
              <w:spacing w:line="240" w:lineRule="auto" w:after="0" w:before="0"/>
            </w:pPr>
            <w:r/>
            <w:r>
              <w:rPr>
                <w:sz w:val="16"/>
              </w:rPr>
              <w:t>yes</w:t>
            </w:r>
          </w:p>
        </w:tc>
      </w:tr>
      <w:tr>
        <w:trPr>
          <w:cantSplit/>
        </w:trPr>
        <w:tc>
          <w:tcPr>
            <w:tcW w:type="dxa" w:w="1296"/>
          </w:tcPr>
          <w:p>
            <w:pPr>
              <w:spacing w:line="240" w:lineRule="auto" w:after="0" w:before="0"/>
            </w:pPr>
            <w:r/>
            <w:r>
              <w:rPr>
                <w:sz w:val="16"/>
              </w:rPr>
              <w:t>rhabdomyolysis</w:t>
            </w:r>
          </w:p>
        </w:tc>
        <w:tc>
          <w:tcPr>
            <w:tcW w:type="dxa" w:w="1296"/>
          </w:tcPr>
          <w:p>
            <w:pPr>
              <w:spacing w:line="240" w:lineRule="auto" w:after="0" w:before="0"/>
            </w:pPr>
            <w:r/>
            <w:r>
              <w:rPr>
                <w:sz w:val="16"/>
              </w:rPr>
              <w:t>11</w:t>
            </w:r>
          </w:p>
        </w:tc>
        <w:tc>
          <w:tcPr>
            <w:tcW w:type="dxa" w:w="1296"/>
          </w:tcPr>
          <w:p>
            <w:pPr>
              <w:spacing w:line="240" w:lineRule="auto" w:after="0" w:before="0"/>
            </w:pPr>
            <w:r/>
            <w:r>
              <w:rPr>
                <w:sz w:val="16"/>
              </w:rPr>
              <w:t>0.919</w:t>
            </w:r>
          </w:p>
        </w:tc>
        <w:tc>
          <w:tcPr>
            <w:tcW w:type="dxa" w:w="1296"/>
          </w:tcPr>
          <w:p>
            <w:pPr>
              <w:spacing w:line="240" w:lineRule="auto" w:after="0" w:before="0"/>
            </w:pPr>
            <w:r/>
            <w:r>
              <w:rPr>
                <w:sz w:val="16"/>
              </w:rPr>
              <w:t>9.60e-09</w:t>
            </w:r>
          </w:p>
        </w:tc>
        <w:tc>
          <w:tcPr>
            <w:tcW w:type="dxa" w:w="1296"/>
          </w:tcPr>
          <w:p>
            <w:pPr>
              <w:spacing w:line="240" w:lineRule="auto" w:after="0" w:before="0"/>
            </w:pPr>
            <w:r/>
            <w:r>
              <w:rPr>
                <w:sz w:val="16"/>
              </w:rPr>
              <w:t>8.64e-08</w:t>
            </w:r>
          </w:p>
        </w:tc>
        <w:tc>
          <w:tcPr>
            <w:tcW w:type="dxa" w:w="1296"/>
          </w:tcPr>
          <w:p>
            <w:pPr>
              <w:spacing w:line="240" w:lineRule="auto" w:after="0" w:before="0"/>
            </w:pPr>
            <w:r/>
            <w:r>
              <w:rPr>
                <w:sz w:val="16"/>
              </w:rPr>
              <w:t>1.33e-08</w:t>
            </w:r>
          </w:p>
        </w:tc>
        <w:tc>
          <w:tcPr>
            <w:tcW w:type="dxa" w:w="1296"/>
          </w:tcPr>
          <w:p>
            <w:pPr>
              <w:spacing w:line="240" w:lineRule="auto" w:after="0" w:before="0"/>
            </w:pPr>
            <w:r/>
            <w:r>
              <w:rPr>
                <w:sz w:val="16"/>
              </w:rPr>
              <w:t>yes</w:t>
            </w:r>
          </w:p>
        </w:tc>
      </w:tr>
      <w:tr>
        <w:trPr>
          <w:cantSplit/>
        </w:trPr>
        <w:tc>
          <w:tcPr>
            <w:tcW w:type="dxa" w:w="1296"/>
          </w:tcPr>
          <w:p>
            <w:pPr>
              <w:spacing w:line="240" w:lineRule="auto" w:after="0" w:before="0"/>
            </w:pPr>
            <w:r/>
            <w:r>
              <w:rPr>
                <w:sz w:val="16"/>
              </w:rPr>
              <w:t>hypocalcemia</w:t>
            </w:r>
          </w:p>
        </w:tc>
        <w:tc>
          <w:tcPr>
            <w:tcW w:type="dxa" w:w="1296"/>
          </w:tcPr>
          <w:p>
            <w:pPr>
              <w:spacing w:line="240" w:lineRule="auto" w:after="0" w:before="0"/>
            </w:pPr>
            <w:r/>
            <w:r>
              <w:rPr>
                <w:sz w:val="16"/>
              </w:rPr>
              <w:t>10</w:t>
            </w:r>
          </w:p>
        </w:tc>
        <w:tc>
          <w:tcPr>
            <w:tcW w:type="dxa" w:w="1296"/>
          </w:tcPr>
          <w:p>
            <w:pPr>
              <w:spacing w:line="240" w:lineRule="auto" w:after="0" w:before="0"/>
            </w:pPr>
            <w:r/>
            <w:r>
              <w:rPr>
                <w:sz w:val="16"/>
              </w:rPr>
              <w:t>0.627</w:t>
            </w:r>
          </w:p>
        </w:tc>
        <w:tc>
          <w:tcPr>
            <w:tcW w:type="dxa" w:w="1296"/>
          </w:tcPr>
          <w:p>
            <w:pPr>
              <w:spacing w:line="240" w:lineRule="auto" w:after="0" w:before="0"/>
            </w:pPr>
            <w:r/>
            <w:r>
              <w:rPr>
                <w:sz w:val="16"/>
              </w:rPr>
              <w:t>1.19e-01</w:t>
            </w:r>
          </w:p>
        </w:tc>
        <w:tc>
          <w:tcPr>
            <w:tcW w:type="dxa" w:w="1296"/>
          </w:tcPr>
          <w:p>
            <w:pPr>
              <w:spacing w:line="240" w:lineRule="auto" w:after="0" w:before="0"/>
            </w:pPr>
            <w:r/>
            <w:r>
              <w:rPr>
                <w:sz w:val="16"/>
              </w:rPr>
              <w:t>2.37e-01</w:t>
            </w:r>
          </w:p>
        </w:tc>
        <w:tc>
          <w:tcPr>
            <w:tcW w:type="dxa" w:w="1296"/>
          </w:tcPr>
          <w:p>
            <w:pPr>
              <w:spacing w:line="240" w:lineRule="auto" w:after="0" w:before="0"/>
            </w:pPr>
            <w:r/>
            <w:r>
              <w:rPr>
                <w:sz w:val="16"/>
              </w:rPr>
              <w:t>1.23e-01</w:t>
            </w:r>
          </w:p>
        </w:tc>
        <w:tc>
          <w:tcPr>
            <w:tcW w:type="dxa" w:w="1296"/>
          </w:tcPr>
          <w:p>
            <w:pPr>
              <w:spacing w:line="240" w:lineRule="auto" w:after="0" w:before="0"/>
            </w:pPr>
            <w:r/>
            <w:r>
              <w:rPr>
                <w:sz w:val="16"/>
              </w:rPr>
              <w:t>no</w:t>
            </w:r>
          </w:p>
        </w:tc>
      </w:tr>
      <w:tr>
        <w:trPr>
          <w:cantSplit/>
        </w:trPr>
        <w:tc>
          <w:tcPr>
            <w:tcW w:type="dxa" w:w="1296"/>
          </w:tcPr>
          <w:p>
            <w:pPr>
              <w:spacing w:line="240" w:lineRule="auto" w:after="0" w:before="0"/>
            </w:pPr>
            <w:r/>
            <w:r>
              <w:rPr>
                <w:sz w:val="16"/>
              </w:rPr>
              <w:t>hypothyroidism</w:t>
            </w:r>
          </w:p>
        </w:tc>
        <w:tc>
          <w:tcPr>
            <w:tcW w:type="dxa" w:w="1296"/>
          </w:tcPr>
          <w:p>
            <w:pPr>
              <w:spacing w:line="240" w:lineRule="auto" w:after="0" w:before="0"/>
            </w:pPr>
            <w:r/>
            <w:r>
              <w:rPr>
                <w:sz w:val="16"/>
              </w:rPr>
              <w:t>10</w:t>
            </w:r>
          </w:p>
        </w:tc>
        <w:tc>
          <w:tcPr>
            <w:tcW w:type="dxa" w:w="1296"/>
          </w:tcPr>
          <w:p>
            <w:pPr>
              <w:spacing w:line="240" w:lineRule="auto" w:after="0" w:before="0"/>
            </w:pPr>
            <w:r/>
            <w:r>
              <w:rPr>
                <w:sz w:val="16"/>
              </w:rPr>
              <w:t>0.684</w:t>
            </w:r>
          </w:p>
        </w:tc>
        <w:tc>
          <w:tcPr>
            <w:tcW w:type="dxa" w:w="1296"/>
          </w:tcPr>
          <w:p>
            <w:pPr>
              <w:spacing w:line="240" w:lineRule="auto" w:after="0" w:before="0"/>
            </w:pPr>
            <w:r/>
            <w:r>
              <w:rPr>
                <w:sz w:val="16"/>
              </w:rPr>
              <w:t>1.37e-03</w:t>
            </w:r>
          </w:p>
        </w:tc>
        <w:tc>
          <w:tcPr>
            <w:tcW w:type="dxa" w:w="1296"/>
          </w:tcPr>
          <w:p>
            <w:pPr>
              <w:spacing w:line="240" w:lineRule="auto" w:after="0" w:before="0"/>
            </w:pPr>
            <w:r/>
            <w:r>
              <w:rPr>
                <w:sz w:val="16"/>
              </w:rPr>
              <w:t>4.11e-03</w:t>
            </w:r>
          </w:p>
        </w:tc>
        <w:tc>
          <w:tcPr>
            <w:tcW w:type="dxa" w:w="1296"/>
          </w:tcPr>
          <w:p>
            <w:pPr>
              <w:spacing w:line="240" w:lineRule="auto" w:after="0" w:before="0"/>
            </w:pPr>
            <w:r/>
            <w:r>
              <w:rPr>
                <w:sz w:val="16"/>
              </w:rPr>
              <w:t>1.47e-03</w:t>
            </w:r>
          </w:p>
        </w:tc>
        <w:tc>
          <w:tcPr>
            <w:tcW w:type="dxa" w:w="1296"/>
          </w:tcPr>
          <w:p>
            <w:pPr>
              <w:spacing w:line="240" w:lineRule="auto" w:after="0" w:before="0"/>
            </w:pPr>
            <w:r/>
            <w:r>
              <w:rPr>
                <w:sz w:val="16"/>
              </w:rPr>
              <w:t>yes</w:t>
            </w:r>
          </w:p>
        </w:tc>
      </w:tr>
    </w:tbl>
    <w:p/>
    <w:p>
      <w:r>
        <w:t>27 of 29 groups remain significant after BH-FDR; all per-group comparisons other than the pre-specified primary (flat recall@5) are labelled exploratory in the manuscript.</w:t>
      </w:r>
    </w:p>
    <w:p>
      <w:pPr>
        <w:pStyle w:val="Heading2"/>
      </w:pPr>
      <w:r>
        <w:rPr>
          <w:rFonts w:ascii="Times New Roman" w:hAnsi="Times New Roman" w:eastAsia="Times New Roman" w:cs="Times New Roman"/>
          <w:b/>
          <w:i w:val="0"/>
          <w:color w:val="000000"/>
        </w:rPr>
        <w:t>B6b Sensitivity of recall to the minimum number of analytes in the first panel</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rPr>
          <w:cantSplit/>
          <w:tblHeader/>
        </w:trPr>
        <w:tc>
          <w:tcPr>
            <w:tcW w:type="dxa" w:w="1296"/>
            <w:shd w:val="clear" w:fill="F2F2F2"/>
          </w:tcPr>
          <w:p>
            <w:pPr>
              <w:spacing w:line="240" w:lineRule="auto" w:after="0" w:before="0"/>
            </w:pPr>
            <w:r>
              <w:rPr>
                <w:b/>
              </w:rPr>
            </w:r>
            <w:r>
              <w:rPr>
                <w:b/>
                <w:sz w:val="16"/>
              </w:rPr>
              <w:t>minimum analytes (n_in)</w:t>
            </w:r>
          </w:p>
        </w:tc>
        <w:tc>
          <w:tcPr>
            <w:tcW w:type="dxa" w:w="1296"/>
            <w:shd w:val="clear" w:fill="F2F2F2"/>
          </w:tcPr>
          <w:p>
            <w:pPr>
              <w:spacing w:line="240" w:lineRule="auto" w:after="0" w:before="0"/>
            </w:pPr>
            <w:r>
              <w:rPr>
                <w:b/>
              </w:rPr>
            </w:r>
            <w:r>
              <w:rPr>
                <w:b/>
                <w:sz w:val="16"/>
              </w:rPr>
              <w:t>stays</w:t>
            </w:r>
          </w:p>
        </w:tc>
        <w:tc>
          <w:tcPr>
            <w:tcW w:type="dxa" w:w="1296"/>
            <w:shd w:val="clear" w:fill="F2F2F2"/>
          </w:tcPr>
          <w:p>
            <w:pPr>
              <w:spacing w:line="240" w:lineRule="auto" w:after="0" w:before="0"/>
            </w:pPr>
            <w:r>
              <w:rPr>
                <w:b/>
              </w:rPr>
            </w:r>
            <w:r>
              <w:rPr>
                <w:b/>
                <w:sz w:val="16"/>
              </w:rPr>
              <w:t>labels</w:t>
            </w:r>
          </w:p>
        </w:tc>
        <w:tc>
          <w:tcPr>
            <w:tcW w:type="dxa" w:w="1296"/>
            <w:shd w:val="clear" w:fill="F2F2F2"/>
          </w:tcPr>
          <w:p>
            <w:pPr>
              <w:spacing w:line="240" w:lineRule="auto" w:after="0" w:before="0"/>
            </w:pPr>
            <w:r>
              <w:rPr>
                <w:b/>
              </w:rPr>
            </w:r>
            <w:r>
              <w:rPr>
                <w:b/>
                <w:sz w:val="16"/>
              </w:rPr>
              <w:t>flat @3</w:t>
            </w:r>
          </w:p>
        </w:tc>
        <w:tc>
          <w:tcPr>
            <w:tcW w:type="dxa" w:w="1296"/>
            <w:shd w:val="clear" w:fill="F2F2F2"/>
          </w:tcPr>
          <w:p>
            <w:pPr>
              <w:spacing w:line="240" w:lineRule="auto" w:after="0" w:before="0"/>
            </w:pPr>
            <w:r>
              <w:rPr>
                <w:b/>
              </w:rPr>
            </w:r>
            <w:r>
              <w:rPr>
                <w:b/>
                <w:sz w:val="16"/>
              </w:rPr>
              <w:t>flat @5</w:t>
            </w:r>
          </w:p>
        </w:tc>
        <w:tc>
          <w:tcPr>
            <w:tcW w:type="dxa" w:w="1296"/>
            <w:shd w:val="clear" w:fill="F2F2F2"/>
          </w:tcPr>
          <w:p>
            <w:pPr>
              <w:spacing w:line="240" w:lineRule="auto" w:after="0" w:before="0"/>
            </w:pPr>
            <w:r>
              <w:rPr>
                <w:b/>
              </w:rPr>
            </w:r>
            <w:r>
              <w:rPr>
                <w:b/>
                <w:sz w:val="16"/>
              </w:rPr>
              <w:t>flat @10</w:t>
            </w:r>
          </w:p>
        </w:tc>
        <w:tc>
          <w:tcPr>
            <w:tcW w:type="dxa" w:w="1296"/>
            <w:shd w:val="clear" w:fill="F2F2F2"/>
          </w:tcPr>
          <w:p>
            <w:pPr>
              <w:spacing w:line="240" w:lineRule="auto" w:after="0" w:before="0"/>
            </w:pPr>
            <w:r>
              <w:rPr>
                <w:b/>
              </w:rPr>
            </w:r>
            <w:r>
              <w:rPr>
                <w:b/>
                <w:sz w:val="16"/>
              </w:rPr>
              <w:t>two-tier @5</w:t>
            </w:r>
          </w:p>
        </w:tc>
      </w:tr>
      <w:tr>
        <w:trPr>
          <w:cantSplit/>
        </w:trPr>
        <w:tc>
          <w:tcPr>
            <w:tcW w:type="dxa" w:w="1296"/>
          </w:tcPr>
          <w:p>
            <w:pPr>
              <w:spacing w:line="240" w:lineRule="auto" w:after="0" w:before="0"/>
            </w:pPr>
            <w:r/>
            <w:r>
              <w:rPr>
                <w:sz w:val="16"/>
              </w:rPr>
              <w:t>≥ 8</w:t>
            </w:r>
          </w:p>
        </w:tc>
        <w:tc>
          <w:tcPr>
            <w:tcW w:type="dxa" w:w="1296"/>
          </w:tcPr>
          <w:p>
            <w:pPr>
              <w:spacing w:line="240" w:lineRule="auto" w:after="0" w:before="0"/>
            </w:pPr>
            <w:r/>
            <w:r>
              <w:rPr>
                <w:sz w:val="16"/>
              </w:rPr>
              <w:t>2314</w:t>
            </w:r>
          </w:p>
        </w:tc>
        <w:tc>
          <w:tcPr>
            <w:tcW w:type="dxa" w:w="1296"/>
          </w:tcPr>
          <w:p>
            <w:pPr>
              <w:spacing w:line="240" w:lineRule="auto" w:after="0" w:before="0"/>
            </w:pPr>
            <w:r/>
            <w:r>
              <w:rPr>
                <w:sz w:val="16"/>
              </w:rPr>
              <w:t>2432</w:t>
            </w:r>
          </w:p>
        </w:tc>
        <w:tc>
          <w:tcPr>
            <w:tcW w:type="dxa" w:w="1296"/>
          </w:tcPr>
          <w:p>
            <w:pPr>
              <w:spacing w:line="240" w:lineRule="auto" w:after="0" w:before="0"/>
            </w:pPr>
            <w:r/>
            <w:r>
              <w:rPr>
                <w:sz w:val="16"/>
              </w:rPr>
              <w:t>47.9</w:t>
            </w:r>
          </w:p>
        </w:tc>
        <w:tc>
          <w:tcPr>
            <w:tcW w:type="dxa" w:w="1296"/>
          </w:tcPr>
          <w:p>
            <w:pPr>
              <w:spacing w:line="240" w:lineRule="auto" w:after="0" w:before="0"/>
            </w:pPr>
            <w:r/>
            <w:r>
              <w:rPr>
                <w:sz w:val="16"/>
              </w:rPr>
              <w:t>60.8</w:t>
            </w:r>
          </w:p>
        </w:tc>
        <w:tc>
          <w:tcPr>
            <w:tcW w:type="dxa" w:w="1296"/>
          </w:tcPr>
          <w:p>
            <w:pPr>
              <w:spacing w:line="240" w:lineRule="auto" w:after="0" w:before="0"/>
            </w:pPr>
            <w:r/>
            <w:r>
              <w:rPr>
                <w:sz w:val="16"/>
              </w:rPr>
              <w:t>74.1</w:t>
            </w:r>
          </w:p>
        </w:tc>
        <w:tc>
          <w:tcPr>
            <w:tcW w:type="dxa" w:w="1296"/>
          </w:tcPr>
          <w:p>
            <w:pPr>
              <w:spacing w:line="240" w:lineRule="auto" w:after="0" w:before="0"/>
            </w:pPr>
            <w:r/>
            <w:r>
              <w:rPr>
                <w:sz w:val="16"/>
              </w:rPr>
              <w:t>71.9</w:t>
            </w:r>
          </w:p>
        </w:tc>
      </w:tr>
      <w:tr>
        <w:trPr>
          <w:cantSplit/>
        </w:trPr>
        <w:tc>
          <w:tcPr>
            <w:tcW w:type="dxa" w:w="1296"/>
          </w:tcPr>
          <w:p>
            <w:pPr>
              <w:spacing w:line="240" w:lineRule="auto" w:after="0" w:before="0"/>
            </w:pPr>
            <w:r/>
            <w:r>
              <w:rPr>
                <w:sz w:val="16"/>
              </w:rPr>
              <w:t>≥ 10</w:t>
            </w:r>
          </w:p>
        </w:tc>
        <w:tc>
          <w:tcPr>
            <w:tcW w:type="dxa" w:w="1296"/>
          </w:tcPr>
          <w:p>
            <w:pPr>
              <w:spacing w:line="240" w:lineRule="auto" w:after="0" w:before="0"/>
            </w:pPr>
            <w:r/>
            <w:r>
              <w:rPr>
                <w:sz w:val="16"/>
              </w:rPr>
              <w:t>2269</w:t>
            </w:r>
          </w:p>
        </w:tc>
        <w:tc>
          <w:tcPr>
            <w:tcW w:type="dxa" w:w="1296"/>
          </w:tcPr>
          <w:p>
            <w:pPr>
              <w:spacing w:line="240" w:lineRule="auto" w:after="0" w:before="0"/>
            </w:pPr>
            <w:r/>
            <w:r>
              <w:rPr>
                <w:sz w:val="16"/>
              </w:rPr>
              <w:t>2401</w:t>
            </w:r>
          </w:p>
        </w:tc>
        <w:tc>
          <w:tcPr>
            <w:tcW w:type="dxa" w:w="1296"/>
          </w:tcPr>
          <w:p>
            <w:pPr>
              <w:spacing w:line="240" w:lineRule="auto" w:after="0" w:before="0"/>
            </w:pPr>
            <w:r/>
            <w:r>
              <w:rPr>
                <w:sz w:val="16"/>
              </w:rPr>
              <w:t>47.6</w:t>
            </w:r>
          </w:p>
        </w:tc>
        <w:tc>
          <w:tcPr>
            <w:tcW w:type="dxa" w:w="1296"/>
          </w:tcPr>
          <w:p>
            <w:pPr>
              <w:spacing w:line="240" w:lineRule="auto" w:after="0" w:before="0"/>
            </w:pPr>
            <w:r/>
            <w:r>
              <w:rPr>
                <w:sz w:val="16"/>
              </w:rPr>
              <w:t>60.7</w:t>
            </w:r>
          </w:p>
        </w:tc>
        <w:tc>
          <w:tcPr>
            <w:tcW w:type="dxa" w:w="1296"/>
          </w:tcPr>
          <w:p>
            <w:pPr>
              <w:spacing w:line="240" w:lineRule="auto" w:after="0" w:before="0"/>
            </w:pPr>
            <w:r/>
            <w:r>
              <w:rPr>
                <w:sz w:val="16"/>
              </w:rPr>
              <w:t>74.0</w:t>
            </w:r>
          </w:p>
        </w:tc>
        <w:tc>
          <w:tcPr>
            <w:tcW w:type="dxa" w:w="1296"/>
          </w:tcPr>
          <w:p>
            <w:pPr>
              <w:spacing w:line="240" w:lineRule="auto" w:after="0" w:before="0"/>
            </w:pPr>
            <w:r/>
            <w:r>
              <w:rPr>
                <w:sz w:val="16"/>
              </w:rPr>
              <w:t>71.8</w:t>
            </w:r>
          </w:p>
        </w:tc>
      </w:tr>
      <w:tr>
        <w:trPr>
          <w:cantSplit/>
        </w:trPr>
        <w:tc>
          <w:tcPr>
            <w:tcW w:type="dxa" w:w="1296"/>
          </w:tcPr>
          <w:p>
            <w:pPr>
              <w:spacing w:line="240" w:lineRule="auto" w:after="0" w:before="0"/>
            </w:pPr>
            <w:r/>
            <w:r>
              <w:rPr>
                <w:sz w:val="16"/>
              </w:rPr>
              <w:t>≥ 12</w:t>
            </w:r>
          </w:p>
        </w:tc>
        <w:tc>
          <w:tcPr>
            <w:tcW w:type="dxa" w:w="1296"/>
          </w:tcPr>
          <w:p>
            <w:pPr>
              <w:spacing w:line="240" w:lineRule="auto" w:after="0" w:before="0"/>
            </w:pPr>
            <w:r/>
            <w:r>
              <w:rPr>
                <w:sz w:val="16"/>
              </w:rPr>
              <w:t>2236</w:t>
            </w:r>
          </w:p>
        </w:tc>
        <w:tc>
          <w:tcPr>
            <w:tcW w:type="dxa" w:w="1296"/>
          </w:tcPr>
          <w:p>
            <w:pPr>
              <w:spacing w:line="240" w:lineRule="auto" w:after="0" w:before="0"/>
            </w:pPr>
            <w:r/>
            <w:r>
              <w:rPr>
                <w:sz w:val="16"/>
              </w:rPr>
              <w:t>2389</w:t>
            </w:r>
          </w:p>
        </w:tc>
        <w:tc>
          <w:tcPr>
            <w:tcW w:type="dxa" w:w="1296"/>
          </w:tcPr>
          <w:p>
            <w:pPr>
              <w:spacing w:line="240" w:lineRule="auto" w:after="0" w:before="0"/>
            </w:pPr>
            <w:r/>
            <w:r>
              <w:rPr>
                <w:sz w:val="16"/>
              </w:rPr>
              <w:t>47.4</w:t>
            </w:r>
          </w:p>
        </w:tc>
        <w:tc>
          <w:tcPr>
            <w:tcW w:type="dxa" w:w="1296"/>
          </w:tcPr>
          <w:p>
            <w:pPr>
              <w:spacing w:line="240" w:lineRule="auto" w:after="0" w:before="0"/>
            </w:pPr>
            <w:r/>
            <w:r>
              <w:rPr>
                <w:sz w:val="16"/>
              </w:rPr>
              <w:t>60.6</w:t>
            </w:r>
          </w:p>
        </w:tc>
        <w:tc>
          <w:tcPr>
            <w:tcW w:type="dxa" w:w="1296"/>
          </w:tcPr>
          <w:p>
            <w:pPr>
              <w:spacing w:line="240" w:lineRule="auto" w:after="0" w:before="0"/>
            </w:pPr>
            <w:r/>
            <w:r>
              <w:rPr>
                <w:sz w:val="16"/>
              </w:rPr>
              <w:t>73.9</w:t>
            </w:r>
          </w:p>
        </w:tc>
        <w:tc>
          <w:tcPr>
            <w:tcW w:type="dxa" w:w="1296"/>
          </w:tcPr>
          <w:p>
            <w:pPr>
              <w:spacing w:line="240" w:lineRule="auto" w:after="0" w:before="0"/>
            </w:pPr>
            <w:r/>
            <w:r>
              <w:rPr>
                <w:sz w:val="16"/>
              </w:rPr>
              <w:t>71.7</w:t>
            </w:r>
          </w:p>
        </w:tc>
      </w:tr>
      <w:tr>
        <w:trPr>
          <w:cantSplit/>
        </w:trPr>
        <w:tc>
          <w:tcPr>
            <w:tcW w:type="dxa" w:w="1296"/>
          </w:tcPr>
          <w:p>
            <w:pPr>
              <w:spacing w:line="240" w:lineRule="auto" w:after="0" w:before="0"/>
            </w:pPr>
            <w:r/>
            <w:r>
              <w:rPr>
                <w:sz w:val="16"/>
              </w:rPr>
              <w:t>≥ 16</w:t>
            </w:r>
          </w:p>
        </w:tc>
        <w:tc>
          <w:tcPr>
            <w:tcW w:type="dxa" w:w="1296"/>
          </w:tcPr>
          <w:p>
            <w:pPr>
              <w:spacing w:line="240" w:lineRule="auto" w:after="0" w:before="0"/>
            </w:pPr>
            <w:r/>
            <w:r>
              <w:rPr>
                <w:sz w:val="16"/>
              </w:rPr>
              <w:t>2186</w:t>
            </w:r>
          </w:p>
        </w:tc>
        <w:tc>
          <w:tcPr>
            <w:tcW w:type="dxa" w:w="1296"/>
          </w:tcPr>
          <w:p>
            <w:pPr>
              <w:spacing w:line="240" w:lineRule="auto" w:after="0" w:before="0"/>
            </w:pPr>
            <w:r/>
            <w:r>
              <w:rPr>
                <w:sz w:val="16"/>
              </w:rPr>
              <w:t>2349</w:t>
            </w:r>
          </w:p>
        </w:tc>
        <w:tc>
          <w:tcPr>
            <w:tcW w:type="dxa" w:w="1296"/>
          </w:tcPr>
          <w:p>
            <w:pPr>
              <w:spacing w:line="240" w:lineRule="auto" w:after="0" w:before="0"/>
            </w:pPr>
            <w:r/>
            <w:r>
              <w:rPr>
                <w:sz w:val="16"/>
              </w:rPr>
              <w:t>47.3</w:t>
            </w:r>
          </w:p>
        </w:tc>
        <w:tc>
          <w:tcPr>
            <w:tcW w:type="dxa" w:w="1296"/>
          </w:tcPr>
          <w:p>
            <w:pPr>
              <w:spacing w:line="240" w:lineRule="auto" w:after="0" w:before="0"/>
            </w:pPr>
            <w:r/>
            <w:r>
              <w:rPr>
                <w:sz w:val="16"/>
              </w:rPr>
              <w:t>60.5</w:t>
            </w:r>
          </w:p>
        </w:tc>
        <w:tc>
          <w:tcPr>
            <w:tcW w:type="dxa" w:w="1296"/>
          </w:tcPr>
          <w:p>
            <w:pPr>
              <w:spacing w:line="240" w:lineRule="auto" w:after="0" w:before="0"/>
            </w:pPr>
            <w:r/>
            <w:r>
              <w:rPr>
                <w:sz w:val="16"/>
              </w:rPr>
              <w:t>73.9</w:t>
            </w:r>
          </w:p>
        </w:tc>
        <w:tc>
          <w:tcPr>
            <w:tcW w:type="dxa" w:w="1296"/>
          </w:tcPr>
          <w:p>
            <w:pPr>
              <w:spacing w:line="240" w:lineRule="auto" w:after="0" w:before="0"/>
            </w:pPr>
            <w:r/>
            <w:r>
              <w:rPr>
                <w:sz w:val="16"/>
              </w:rPr>
              <w:t>71.8</w:t>
            </w:r>
          </w:p>
        </w:tc>
      </w:tr>
      <w:tr>
        <w:trPr>
          <w:cantSplit/>
        </w:trPr>
        <w:tc>
          <w:tcPr>
            <w:tcW w:type="dxa" w:w="1296"/>
          </w:tcPr>
          <w:p>
            <w:pPr>
              <w:spacing w:line="240" w:lineRule="auto" w:after="0" w:before="0"/>
            </w:pPr>
            <w:r/>
            <w:r>
              <w:rPr>
                <w:sz w:val="16"/>
              </w:rPr>
              <w:t>≥ 20</w:t>
            </w:r>
          </w:p>
        </w:tc>
        <w:tc>
          <w:tcPr>
            <w:tcW w:type="dxa" w:w="1296"/>
          </w:tcPr>
          <w:p>
            <w:pPr>
              <w:spacing w:line="240" w:lineRule="auto" w:after="0" w:before="0"/>
            </w:pPr>
            <w:r/>
            <w:r>
              <w:rPr>
                <w:sz w:val="16"/>
              </w:rPr>
              <w:t>2099</w:t>
            </w:r>
          </w:p>
        </w:tc>
        <w:tc>
          <w:tcPr>
            <w:tcW w:type="dxa" w:w="1296"/>
          </w:tcPr>
          <w:p>
            <w:pPr>
              <w:spacing w:line="240" w:lineRule="auto" w:after="0" w:before="0"/>
            </w:pPr>
            <w:r/>
            <w:r>
              <w:rPr>
                <w:sz w:val="16"/>
              </w:rPr>
              <w:t>2294</w:t>
            </w:r>
          </w:p>
        </w:tc>
        <w:tc>
          <w:tcPr>
            <w:tcW w:type="dxa" w:w="1296"/>
          </w:tcPr>
          <w:p>
            <w:pPr>
              <w:spacing w:line="240" w:lineRule="auto" w:after="0" w:before="0"/>
            </w:pPr>
            <w:r/>
            <w:r>
              <w:rPr>
                <w:sz w:val="16"/>
              </w:rPr>
              <w:t>47.1</w:t>
            </w:r>
          </w:p>
        </w:tc>
        <w:tc>
          <w:tcPr>
            <w:tcW w:type="dxa" w:w="1296"/>
          </w:tcPr>
          <w:p>
            <w:pPr>
              <w:spacing w:line="240" w:lineRule="auto" w:after="0" w:before="0"/>
            </w:pPr>
            <w:r/>
            <w:r>
              <w:rPr>
                <w:sz w:val="16"/>
              </w:rPr>
              <w:t>60.5</w:t>
            </w:r>
          </w:p>
        </w:tc>
        <w:tc>
          <w:tcPr>
            <w:tcW w:type="dxa" w:w="1296"/>
          </w:tcPr>
          <w:p>
            <w:pPr>
              <w:spacing w:line="240" w:lineRule="auto" w:after="0" w:before="0"/>
            </w:pPr>
            <w:r/>
            <w:r>
              <w:rPr>
                <w:sz w:val="16"/>
              </w:rPr>
              <w:t>74.0</w:t>
            </w:r>
          </w:p>
        </w:tc>
        <w:tc>
          <w:tcPr>
            <w:tcW w:type="dxa" w:w="1296"/>
          </w:tcPr>
          <w:p>
            <w:pPr>
              <w:spacing w:line="240" w:lineRule="auto" w:after="0" w:before="0"/>
            </w:pPr>
            <w:r/>
            <w:r>
              <w:rPr>
                <w:sz w:val="16"/>
              </w:rPr>
              <w:t>71.9</w:t>
            </w:r>
          </w:p>
        </w:tc>
      </w:tr>
      <w:tr>
        <w:trPr>
          <w:cantSplit/>
        </w:trPr>
        <w:tc>
          <w:tcPr>
            <w:tcW w:type="dxa" w:w="1296"/>
          </w:tcPr>
          <w:p>
            <w:pPr>
              <w:spacing w:line="240" w:lineRule="auto" w:after="0" w:before="0"/>
            </w:pPr>
            <w:r/>
            <w:r>
              <w:rPr>
                <w:sz w:val="16"/>
              </w:rPr>
              <w:t>≥ 25</w:t>
            </w:r>
          </w:p>
        </w:tc>
        <w:tc>
          <w:tcPr>
            <w:tcW w:type="dxa" w:w="1296"/>
          </w:tcPr>
          <w:p>
            <w:pPr>
              <w:spacing w:line="240" w:lineRule="auto" w:after="0" w:before="0"/>
            </w:pPr>
            <w:r/>
            <w:r>
              <w:rPr>
                <w:sz w:val="16"/>
              </w:rPr>
              <w:t>1829</w:t>
            </w:r>
          </w:p>
        </w:tc>
        <w:tc>
          <w:tcPr>
            <w:tcW w:type="dxa" w:w="1296"/>
          </w:tcPr>
          <w:p>
            <w:pPr>
              <w:spacing w:line="240" w:lineRule="auto" w:after="0" w:before="0"/>
            </w:pPr>
            <w:r/>
            <w:r>
              <w:rPr>
                <w:sz w:val="16"/>
              </w:rPr>
              <w:t>2090</w:t>
            </w:r>
          </w:p>
        </w:tc>
        <w:tc>
          <w:tcPr>
            <w:tcW w:type="dxa" w:w="1296"/>
          </w:tcPr>
          <w:p>
            <w:pPr>
              <w:spacing w:line="240" w:lineRule="auto" w:after="0" w:before="0"/>
            </w:pPr>
            <w:r/>
            <w:r>
              <w:rPr>
                <w:sz w:val="16"/>
              </w:rPr>
              <w:t>46.2</w:t>
            </w:r>
          </w:p>
        </w:tc>
        <w:tc>
          <w:tcPr>
            <w:tcW w:type="dxa" w:w="1296"/>
          </w:tcPr>
          <w:p>
            <w:pPr>
              <w:spacing w:line="240" w:lineRule="auto" w:after="0" w:before="0"/>
            </w:pPr>
            <w:r/>
            <w:r>
              <w:rPr>
                <w:sz w:val="16"/>
              </w:rPr>
              <w:t>59.8</w:t>
            </w:r>
          </w:p>
        </w:tc>
        <w:tc>
          <w:tcPr>
            <w:tcW w:type="dxa" w:w="1296"/>
          </w:tcPr>
          <w:p>
            <w:pPr>
              <w:spacing w:line="240" w:lineRule="auto" w:after="0" w:before="0"/>
            </w:pPr>
            <w:r/>
            <w:r>
              <w:rPr>
                <w:sz w:val="16"/>
              </w:rPr>
              <w:t>73.6</w:t>
            </w:r>
          </w:p>
        </w:tc>
        <w:tc>
          <w:tcPr>
            <w:tcW w:type="dxa" w:w="1296"/>
          </w:tcPr>
          <w:p>
            <w:pPr>
              <w:spacing w:line="240" w:lineRule="auto" w:after="0" w:before="0"/>
            </w:pPr>
            <w:r/>
            <w:r>
              <w:rPr>
                <w:sz w:val="16"/>
              </w:rPr>
              <w:t>71.4</w:t>
            </w:r>
          </w:p>
        </w:tc>
      </w:tr>
    </w:tbl>
    <w:p/>
    <w:p>
      <w:r>
        <w:t>Distribution of n_in: median 31, IQR 25–35, min 8, max 49. Stays with &lt; 8 analytes (n = 198 of 2,512 adults) were excluded by the SAP; they cannot be re-included without re-running the cohort builder, and their labels are listed in Table S3.</w:t>
      </w:r>
    </w:p>
    <w:p>
      <w:pPr>
        <w:pStyle w:val="Heading1"/>
      </w:pPr>
      <w:r>
        <w:rPr>
          <w:rFonts w:ascii="Times New Roman" w:hAnsi="Times New Roman" w:eastAsia="Times New Roman" w:cs="Times New Roman"/>
          <w:b/>
          <w:i w:val="0"/>
          <w:color w:val="000000"/>
        </w:rPr>
        <w:t>Supplementary Table S7 — Survey-weighted NHANES AUROCs (WTMEC2YR; PSU-in-stratum bootstrap)</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rPr>
          <w:cantSplit/>
          <w:tblHeader/>
        </w:trPr>
        <w:tc>
          <w:tcPr>
            <w:tcW w:type="dxa" w:w="1296"/>
            <w:shd w:val="clear" w:fill="F2F2F2"/>
          </w:tcPr>
          <w:p>
            <w:pPr>
              <w:spacing w:line="240" w:lineRule="auto" w:after="0" w:before="0"/>
            </w:pPr>
            <w:r>
              <w:rPr>
                <w:b/>
              </w:rPr>
            </w:r>
            <w:r>
              <w:rPr>
                <w:b/>
                <w:sz w:val="16"/>
              </w:rPr>
              <w:t>target</w:t>
            </w:r>
          </w:p>
        </w:tc>
        <w:tc>
          <w:tcPr>
            <w:tcW w:type="dxa" w:w="1296"/>
            <w:shd w:val="clear" w:fill="F2F2F2"/>
          </w:tcPr>
          <w:p>
            <w:pPr>
              <w:spacing w:line="240" w:lineRule="auto" w:after="0" w:before="0"/>
            </w:pPr>
            <w:r>
              <w:rPr>
                <w:b/>
              </w:rPr>
            </w:r>
            <w:r>
              <w:rPr>
                <w:b/>
                <w:sz w:val="16"/>
              </w:rPr>
              <w:t>cycle</w:t>
            </w:r>
          </w:p>
        </w:tc>
        <w:tc>
          <w:tcPr>
            <w:tcW w:type="dxa" w:w="1296"/>
            <w:shd w:val="clear" w:fill="F2F2F2"/>
          </w:tcPr>
          <w:p>
            <w:pPr>
              <w:spacing w:line="240" w:lineRule="auto" w:after="0" w:before="0"/>
            </w:pPr>
            <w:r>
              <w:rPr>
                <w:b/>
              </w:rPr>
            </w:r>
            <w:r>
              <w:rPr>
                <w:b/>
                <w:sz w:val="16"/>
              </w:rPr>
              <w:t>n (pos)</w:t>
            </w:r>
          </w:p>
        </w:tc>
        <w:tc>
          <w:tcPr>
            <w:tcW w:type="dxa" w:w="1296"/>
            <w:shd w:val="clear" w:fill="F2F2F2"/>
          </w:tcPr>
          <w:p>
            <w:pPr>
              <w:spacing w:line="240" w:lineRule="auto" w:after="0" w:before="0"/>
            </w:pPr>
            <w:r>
              <w:rPr>
                <w:b/>
              </w:rPr>
            </w:r>
            <w:r>
              <w:rPr>
                <w:b/>
                <w:sz w:val="16"/>
              </w:rPr>
              <w:t>unweighted AUROC</w:t>
            </w:r>
          </w:p>
        </w:tc>
        <w:tc>
          <w:tcPr>
            <w:tcW w:type="dxa" w:w="1296"/>
            <w:shd w:val="clear" w:fill="F2F2F2"/>
          </w:tcPr>
          <w:p>
            <w:pPr>
              <w:spacing w:line="240" w:lineRule="auto" w:after="0" w:before="0"/>
            </w:pPr>
            <w:r>
              <w:rPr>
                <w:b/>
              </w:rPr>
            </w:r>
            <w:r>
              <w:rPr>
                <w:b/>
                <w:sz w:val="16"/>
              </w:rPr>
              <w:t>weighted AUROC (95% PSU-bootstrap CI)</w:t>
            </w:r>
          </w:p>
        </w:tc>
        <w:tc>
          <w:tcPr>
            <w:tcW w:type="dxa" w:w="1296"/>
            <w:shd w:val="clear" w:fill="F2F2F2"/>
          </w:tcPr>
          <w:p>
            <w:pPr>
              <w:spacing w:line="240" w:lineRule="auto" w:after="0" w:before="0"/>
            </w:pPr>
            <w:r>
              <w:rPr>
                <w:b/>
              </w:rPr>
            </w:r>
            <w:r>
              <w:rPr>
                <w:b/>
                <w:sz w:val="16"/>
              </w:rPr>
              <w:t>Δ</w:t>
            </w:r>
          </w:p>
        </w:tc>
        <w:tc>
          <w:tcPr>
            <w:tcW w:type="dxa" w:w="1296"/>
            <w:shd w:val="clear" w:fill="F2F2F2"/>
          </w:tcPr>
          <w:p>
            <w:pPr>
              <w:spacing w:line="240" w:lineRule="auto" w:after="0" w:before="0"/>
            </w:pPr>
            <w:r>
              <w:rPr>
                <w:b/>
              </w:rPr>
            </w:r>
            <w:r>
              <w:rPr>
                <w:b/>
                <w:sz w:val="16"/>
              </w:rPr>
              <w:t>weighted sens / spec @0.5</w:t>
            </w:r>
          </w:p>
        </w:tc>
      </w:tr>
      <w:tr>
        <w:trPr>
          <w:cantSplit/>
        </w:trPr>
        <w:tc>
          <w:tcPr>
            <w:tcW w:type="dxa" w:w="1296"/>
          </w:tcPr>
          <w:p>
            <w:pPr>
              <w:spacing w:line="240" w:lineRule="auto" w:after="0" w:before="0"/>
            </w:pPr>
            <w:r/>
            <w:r>
              <w:rPr>
                <w:sz w:val="16"/>
              </w:rPr>
              <w:t>diabetes</w:t>
            </w:r>
          </w:p>
        </w:tc>
        <w:tc>
          <w:tcPr>
            <w:tcW w:type="dxa" w:w="1296"/>
          </w:tcPr>
          <w:p>
            <w:pPr>
              <w:spacing w:line="240" w:lineRule="auto" w:after="0" w:before="0"/>
            </w:pPr>
            <w:r/>
            <w:r>
              <w:rPr>
                <w:sz w:val="16"/>
              </w:rPr>
              <w:t>J 2017–18</w:t>
            </w:r>
          </w:p>
        </w:tc>
        <w:tc>
          <w:tcPr>
            <w:tcW w:type="dxa" w:w="1296"/>
          </w:tcPr>
          <w:p>
            <w:pPr>
              <w:spacing w:line="240" w:lineRule="auto" w:after="0" w:before="0"/>
            </w:pPr>
            <w:r/>
            <w:r>
              <w:rPr>
                <w:sz w:val="16"/>
              </w:rPr>
              <w:t>2996 (605)</w:t>
            </w:r>
          </w:p>
        </w:tc>
        <w:tc>
          <w:tcPr>
            <w:tcW w:type="dxa" w:w="1296"/>
          </w:tcPr>
          <w:p>
            <w:pPr>
              <w:spacing w:line="240" w:lineRule="auto" w:after="0" w:before="0"/>
            </w:pPr>
            <w:r/>
            <w:r>
              <w:rPr>
                <w:sz w:val="16"/>
              </w:rPr>
              <w:t>0.946</w:t>
            </w:r>
          </w:p>
        </w:tc>
        <w:tc>
          <w:tcPr>
            <w:tcW w:type="dxa" w:w="1296"/>
          </w:tcPr>
          <w:p>
            <w:pPr>
              <w:spacing w:line="240" w:lineRule="auto" w:after="0" w:before="0"/>
            </w:pPr>
            <w:r/>
            <w:r>
              <w:rPr>
                <w:sz w:val="16"/>
              </w:rPr>
              <w:t>0.951 (0.937–0.966)</w:t>
            </w:r>
          </w:p>
        </w:tc>
        <w:tc>
          <w:tcPr>
            <w:tcW w:type="dxa" w:w="1296"/>
          </w:tcPr>
          <w:p>
            <w:pPr>
              <w:spacing w:line="240" w:lineRule="auto" w:after="0" w:before="0"/>
            </w:pPr>
            <w:r/>
            <w:r>
              <w:rPr>
                <w:sz w:val="16"/>
              </w:rPr>
              <w:t>+0.005</w:t>
            </w:r>
          </w:p>
        </w:tc>
        <w:tc>
          <w:tcPr>
            <w:tcW w:type="dxa" w:w="1296"/>
          </w:tcPr>
          <w:p>
            <w:pPr>
              <w:spacing w:line="240" w:lineRule="auto" w:after="0" w:before="0"/>
            </w:pPr>
            <w:r/>
            <w:r>
              <w:rPr>
                <w:sz w:val="16"/>
              </w:rPr>
              <w:t>69.5 / 99.5</w:t>
            </w:r>
          </w:p>
        </w:tc>
      </w:tr>
      <w:tr>
        <w:trPr>
          <w:cantSplit/>
        </w:trPr>
        <w:tc>
          <w:tcPr>
            <w:tcW w:type="dxa" w:w="1296"/>
          </w:tcPr>
          <w:p>
            <w:pPr>
              <w:spacing w:line="240" w:lineRule="auto" w:after="0" w:before="0"/>
            </w:pPr>
            <w:r/>
            <w:r>
              <w:rPr>
                <w:sz w:val="16"/>
              </w:rPr>
              <w:t>diabetes_selfreport</w:t>
            </w:r>
          </w:p>
        </w:tc>
        <w:tc>
          <w:tcPr>
            <w:tcW w:type="dxa" w:w="1296"/>
          </w:tcPr>
          <w:p>
            <w:pPr>
              <w:spacing w:line="240" w:lineRule="auto" w:after="0" w:before="0"/>
            </w:pPr>
            <w:r/>
            <w:r>
              <w:rPr>
                <w:sz w:val="16"/>
              </w:rPr>
              <w:t>J 2017–18</w:t>
            </w:r>
          </w:p>
        </w:tc>
        <w:tc>
          <w:tcPr>
            <w:tcW w:type="dxa" w:w="1296"/>
          </w:tcPr>
          <w:p>
            <w:pPr>
              <w:spacing w:line="240" w:lineRule="auto" w:after="0" w:before="0"/>
            </w:pPr>
            <w:r/>
            <w:r>
              <w:rPr>
                <w:sz w:val="16"/>
              </w:rPr>
              <w:t>2916 (460)</w:t>
            </w:r>
          </w:p>
        </w:tc>
        <w:tc>
          <w:tcPr>
            <w:tcW w:type="dxa" w:w="1296"/>
          </w:tcPr>
          <w:p>
            <w:pPr>
              <w:spacing w:line="240" w:lineRule="auto" w:after="0" w:before="0"/>
            </w:pPr>
            <w:r/>
            <w:r>
              <w:rPr>
                <w:sz w:val="16"/>
              </w:rPr>
              <w:t>0.919</w:t>
            </w:r>
          </w:p>
        </w:tc>
        <w:tc>
          <w:tcPr>
            <w:tcW w:type="dxa" w:w="1296"/>
          </w:tcPr>
          <w:p>
            <w:pPr>
              <w:spacing w:line="240" w:lineRule="auto" w:after="0" w:before="0"/>
            </w:pPr>
            <w:r/>
            <w:r>
              <w:rPr>
                <w:sz w:val="16"/>
              </w:rPr>
              <w:t>0.932 (0.914–0.951)</w:t>
            </w:r>
          </w:p>
        </w:tc>
        <w:tc>
          <w:tcPr>
            <w:tcW w:type="dxa" w:w="1296"/>
          </w:tcPr>
          <w:p>
            <w:pPr>
              <w:spacing w:line="240" w:lineRule="auto" w:after="0" w:before="0"/>
            </w:pPr>
            <w:r/>
            <w:r>
              <w:rPr>
                <w:sz w:val="16"/>
              </w:rPr>
              <w:t>+0.013</w:t>
            </w:r>
          </w:p>
        </w:tc>
        <w:tc>
          <w:tcPr>
            <w:tcW w:type="dxa" w:w="1296"/>
          </w:tcPr>
          <w:p>
            <w:pPr>
              <w:spacing w:line="240" w:lineRule="auto" w:after="0" w:before="0"/>
            </w:pPr>
            <w:r/>
            <w:r>
              <w:rPr>
                <w:sz w:val="16"/>
              </w:rPr>
              <w:t>70.3 / 97.7</w:t>
            </w:r>
          </w:p>
        </w:tc>
      </w:tr>
      <w:tr>
        <w:trPr>
          <w:cantSplit/>
        </w:trPr>
        <w:tc>
          <w:tcPr>
            <w:tcW w:type="dxa" w:w="1296"/>
          </w:tcPr>
          <w:p>
            <w:pPr>
              <w:spacing w:line="240" w:lineRule="auto" w:after="0" w:before="0"/>
            </w:pPr>
            <w:r/>
            <w:r>
              <w:rPr>
                <w:sz w:val="16"/>
              </w:rPr>
              <w:t>ckd</w:t>
            </w:r>
          </w:p>
        </w:tc>
        <w:tc>
          <w:tcPr>
            <w:tcW w:type="dxa" w:w="1296"/>
          </w:tcPr>
          <w:p>
            <w:pPr>
              <w:spacing w:line="240" w:lineRule="auto" w:after="0" w:before="0"/>
            </w:pPr>
            <w:r/>
            <w:r>
              <w:rPr>
                <w:sz w:val="16"/>
              </w:rPr>
              <w:t>J 2017–18</w:t>
            </w:r>
          </w:p>
        </w:tc>
        <w:tc>
          <w:tcPr>
            <w:tcW w:type="dxa" w:w="1296"/>
          </w:tcPr>
          <w:p>
            <w:pPr>
              <w:spacing w:line="240" w:lineRule="auto" w:after="0" w:before="0"/>
            </w:pPr>
            <w:r/>
            <w:r>
              <w:rPr>
                <w:sz w:val="16"/>
              </w:rPr>
              <w:t>2952 (556)</w:t>
            </w:r>
          </w:p>
        </w:tc>
        <w:tc>
          <w:tcPr>
            <w:tcW w:type="dxa" w:w="1296"/>
          </w:tcPr>
          <w:p>
            <w:pPr>
              <w:spacing w:line="240" w:lineRule="auto" w:after="0" w:before="0"/>
            </w:pPr>
            <w:r/>
            <w:r>
              <w:rPr>
                <w:sz w:val="16"/>
              </w:rPr>
              <w:t>0.959</w:t>
            </w:r>
          </w:p>
        </w:tc>
        <w:tc>
          <w:tcPr>
            <w:tcW w:type="dxa" w:w="1296"/>
          </w:tcPr>
          <w:p>
            <w:pPr>
              <w:spacing w:line="240" w:lineRule="auto" w:after="0" w:before="0"/>
            </w:pPr>
            <w:r/>
            <w:r>
              <w:rPr>
                <w:sz w:val="16"/>
              </w:rPr>
              <w:t>0.947 (0.934–0.961)</w:t>
            </w:r>
          </w:p>
        </w:tc>
        <w:tc>
          <w:tcPr>
            <w:tcW w:type="dxa" w:w="1296"/>
          </w:tcPr>
          <w:p>
            <w:pPr>
              <w:spacing w:line="240" w:lineRule="auto" w:after="0" w:before="0"/>
            </w:pPr>
            <w:r/>
            <w:r>
              <w:rPr>
                <w:sz w:val="16"/>
              </w:rPr>
              <w:t>-0.012</w:t>
            </w:r>
          </w:p>
        </w:tc>
        <w:tc>
          <w:tcPr>
            <w:tcW w:type="dxa" w:w="1296"/>
          </w:tcPr>
          <w:p>
            <w:pPr>
              <w:spacing w:line="240" w:lineRule="auto" w:after="0" w:before="0"/>
            </w:pPr>
            <w:r/>
            <w:r>
              <w:rPr>
                <w:sz w:val="16"/>
              </w:rPr>
              <w:t>76.0 / 99.1</w:t>
            </w:r>
          </w:p>
        </w:tc>
      </w:tr>
      <w:tr>
        <w:trPr>
          <w:cantSplit/>
        </w:trPr>
        <w:tc>
          <w:tcPr>
            <w:tcW w:type="dxa" w:w="1296"/>
          </w:tcPr>
          <w:p>
            <w:pPr>
              <w:spacing w:line="240" w:lineRule="auto" w:after="0" w:before="0"/>
            </w:pPr>
            <w:r/>
            <w:r>
              <w:rPr>
                <w:sz w:val="16"/>
              </w:rPr>
              <w:t>ckd_selfreport</w:t>
            </w:r>
          </w:p>
        </w:tc>
        <w:tc>
          <w:tcPr>
            <w:tcW w:type="dxa" w:w="1296"/>
          </w:tcPr>
          <w:p>
            <w:pPr>
              <w:spacing w:line="240" w:lineRule="auto" w:after="0" w:before="0"/>
            </w:pPr>
            <w:r/>
            <w:r>
              <w:rPr>
                <w:sz w:val="16"/>
              </w:rPr>
              <w:t>J 2017–18</w:t>
            </w:r>
          </w:p>
        </w:tc>
        <w:tc>
          <w:tcPr>
            <w:tcW w:type="dxa" w:w="1296"/>
          </w:tcPr>
          <w:p>
            <w:pPr>
              <w:spacing w:line="240" w:lineRule="auto" w:after="0" w:before="0"/>
            </w:pPr>
            <w:r/>
            <w:r>
              <w:rPr>
                <w:sz w:val="16"/>
              </w:rPr>
              <w:t>2843 (131)</w:t>
            </w:r>
          </w:p>
        </w:tc>
        <w:tc>
          <w:tcPr>
            <w:tcW w:type="dxa" w:w="1296"/>
          </w:tcPr>
          <w:p>
            <w:pPr>
              <w:spacing w:line="240" w:lineRule="auto" w:after="0" w:before="0"/>
            </w:pPr>
            <w:r/>
            <w:r>
              <w:rPr>
                <w:sz w:val="16"/>
              </w:rPr>
              <w:t>0.816</w:t>
            </w:r>
          </w:p>
        </w:tc>
        <w:tc>
          <w:tcPr>
            <w:tcW w:type="dxa" w:w="1296"/>
          </w:tcPr>
          <w:p>
            <w:pPr>
              <w:spacing w:line="240" w:lineRule="auto" w:after="0" w:before="0"/>
            </w:pPr>
            <w:r/>
            <w:r>
              <w:rPr>
                <w:sz w:val="16"/>
              </w:rPr>
              <w:t>0.744 (0.693–0.794)</w:t>
            </w:r>
          </w:p>
        </w:tc>
        <w:tc>
          <w:tcPr>
            <w:tcW w:type="dxa" w:w="1296"/>
          </w:tcPr>
          <w:p>
            <w:pPr>
              <w:spacing w:line="240" w:lineRule="auto" w:after="0" w:before="0"/>
            </w:pPr>
            <w:r/>
            <w:r>
              <w:rPr>
                <w:sz w:val="16"/>
              </w:rPr>
              <w:t>-0.072</w:t>
            </w:r>
          </w:p>
        </w:tc>
        <w:tc>
          <w:tcPr>
            <w:tcW w:type="dxa" w:w="1296"/>
          </w:tcPr>
          <w:p>
            <w:pPr>
              <w:spacing w:line="240" w:lineRule="auto" w:after="0" w:before="0"/>
            </w:pPr>
            <w:r/>
            <w:r>
              <w:rPr>
                <w:sz w:val="16"/>
              </w:rPr>
              <w:t>51.8 / 90.2</w:t>
            </w:r>
          </w:p>
        </w:tc>
      </w:tr>
      <w:tr>
        <w:trPr>
          <w:cantSplit/>
        </w:trPr>
        <w:tc>
          <w:tcPr>
            <w:tcW w:type="dxa" w:w="1296"/>
          </w:tcPr>
          <w:p>
            <w:pPr>
              <w:spacing w:line="240" w:lineRule="auto" w:after="0" w:before="0"/>
            </w:pPr>
            <w:r/>
            <w:r>
              <w:rPr>
                <w:sz w:val="16"/>
              </w:rPr>
              <w:t>anemia</w:t>
            </w:r>
          </w:p>
        </w:tc>
        <w:tc>
          <w:tcPr>
            <w:tcW w:type="dxa" w:w="1296"/>
          </w:tcPr>
          <w:p>
            <w:pPr>
              <w:spacing w:line="240" w:lineRule="auto" w:after="0" w:before="0"/>
            </w:pPr>
            <w:r/>
            <w:r>
              <w:rPr>
                <w:sz w:val="16"/>
              </w:rPr>
              <w:t>J 2017–18</w:t>
            </w:r>
          </w:p>
        </w:tc>
        <w:tc>
          <w:tcPr>
            <w:tcW w:type="dxa" w:w="1296"/>
          </w:tcPr>
          <w:p>
            <w:pPr>
              <w:spacing w:line="240" w:lineRule="auto" w:after="0" w:before="0"/>
            </w:pPr>
            <w:r/>
            <w:r>
              <w:rPr>
                <w:sz w:val="16"/>
              </w:rPr>
              <w:t>3000 (306)</w:t>
            </w:r>
          </w:p>
        </w:tc>
        <w:tc>
          <w:tcPr>
            <w:tcW w:type="dxa" w:w="1296"/>
          </w:tcPr>
          <w:p>
            <w:pPr>
              <w:spacing w:line="240" w:lineRule="auto" w:after="0" w:before="0"/>
            </w:pPr>
            <w:r/>
            <w:r>
              <w:rPr>
                <w:sz w:val="16"/>
              </w:rPr>
              <w:t>0.972</w:t>
            </w:r>
          </w:p>
        </w:tc>
        <w:tc>
          <w:tcPr>
            <w:tcW w:type="dxa" w:w="1296"/>
          </w:tcPr>
          <w:p>
            <w:pPr>
              <w:spacing w:line="240" w:lineRule="auto" w:after="0" w:before="0"/>
            </w:pPr>
            <w:r/>
            <w:r>
              <w:rPr>
                <w:sz w:val="16"/>
              </w:rPr>
              <w:t>0.981 (0.977–0.985)</w:t>
            </w:r>
          </w:p>
        </w:tc>
        <w:tc>
          <w:tcPr>
            <w:tcW w:type="dxa" w:w="1296"/>
          </w:tcPr>
          <w:p>
            <w:pPr>
              <w:spacing w:line="240" w:lineRule="auto" w:after="0" w:before="0"/>
            </w:pPr>
            <w:r/>
            <w:r>
              <w:rPr>
                <w:sz w:val="16"/>
              </w:rPr>
              <w:t>+0.009</w:t>
            </w:r>
          </w:p>
        </w:tc>
        <w:tc>
          <w:tcPr>
            <w:tcW w:type="dxa" w:w="1296"/>
          </w:tcPr>
          <w:p>
            <w:pPr>
              <w:spacing w:line="240" w:lineRule="auto" w:after="0" w:before="0"/>
            </w:pPr>
            <w:r/>
            <w:r>
              <w:rPr>
                <w:sz w:val="16"/>
              </w:rPr>
              <w:t>99.8 / 94.8</w:t>
            </w:r>
          </w:p>
        </w:tc>
      </w:tr>
      <w:tr>
        <w:trPr>
          <w:cantSplit/>
        </w:trPr>
        <w:tc>
          <w:tcPr>
            <w:tcW w:type="dxa" w:w="1296"/>
          </w:tcPr>
          <w:p>
            <w:pPr>
              <w:spacing w:line="240" w:lineRule="auto" w:after="0" w:before="0"/>
            </w:pPr>
            <w:r/>
            <w:r>
              <w:rPr>
                <w:sz w:val="16"/>
              </w:rPr>
              <w:t>iron_deficiency</w:t>
            </w:r>
          </w:p>
        </w:tc>
        <w:tc>
          <w:tcPr>
            <w:tcW w:type="dxa" w:w="1296"/>
          </w:tcPr>
          <w:p>
            <w:pPr>
              <w:spacing w:line="240" w:lineRule="auto" w:after="0" w:before="0"/>
            </w:pPr>
            <w:r/>
            <w:r>
              <w:rPr>
                <w:sz w:val="16"/>
              </w:rPr>
              <w:t>J 2017–18</w:t>
            </w:r>
          </w:p>
        </w:tc>
        <w:tc>
          <w:tcPr>
            <w:tcW w:type="dxa" w:w="1296"/>
          </w:tcPr>
          <w:p>
            <w:pPr>
              <w:spacing w:line="240" w:lineRule="auto" w:after="0" w:before="0"/>
            </w:pPr>
            <w:r/>
            <w:r>
              <w:rPr>
                <w:sz w:val="16"/>
              </w:rPr>
              <w:t>2990 (163)</w:t>
            </w:r>
          </w:p>
        </w:tc>
        <w:tc>
          <w:tcPr>
            <w:tcW w:type="dxa" w:w="1296"/>
          </w:tcPr>
          <w:p>
            <w:pPr>
              <w:spacing w:line="240" w:lineRule="auto" w:after="0" w:before="0"/>
            </w:pPr>
            <w:r/>
            <w:r>
              <w:rPr>
                <w:sz w:val="16"/>
              </w:rPr>
              <w:t>0.989</w:t>
            </w:r>
          </w:p>
        </w:tc>
        <w:tc>
          <w:tcPr>
            <w:tcW w:type="dxa" w:w="1296"/>
          </w:tcPr>
          <w:p>
            <w:pPr>
              <w:spacing w:line="240" w:lineRule="auto" w:after="0" w:before="0"/>
            </w:pPr>
            <w:r/>
            <w:r>
              <w:rPr>
                <w:sz w:val="16"/>
              </w:rPr>
              <w:t>0.991 (0.988–0.993)</w:t>
            </w:r>
          </w:p>
        </w:tc>
        <w:tc>
          <w:tcPr>
            <w:tcW w:type="dxa" w:w="1296"/>
          </w:tcPr>
          <w:p>
            <w:pPr>
              <w:spacing w:line="240" w:lineRule="auto" w:after="0" w:before="0"/>
            </w:pPr>
            <w:r/>
            <w:r>
              <w:rPr>
                <w:sz w:val="16"/>
              </w:rPr>
              <w:t>+0.001</w:t>
            </w:r>
          </w:p>
        </w:tc>
        <w:tc>
          <w:tcPr>
            <w:tcW w:type="dxa" w:w="1296"/>
          </w:tcPr>
          <w:p>
            <w:pPr>
              <w:spacing w:line="240" w:lineRule="auto" w:after="0" w:before="0"/>
            </w:pPr>
            <w:r/>
            <w:r>
              <w:rPr>
                <w:sz w:val="16"/>
              </w:rPr>
              <w:t>95.4 / 97.5</w:t>
            </w:r>
          </w:p>
        </w:tc>
      </w:tr>
      <w:tr>
        <w:trPr>
          <w:cantSplit/>
        </w:trPr>
        <w:tc>
          <w:tcPr>
            <w:tcW w:type="dxa" w:w="1296"/>
          </w:tcPr>
          <w:p>
            <w:pPr>
              <w:spacing w:line="240" w:lineRule="auto" w:after="0" w:before="0"/>
            </w:pPr>
            <w:r/>
            <w:r>
              <w:rPr>
                <w:sz w:val="16"/>
              </w:rPr>
              <w:t>hypercholesterolemia</w:t>
            </w:r>
          </w:p>
        </w:tc>
        <w:tc>
          <w:tcPr>
            <w:tcW w:type="dxa" w:w="1296"/>
          </w:tcPr>
          <w:p>
            <w:pPr>
              <w:spacing w:line="240" w:lineRule="auto" w:after="0" w:before="0"/>
            </w:pPr>
            <w:r/>
            <w:r>
              <w:rPr>
                <w:sz w:val="16"/>
              </w:rPr>
              <w:t>J 2017–18</w:t>
            </w:r>
          </w:p>
        </w:tc>
        <w:tc>
          <w:tcPr>
            <w:tcW w:type="dxa" w:w="1296"/>
          </w:tcPr>
          <w:p>
            <w:pPr>
              <w:spacing w:line="240" w:lineRule="auto" w:after="0" w:before="0"/>
            </w:pPr>
            <w:r/>
            <w:r>
              <w:rPr>
                <w:sz w:val="16"/>
              </w:rPr>
              <w:t>2997 (306)</w:t>
            </w:r>
          </w:p>
        </w:tc>
        <w:tc>
          <w:tcPr>
            <w:tcW w:type="dxa" w:w="1296"/>
          </w:tcPr>
          <w:p>
            <w:pPr>
              <w:spacing w:line="240" w:lineRule="auto" w:after="0" w:before="0"/>
            </w:pPr>
            <w:r/>
            <w:r>
              <w:rPr>
                <w:sz w:val="16"/>
              </w:rPr>
              <w:t>0.905</w:t>
            </w:r>
          </w:p>
        </w:tc>
        <w:tc>
          <w:tcPr>
            <w:tcW w:type="dxa" w:w="1296"/>
          </w:tcPr>
          <w:p>
            <w:pPr>
              <w:spacing w:line="240" w:lineRule="auto" w:after="0" w:before="0"/>
            </w:pPr>
            <w:r/>
            <w:r>
              <w:rPr>
                <w:sz w:val="16"/>
              </w:rPr>
              <w:t>0.901 (0.891–0.911)</w:t>
            </w:r>
          </w:p>
        </w:tc>
        <w:tc>
          <w:tcPr>
            <w:tcW w:type="dxa" w:w="1296"/>
          </w:tcPr>
          <w:p>
            <w:pPr>
              <w:spacing w:line="240" w:lineRule="auto" w:after="0" w:before="0"/>
            </w:pPr>
            <w:r/>
            <w:r>
              <w:rPr>
                <w:sz w:val="16"/>
              </w:rPr>
              <w:t>-0.004</w:t>
            </w:r>
          </w:p>
        </w:tc>
        <w:tc>
          <w:tcPr>
            <w:tcW w:type="dxa" w:w="1296"/>
          </w:tcPr>
          <w:p>
            <w:pPr>
              <w:spacing w:line="240" w:lineRule="auto" w:after="0" w:before="0"/>
            </w:pPr>
            <w:r/>
            <w:r>
              <w:rPr>
                <w:sz w:val="16"/>
              </w:rPr>
              <w:t>100.0 / 76.4</w:t>
            </w:r>
          </w:p>
        </w:tc>
      </w:tr>
      <w:tr>
        <w:trPr>
          <w:cantSplit/>
        </w:trPr>
        <w:tc>
          <w:tcPr>
            <w:tcW w:type="dxa" w:w="1296"/>
          </w:tcPr>
          <w:p>
            <w:pPr>
              <w:spacing w:line="240" w:lineRule="auto" w:after="0" w:before="0"/>
            </w:pPr>
            <w:r/>
            <w:r>
              <w:rPr>
                <w:sz w:val="16"/>
              </w:rPr>
              <w:t>hyperuricemia</w:t>
            </w:r>
          </w:p>
        </w:tc>
        <w:tc>
          <w:tcPr>
            <w:tcW w:type="dxa" w:w="1296"/>
          </w:tcPr>
          <w:p>
            <w:pPr>
              <w:spacing w:line="240" w:lineRule="auto" w:after="0" w:before="0"/>
            </w:pPr>
            <w:r/>
            <w:r>
              <w:rPr>
                <w:sz w:val="16"/>
              </w:rPr>
              <w:t>J 2017–18</w:t>
            </w:r>
          </w:p>
        </w:tc>
        <w:tc>
          <w:tcPr>
            <w:tcW w:type="dxa" w:w="1296"/>
          </w:tcPr>
          <w:p>
            <w:pPr>
              <w:spacing w:line="240" w:lineRule="auto" w:after="0" w:before="0"/>
            </w:pPr>
            <w:r/>
            <w:r>
              <w:rPr>
                <w:sz w:val="16"/>
              </w:rPr>
              <w:t>2999 (589)</w:t>
            </w:r>
          </w:p>
        </w:tc>
        <w:tc>
          <w:tcPr>
            <w:tcW w:type="dxa" w:w="1296"/>
          </w:tcPr>
          <w:p>
            <w:pPr>
              <w:spacing w:line="240" w:lineRule="auto" w:after="0" w:before="0"/>
            </w:pPr>
            <w:r/>
            <w:r>
              <w:rPr>
                <w:sz w:val="16"/>
              </w:rPr>
              <w:t>0.943</w:t>
            </w:r>
          </w:p>
        </w:tc>
        <w:tc>
          <w:tcPr>
            <w:tcW w:type="dxa" w:w="1296"/>
          </w:tcPr>
          <w:p>
            <w:pPr>
              <w:spacing w:line="240" w:lineRule="auto" w:after="0" w:before="0"/>
            </w:pPr>
            <w:r/>
            <w:r>
              <w:rPr>
                <w:sz w:val="16"/>
              </w:rPr>
              <w:t>0.933 (0.915–0.951)</w:t>
            </w:r>
          </w:p>
        </w:tc>
        <w:tc>
          <w:tcPr>
            <w:tcW w:type="dxa" w:w="1296"/>
          </w:tcPr>
          <w:p>
            <w:pPr>
              <w:spacing w:line="240" w:lineRule="auto" w:after="0" w:before="0"/>
            </w:pPr>
            <w:r/>
            <w:r>
              <w:rPr>
                <w:sz w:val="16"/>
              </w:rPr>
              <w:t>-0.009</w:t>
            </w:r>
          </w:p>
        </w:tc>
        <w:tc>
          <w:tcPr>
            <w:tcW w:type="dxa" w:w="1296"/>
          </w:tcPr>
          <w:p>
            <w:pPr>
              <w:spacing w:line="240" w:lineRule="auto" w:after="0" w:before="0"/>
            </w:pPr>
            <w:r/>
            <w:r>
              <w:rPr>
                <w:sz w:val="16"/>
              </w:rPr>
              <w:t>86.7 / 100.0</w:t>
            </w:r>
          </w:p>
        </w:tc>
      </w:tr>
      <w:tr>
        <w:trPr>
          <w:cantSplit/>
        </w:trPr>
        <w:tc>
          <w:tcPr>
            <w:tcW w:type="dxa" w:w="1296"/>
          </w:tcPr>
          <w:p>
            <w:pPr>
              <w:spacing w:line="240" w:lineRule="auto" w:after="0" w:before="0"/>
            </w:pPr>
            <w:r/>
            <w:r>
              <w:rPr>
                <w:sz w:val="16"/>
              </w:rPr>
              <w:t>alt_elevation</w:t>
            </w:r>
          </w:p>
        </w:tc>
        <w:tc>
          <w:tcPr>
            <w:tcW w:type="dxa" w:w="1296"/>
          </w:tcPr>
          <w:p>
            <w:pPr>
              <w:spacing w:line="240" w:lineRule="auto" w:after="0" w:before="0"/>
            </w:pPr>
            <w:r/>
            <w:r>
              <w:rPr>
                <w:sz w:val="16"/>
              </w:rPr>
              <w:t>J 2017–18</w:t>
            </w:r>
          </w:p>
        </w:tc>
        <w:tc>
          <w:tcPr>
            <w:tcW w:type="dxa" w:w="1296"/>
          </w:tcPr>
          <w:p>
            <w:pPr>
              <w:spacing w:line="240" w:lineRule="auto" w:after="0" w:before="0"/>
            </w:pPr>
            <w:r/>
            <w:r>
              <w:rPr>
                <w:sz w:val="16"/>
              </w:rPr>
              <w:t>3000 (535)</w:t>
            </w:r>
          </w:p>
        </w:tc>
        <w:tc>
          <w:tcPr>
            <w:tcW w:type="dxa" w:w="1296"/>
          </w:tcPr>
          <w:p>
            <w:pPr>
              <w:spacing w:line="240" w:lineRule="auto" w:after="0" w:before="0"/>
            </w:pPr>
            <w:r/>
            <w:r>
              <w:rPr>
                <w:sz w:val="16"/>
              </w:rPr>
              <w:t>0.872</w:t>
            </w:r>
          </w:p>
        </w:tc>
        <w:tc>
          <w:tcPr>
            <w:tcW w:type="dxa" w:w="1296"/>
          </w:tcPr>
          <w:p>
            <w:pPr>
              <w:spacing w:line="240" w:lineRule="auto" w:after="0" w:before="0"/>
            </w:pPr>
            <w:r/>
            <w:r>
              <w:rPr>
                <w:sz w:val="16"/>
              </w:rPr>
              <w:t>0.872 (0.854–0.891)</w:t>
            </w:r>
          </w:p>
        </w:tc>
        <w:tc>
          <w:tcPr>
            <w:tcW w:type="dxa" w:w="1296"/>
          </w:tcPr>
          <w:p>
            <w:pPr>
              <w:spacing w:line="240" w:lineRule="auto" w:after="0" w:before="0"/>
            </w:pPr>
            <w:r/>
            <w:r>
              <w:rPr>
                <w:sz w:val="16"/>
              </w:rPr>
              <w:t>+0.000</w:t>
            </w:r>
          </w:p>
        </w:tc>
        <w:tc>
          <w:tcPr>
            <w:tcW w:type="dxa" w:w="1296"/>
          </w:tcPr>
          <w:p>
            <w:pPr>
              <w:spacing w:line="240" w:lineRule="auto" w:after="0" w:before="0"/>
            </w:pPr>
            <w:r/>
            <w:r>
              <w:rPr>
                <w:sz w:val="16"/>
              </w:rPr>
              <w:t>26.9 / 97.9</w:t>
            </w:r>
          </w:p>
        </w:tc>
      </w:tr>
      <w:tr>
        <w:trPr>
          <w:cantSplit/>
        </w:trPr>
        <w:tc>
          <w:tcPr>
            <w:tcW w:type="dxa" w:w="1296"/>
          </w:tcPr>
          <w:p>
            <w:pPr>
              <w:spacing w:line="240" w:lineRule="auto" w:after="0" w:before="0"/>
            </w:pPr>
            <w:r/>
            <w:r>
              <w:rPr>
                <w:sz w:val="16"/>
              </w:rPr>
              <w:t>guideline-healthy adults, any disease asserted</w:t>
            </w:r>
          </w:p>
        </w:tc>
        <w:tc>
          <w:tcPr>
            <w:tcW w:type="dxa" w:w="1296"/>
          </w:tcPr>
          <w:p>
            <w:pPr>
              <w:spacing w:line="240" w:lineRule="auto" w:after="0" w:before="0"/>
            </w:pPr>
            <w:r/>
            <w:r>
              <w:rPr>
                <w:sz w:val="16"/>
              </w:rPr>
              <w:t>J</w:t>
            </w:r>
          </w:p>
        </w:tc>
        <w:tc>
          <w:tcPr>
            <w:tcW w:type="dxa" w:w="1296"/>
          </w:tcPr>
          <w:p>
            <w:pPr>
              <w:spacing w:line="240" w:lineRule="auto" w:after="0" w:before="0"/>
            </w:pPr>
            <w:r/>
            <w:r>
              <w:rPr>
                <w:sz w:val="16"/>
              </w:rPr>
              <w:t>160</w:t>
            </w:r>
          </w:p>
        </w:tc>
        <w:tc>
          <w:tcPr>
            <w:tcW w:type="dxa" w:w="1296"/>
          </w:tcPr>
          <w:p>
            <w:pPr>
              <w:spacing w:line="240" w:lineRule="auto" w:after="0" w:before="0"/>
            </w:pPr>
            <w:r/>
            <w:r>
              <w:rPr>
                <w:sz w:val="16"/>
              </w:rPr>
              <w:t>1/160 unweighted</w:t>
            </w:r>
          </w:p>
        </w:tc>
        <w:tc>
          <w:tcPr>
            <w:tcW w:type="dxa" w:w="1296"/>
          </w:tcPr>
          <w:p>
            <w:pPr>
              <w:spacing w:line="240" w:lineRule="auto" w:after="0" w:before="0"/>
            </w:pPr>
            <w:r/>
            <w:r>
              <w:rPr>
                <w:sz w:val="16"/>
              </w:rPr>
              <w:t>weighted share 0.56%</w:t>
            </w:r>
          </w:p>
        </w:tc>
        <w:tc>
          <w:tcPr>
            <w:tcW w:type="dxa" w:w="1296"/>
          </w:tcPr>
          <w:p>
            <w:pPr>
              <w:spacing w:line="240" w:lineRule="auto" w:after="0" w:before="0"/>
            </w:pPr>
            <w:r/>
          </w:p>
        </w:tc>
        <w:tc>
          <w:tcPr>
            <w:tcW w:type="dxa" w:w="1296"/>
          </w:tcPr>
          <w:p>
            <w:pPr>
              <w:spacing w:line="240" w:lineRule="auto" w:after="0" w:before="0"/>
            </w:pPr>
            <w:r/>
          </w:p>
        </w:tc>
      </w:tr>
      <w:tr>
        <w:trPr>
          <w:cantSplit/>
        </w:trPr>
        <w:tc>
          <w:tcPr>
            <w:tcW w:type="dxa" w:w="1296"/>
          </w:tcPr>
          <w:p>
            <w:pPr>
              <w:spacing w:line="240" w:lineRule="auto" w:after="0" w:before="0"/>
            </w:pPr>
            <w:r/>
            <w:r>
              <w:rPr>
                <w:sz w:val="16"/>
              </w:rPr>
              <w:t>diabetes</w:t>
            </w:r>
          </w:p>
        </w:tc>
        <w:tc>
          <w:tcPr>
            <w:tcW w:type="dxa" w:w="1296"/>
          </w:tcPr>
          <w:p>
            <w:pPr>
              <w:spacing w:line="240" w:lineRule="auto" w:after="0" w:before="0"/>
            </w:pPr>
            <w:r/>
            <w:r>
              <w:rPr>
                <w:sz w:val="16"/>
              </w:rPr>
              <w:t>H 2013–14</w:t>
            </w:r>
          </w:p>
        </w:tc>
        <w:tc>
          <w:tcPr>
            <w:tcW w:type="dxa" w:w="1296"/>
          </w:tcPr>
          <w:p>
            <w:pPr>
              <w:spacing w:line="240" w:lineRule="auto" w:after="0" w:before="0"/>
            </w:pPr>
            <w:r/>
            <w:r>
              <w:rPr>
                <w:sz w:val="16"/>
              </w:rPr>
              <w:t>2998 (483)</w:t>
            </w:r>
          </w:p>
        </w:tc>
        <w:tc>
          <w:tcPr>
            <w:tcW w:type="dxa" w:w="1296"/>
          </w:tcPr>
          <w:p>
            <w:pPr>
              <w:spacing w:line="240" w:lineRule="auto" w:after="0" w:before="0"/>
            </w:pPr>
            <w:r/>
            <w:r>
              <w:rPr>
                <w:sz w:val="16"/>
              </w:rPr>
              <w:t>0.938</w:t>
            </w:r>
          </w:p>
        </w:tc>
        <w:tc>
          <w:tcPr>
            <w:tcW w:type="dxa" w:w="1296"/>
          </w:tcPr>
          <w:p>
            <w:pPr>
              <w:spacing w:line="240" w:lineRule="auto" w:after="0" w:before="0"/>
            </w:pPr>
            <w:r/>
            <w:r>
              <w:rPr>
                <w:sz w:val="16"/>
              </w:rPr>
              <w:t>0.939 (0.920–0.957)</w:t>
            </w:r>
          </w:p>
        </w:tc>
        <w:tc>
          <w:tcPr>
            <w:tcW w:type="dxa" w:w="1296"/>
          </w:tcPr>
          <w:p>
            <w:pPr>
              <w:spacing w:line="240" w:lineRule="auto" w:after="0" w:before="0"/>
            </w:pPr>
            <w:r/>
            <w:r>
              <w:rPr>
                <w:sz w:val="16"/>
              </w:rPr>
              <w:t>+0.001</w:t>
            </w:r>
          </w:p>
        </w:tc>
        <w:tc>
          <w:tcPr>
            <w:tcW w:type="dxa" w:w="1296"/>
          </w:tcPr>
          <w:p>
            <w:pPr>
              <w:spacing w:line="240" w:lineRule="auto" w:after="0" w:before="0"/>
            </w:pPr>
            <w:r/>
            <w:r>
              <w:rPr>
                <w:sz w:val="16"/>
              </w:rPr>
              <w:t>67.5 / 99.0</w:t>
            </w:r>
          </w:p>
        </w:tc>
      </w:tr>
      <w:tr>
        <w:trPr>
          <w:cantSplit/>
        </w:trPr>
        <w:tc>
          <w:tcPr>
            <w:tcW w:type="dxa" w:w="1296"/>
          </w:tcPr>
          <w:p>
            <w:pPr>
              <w:spacing w:line="240" w:lineRule="auto" w:after="0" w:before="0"/>
            </w:pPr>
            <w:r/>
            <w:r>
              <w:rPr>
                <w:sz w:val="16"/>
              </w:rPr>
              <w:t>diabetes_selfreport</w:t>
            </w:r>
          </w:p>
        </w:tc>
        <w:tc>
          <w:tcPr>
            <w:tcW w:type="dxa" w:w="1296"/>
          </w:tcPr>
          <w:p>
            <w:pPr>
              <w:spacing w:line="240" w:lineRule="auto" w:after="0" w:before="0"/>
            </w:pPr>
            <w:r/>
            <w:r>
              <w:rPr>
                <w:sz w:val="16"/>
              </w:rPr>
              <w:t>H 2013–14</w:t>
            </w:r>
          </w:p>
        </w:tc>
        <w:tc>
          <w:tcPr>
            <w:tcW w:type="dxa" w:w="1296"/>
          </w:tcPr>
          <w:p>
            <w:pPr>
              <w:spacing w:line="240" w:lineRule="auto" w:after="0" w:before="0"/>
            </w:pPr>
            <w:r/>
            <w:r>
              <w:rPr>
                <w:sz w:val="16"/>
              </w:rPr>
              <w:t>2908 (369)</w:t>
            </w:r>
          </w:p>
        </w:tc>
        <w:tc>
          <w:tcPr>
            <w:tcW w:type="dxa" w:w="1296"/>
          </w:tcPr>
          <w:p>
            <w:pPr>
              <w:spacing w:line="240" w:lineRule="auto" w:after="0" w:before="0"/>
            </w:pPr>
            <w:r/>
            <w:r>
              <w:rPr>
                <w:sz w:val="16"/>
              </w:rPr>
              <w:t>0.914</w:t>
            </w:r>
          </w:p>
        </w:tc>
        <w:tc>
          <w:tcPr>
            <w:tcW w:type="dxa" w:w="1296"/>
          </w:tcPr>
          <w:p>
            <w:pPr>
              <w:spacing w:line="240" w:lineRule="auto" w:after="0" w:before="0"/>
            </w:pPr>
            <w:r/>
            <w:r>
              <w:rPr>
                <w:sz w:val="16"/>
              </w:rPr>
              <w:t>0.922 (0.900–0.944)</w:t>
            </w:r>
          </w:p>
        </w:tc>
        <w:tc>
          <w:tcPr>
            <w:tcW w:type="dxa" w:w="1296"/>
          </w:tcPr>
          <w:p>
            <w:pPr>
              <w:spacing w:line="240" w:lineRule="auto" w:after="0" w:before="0"/>
            </w:pPr>
            <w:r/>
            <w:r>
              <w:rPr>
                <w:sz w:val="16"/>
              </w:rPr>
              <w:t>+0.008</w:t>
            </w:r>
          </w:p>
        </w:tc>
        <w:tc>
          <w:tcPr>
            <w:tcW w:type="dxa" w:w="1296"/>
          </w:tcPr>
          <w:p>
            <w:pPr>
              <w:spacing w:line="240" w:lineRule="auto" w:after="0" w:before="0"/>
            </w:pPr>
            <w:r/>
            <w:r>
              <w:rPr>
                <w:sz w:val="16"/>
              </w:rPr>
              <w:t>67.9 / 97.6</w:t>
            </w:r>
          </w:p>
        </w:tc>
      </w:tr>
      <w:tr>
        <w:trPr>
          <w:cantSplit/>
        </w:trPr>
        <w:tc>
          <w:tcPr>
            <w:tcW w:type="dxa" w:w="1296"/>
          </w:tcPr>
          <w:p>
            <w:pPr>
              <w:spacing w:line="240" w:lineRule="auto" w:after="0" w:before="0"/>
            </w:pPr>
            <w:r/>
            <w:r>
              <w:rPr>
                <w:sz w:val="16"/>
              </w:rPr>
              <w:t>ckd</w:t>
            </w:r>
          </w:p>
        </w:tc>
        <w:tc>
          <w:tcPr>
            <w:tcW w:type="dxa" w:w="1296"/>
          </w:tcPr>
          <w:p>
            <w:pPr>
              <w:spacing w:line="240" w:lineRule="auto" w:after="0" w:before="0"/>
            </w:pPr>
            <w:r/>
            <w:r>
              <w:rPr>
                <w:sz w:val="16"/>
              </w:rPr>
              <w:t>H 2013–14</w:t>
            </w:r>
          </w:p>
        </w:tc>
        <w:tc>
          <w:tcPr>
            <w:tcW w:type="dxa" w:w="1296"/>
          </w:tcPr>
          <w:p>
            <w:pPr>
              <w:spacing w:line="240" w:lineRule="auto" w:after="0" w:before="0"/>
            </w:pPr>
            <w:r/>
            <w:r>
              <w:rPr>
                <w:sz w:val="16"/>
              </w:rPr>
              <w:t>2958 (497)</w:t>
            </w:r>
          </w:p>
        </w:tc>
        <w:tc>
          <w:tcPr>
            <w:tcW w:type="dxa" w:w="1296"/>
          </w:tcPr>
          <w:p>
            <w:pPr>
              <w:spacing w:line="240" w:lineRule="auto" w:after="0" w:before="0"/>
            </w:pPr>
            <w:r/>
            <w:r>
              <w:rPr>
                <w:sz w:val="16"/>
              </w:rPr>
              <w:t>0.968</w:t>
            </w:r>
          </w:p>
        </w:tc>
        <w:tc>
          <w:tcPr>
            <w:tcW w:type="dxa" w:w="1296"/>
          </w:tcPr>
          <w:p>
            <w:pPr>
              <w:spacing w:line="240" w:lineRule="auto" w:after="0" w:before="0"/>
            </w:pPr>
            <w:r/>
            <w:r>
              <w:rPr>
                <w:sz w:val="16"/>
              </w:rPr>
              <w:t>0.967 (0.959–0.975)</w:t>
            </w:r>
          </w:p>
        </w:tc>
        <w:tc>
          <w:tcPr>
            <w:tcW w:type="dxa" w:w="1296"/>
          </w:tcPr>
          <w:p>
            <w:pPr>
              <w:spacing w:line="240" w:lineRule="auto" w:after="0" w:before="0"/>
            </w:pPr>
            <w:r/>
            <w:r>
              <w:rPr>
                <w:sz w:val="16"/>
              </w:rPr>
              <w:t>-0.000</w:t>
            </w:r>
          </w:p>
        </w:tc>
        <w:tc>
          <w:tcPr>
            <w:tcW w:type="dxa" w:w="1296"/>
          </w:tcPr>
          <w:p>
            <w:pPr>
              <w:spacing w:line="240" w:lineRule="auto" w:after="0" w:before="0"/>
            </w:pPr>
            <w:r/>
            <w:r>
              <w:rPr>
                <w:sz w:val="16"/>
              </w:rPr>
              <w:t>86.1 / 99.1</w:t>
            </w:r>
          </w:p>
        </w:tc>
      </w:tr>
      <w:tr>
        <w:trPr>
          <w:cantSplit/>
        </w:trPr>
        <w:tc>
          <w:tcPr>
            <w:tcW w:type="dxa" w:w="1296"/>
          </w:tcPr>
          <w:p>
            <w:pPr>
              <w:spacing w:line="240" w:lineRule="auto" w:after="0" w:before="0"/>
            </w:pPr>
            <w:r/>
            <w:r>
              <w:rPr>
                <w:sz w:val="16"/>
              </w:rPr>
              <w:t>ckd_selfreport</w:t>
            </w:r>
          </w:p>
        </w:tc>
        <w:tc>
          <w:tcPr>
            <w:tcW w:type="dxa" w:w="1296"/>
          </w:tcPr>
          <w:p>
            <w:pPr>
              <w:spacing w:line="240" w:lineRule="auto" w:after="0" w:before="0"/>
            </w:pPr>
            <w:r/>
            <w:r>
              <w:rPr>
                <w:sz w:val="16"/>
              </w:rPr>
              <w:t>H 2013–14</w:t>
            </w:r>
          </w:p>
        </w:tc>
        <w:tc>
          <w:tcPr>
            <w:tcW w:type="dxa" w:w="1296"/>
          </w:tcPr>
          <w:p>
            <w:pPr>
              <w:spacing w:line="240" w:lineRule="auto" w:after="0" w:before="0"/>
            </w:pPr>
            <w:r/>
            <w:r>
              <w:rPr>
                <w:sz w:val="16"/>
              </w:rPr>
              <w:t>2834 (101)</w:t>
            </w:r>
          </w:p>
        </w:tc>
        <w:tc>
          <w:tcPr>
            <w:tcW w:type="dxa" w:w="1296"/>
          </w:tcPr>
          <w:p>
            <w:pPr>
              <w:spacing w:line="240" w:lineRule="auto" w:after="0" w:before="0"/>
            </w:pPr>
            <w:r/>
            <w:r>
              <w:rPr>
                <w:sz w:val="16"/>
              </w:rPr>
              <w:t>0.748</w:t>
            </w:r>
          </w:p>
        </w:tc>
        <w:tc>
          <w:tcPr>
            <w:tcW w:type="dxa" w:w="1296"/>
          </w:tcPr>
          <w:p>
            <w:pPr>
              <w:spacing w:line="240" w:lineRule="auto" w:after="0" w:before="0"/>
            </w:pPr>
            <w:r/>
            <w:r>
              <w:rPr>
                <w:sz w:val="16"/>
              </w:rPr>
              <w:t>0.733 (0.674–0.802)</w:t>
            </w:r>
          </w:p>
        </w:tc>
        <w:tc>
          <w:tcPr>
            <w:tcW w:type="dxa" w:w="1296"/>
          </w:tcPr>
          <w:p>
            <w:pPr>
              <w:spacing w:line="240" w:lineRule="auto" w:after="0" w:before="0"/>
            </w:pPr>
            <w:r/>
            <w:r>
              <w:rPr>
                <w:sz w:val="16"/>
              </w:rPr>
              <w:t>-0.015</w:t>
            </w:r>
          </w:p>
        </w:tc>
        <w:tc>
          <w:tcPr>
            <w:tcW w:type="dxa" w:w="1296"/>
          </w:tcPr>
          <w:p>
            <w:pPr>
              <w:spacing w:line="240" w:lineRule="auto" w:after="0" w:before="0"/>
            </w:pPr>
            <w:r/>
            <w:r>
              <w:rPr>
                <w:sz w:val="16"/>
              </w:rPr>
              <w:t>53.1 / 87.8</w:t>
            </w:r>
          </w:p>
        </w:tc>
      </w:tr>
      <w:tr>
        <w:trPr>
          <w:cantSplit/>
        </w:trPr>
        <w:tc>
          <w:tcPr>
            <w:tcW w:type="dxa" w:w="1296"/>
          </w:tcPr>
          <w:p>
            <w:pPr>
              <w:spacing w:line="240" w:lineRule="auto" w:after="0" w:before="0"/>
            </w:pPr>
            <w:r/>
            <w:r>
              <w:rPr>
                <w:sz w:val="16"/>
              </w:rPr>
              <w:t>anemia</w:t>
            </w:r>
          </w:p>
        </w:tc>
        <w:tc>
          <w:tcPr>
            <w:tcW w:type="dxa" w:w="1296"/>
          </w:tcPr>
          <w:p>
            <w:pPr>
              <w:spacing w:line="240" w:lineRule="auto" w:after="0" w:before="0"/>
            </w:pPr>
            <w:r/>
            <w:r>
              <w:rPr>
                <w:sz w:val="16"/>
              </w:rPr>
              <w:t>H 2013–14</w:t>
            </w:r>
          </w:p>
        </w:tc>
        <w:tc>
          <w:tcPr>
            <w:tcW w:type="dxa" w:w="1296"/>
          </w:tcPr>
          <w:p>
            <w:pPr>
              <w:spacing w:line="240" w:lineRule="auto" w:after="0" w:before="0"/>
            </w:pPr>
            <w:r/>
            <w:r>
              <w:rPr>
                <w:sz w:val="16"/>
              </w:rPr>
              <w:t>3000 (295)</w:t>
            </w:r>
          </w:p>
        </w:tc>
        <w:tc>
          <w:tcPr>
            <w:tcW w:type="dxa" w:w="1296"/>
          </w:tcPr>
          <w:p>
            <w:pPr>
              <w:spacing w:line="240" w:lineRule="auto" w:after="0" w:before="0"/>
            </w:pPr>
            <w:r/>
            <w:r>
              <w:rPr>
                <w:sz w:val="16"/>
              </w:rPr>
              <w:t>0.994</w:t>
            </w:r>
          </w:p>
        </w:tc>
        <w:tc>
          <w:tcPr>
            <w:tcW w:type="dxa" w:w="1296"/>
          </w:tcPr>
          <w:p>
            <w:pPr>
              <w:spacing w:line="240" w:lineRule="auto" w:after="0" w:before="0"/>
            </w:pPr>
            <w:r/>
            <w:r>
              <w:rPr>
                <w:sz w:val="16"/>
              </w:rPr>
              <w:t>0.996 (0.994–0.998)</w:t>
            </w:r>
          </w:p>
        </w:tc>
        <w:tc>
          <w:tcPr>
            <w:tcW w:type="dxa" w:w="1296"/>
          </w:tcPr>
          <w:p>
            <w:pPr>
              <w:spacing w:line="240" w:lineRule="auto" w:after="0" w:before="0"/>
            </w:pPr>
            <w:r/>
            <w:r>
              <w:rPr>
                <w:sz w:val="16"/>
              </w:rPr>
              <w:t>+0.002</w:t>
            </w:r>
          </w:p>
        </w:tc>
        <w:tc>
          <w:tcPr>
            <w:tcW w:type="dxa" w:w="1296"/>
          </w:tcPr>
          <w:p>
            <w:pPr>
              <w:spacing w:line="240" w:lineRule="auto" w:after="0" w:before="0"/>
            </w:pPr>
            <w:r/>
            <w:r>
              <w:rPr>
                <w:sz w:val="16"/>
              </w:rPr>
              <w:t>100.0 / 99.2</w:t>
            </w:r>
          </w:p>
        </w:tc>
      </w:tr>
      <w:tr>
        <w:trPr>
          <w:cantSplit/>
        </w:trPr>
        <w:tc>
          <w:tcPr>
            <w:tcW w:type="dxa" w:w="1296"/>
          </w:tcPr>
          <w:p>
            <w:pPr>
              <w:spacing w:line="240" w:lineRule="auto" w:after="0" w:before="0"/>
            </w:pPr>
            <w:r/>
            <w:r>
              <w:rPr>
                <w:sz w:val="16"/>
              </w:rPr>
              <w:t>hypercholesterolemia</w:t>
            </w:r>
          </w:p>
        </w:tc>
        <w:tc>
          <w:tcPr>
            <w:tcW w:type="dxa" w:w="1296"/>
          </w:tcPr>
          <w:p>
            <w:pPr>
              <w:spacing w:line="240" w:lineRule="auto" w:after="0" w:before="0"/>
            </w:pPr>
            <w:r/>
            <w:r>
              <w:rPr>
                <w:sz w:val="16"/>
              </w:rPr>
              <w:t>H 2013–14</w:t>
            </w:r>
          </w:p>
        </w:tc>
        <w:tc>
          <w:tcPr>
            <w:tcW w:type="dxa" w:w="1296"/>
          </w:tcPr>
          <w:p>
            <w:pPr>
              <w:spacing w:line="240" w:lineRule="auto" w:after="0" w:before="0"/>
            </w:pPr>
            <w:r/>
            <w:r>
              <w:rPr>
                <w:sz w:val="16"/>
              </w:rPr>
              <w:t>3000 (312)</w:t>
            </w:r>
          </w:p>
        </w:tc>
        <w:tc>
          <w:tcPr>
            <w:tcW w:type="dxa" w:w="1296"/>
          </w:tcPr>
          <w:p>
            <w:pPr>
              <w:spacing w:line="240" w:lineRule="auto" w:after="0" w:before="0"/>
            </w:pPr>
            <w:r/>
            <w:r>
              <w:rPr>
                <w:sz w:val="16"/>
              </w:rPr>
              <w:t>0.884</w:t>
            </w:r>
          </w:p>
        </w:tc>
        <w:tc>
          <w:tcPr>
            <w:tcW w:type="dxa" w:w="1296"/>
          </w:tcPr>
          <w:p>
            <w:pPr>
              <w:spacing w:line="240" w:lineRule="auto" w:after="0" w:before="0"/>
            </w:pPr>
            <w:r/>
            <w:r>
              <w:rPr>
                <w:sz w:val="16"/>
              </w:rPr>
              <w:t>0.882 (0.869–0.895)</w:t>
            </w:r>
          </w:p>
        </w:tc>
        <w:tc>
          <w:tcPr>
            <w:tcW w:type="dxa" w:w="1296"/>
          </w:tcPr>
          <w:p>
            <w:pPr>
              <w:spacing w:line="240" w:lineRule="auto" w:after="0" w:before="0"/>
            </w:pPr>
            <w:r/>
            <w:r>
              <w:rPr>
                <w:sz w:val="16"/>
              </w:rPr>
              <w:t>-0.002</w:t>
            </w:r>
          </w:p>
        </w:tc>
        <w:tc>
          <w:tcPr>
            <w:tcW w:type="dxa" w:w="1296"/>
          </w:tcPr>
          <w:p>
            <w:pPr>
              <w:spacing w:line="240" w:lineRule="auto" w:after="0" w:before="0"/>
            </w:pPr>
            <w:r/>
            <w:r>
              <w:rPr>
                <w:sz w:val="16"/>
              </w:rPr>
              <w:t>97.9 / 75.6</w:t>
            </w:r>
          </w:p>
        </w:tc>
      </w:tr>
      <w:tr>
        <w:trPr>
          <w:cantSplit/>
        </w:trPr>
        <w:tc>
          <w:tcPr>
            <w:tcW w:type="dxa" w:w="1296"/>
          </w:tcPr>
          <w:p>
            <w:pPr>
              <w:spacing w:line="240" w:lineRule="auto" w:after="0" w:before="0"/>
            </w:pPr>
            <w:r/>
            <w:r>
              <w:rPr>
                <w:sz w:val="16"/>
              </w:rPr>
              <w:t>hyperuricemia</w:t>
            </w:r>
          </w:p>
        </w:tc>
        <w:tc>
          <w:tcPr>
            <w:tcW w:type="dxa" w:w="1296"/>
          </w:tcPr>
          <w:p>
            <w:pPr>
              <w:spacing w:line="240" w:lineRule="auto" w:after="0" w:before="0"/>
            </w:pPr>
            <w:r/>
            <w:r>
              <w:rPr>
                <w:sz w:val="16"/>
              </w:rPr>
              <w:t>H 2013–14</w:t>
            </w:r>
          </w:p>
        </w:tc>
        <w:tc>
          <w:tcPr>
            <w:tcW w:type="dxa" w:w="1296"/>
          </w:tcPr>
          <w:p>
            <w:pPr>
              <w:spacing w:line="240" w:lineRule="auto" w:after="0" w:before="0"/>
            </w:pPr>
            <w:r/>
            <w:r>
              <w:rPr>
                <w:sz w:val="16"/>
              </w:rPr>
              <w:t>3000 (547)</w:t>
            </w:r>
          </w:p>
        </w:tc>
        <w:tc>
          <w:tcPr>
            <w:tcW w:type="dxa" w:w="1296"/>
          </w:tcPr>
          <w:p>
            <w:pPr>
              <w:spacing w:line="240" w:lineRule="auto" w:after="0" w:before="0"/>
            </w:pPr>
            <w:r/>
            <w:r>
              <w:rPr>
                <w:sz w:val="16"/>
              </w:rPr>
              <w:t>0.958</w:t>
            </w:r>
          </w:p>
        </w:tc>
        <w:tc>
          <w:tcPr>
            <w:tcW w:type="dxa" w:w="1296"/>
          </w:tcPr>
          <w:p>
            <w:pPr>
              <w:spacing w:line="240" w:lineRule="auto" w:after="0" w:before="0"/>
            </w:pPr>
            <w:r/>
            <w:r>
              <w:rPr>
                <w:sz w:val="16"/>
              </w:rPr>
              <w:t>0.959 (0.949–0.968)</w:t>
            </w:r>
          </w:p>
        </w:tc>
        <w:tc>
          <w:tcPr>
            <w:tcW w:type="dxa" w:w="1296"/>
          </w:tcPr>
          <w:p>
            <w:pPr>
              <w:spacing w:line="240" w:lineRule="auto" w:after="0" w:before="0"/>
            </w:pPr>
            <w:r/>
            <w:r>
              <w:rPr>
                <w:sz w:val="16"/>
              </w:rPr>
              <w:t>+0.001</w:t>
            </w:r>
          </w:p>
        </w:tc>
        <w:tc>
          <w:tcPr>
            <w:tcW w:type="dxa" w:w="1296"/>
          </w:tcPr>
          <w:p>
            <w:pPr>
              <w:spacing w:line="240" w:lineRule="auto" w:after="0" w:before="0"/>
            </w:pPr>
            <w:r/>
            <w:r>
              <w:rPr>
                <w:sz w:val="16"/>
              </w:rPr>
              <w:t>91.7 / 100.0</w:t>
            </w:r>
          </w:p>
        </w:tc>
      </w:tr>
      <w:tr>
        <w:trPr>
          <w:cantSplit/>
        </w:trPr>
        <w:tc>
          <w:tcPr>
            <w:tcW w:type="dxa" w:w="1296"/>
          </w:tcPr>
          <w:p>
            <w:pPr>
              <w:spacing w:line="240" w:lineRule="auto" w:after="0" w:before="0"/>
            </w:pPr>
            <w:r/>
            <w:r>
              <w:rPr>
                <w:sz w:val="16"/>
              </w:rPr>
              <w:t>alt_elevation</w:t>
            </w:r>
          </w:p>
        </w:tc>
        <w:tc>
          <w:tcPr>
            <w:tcW w:type="dxa" w:w="1296"/>
          </w:tcPr>
          <w:p>
            <w:pPr>
              <w:spacing w:line="240" w:lineRule="auto" w:after="0" w:before="0"/>
            </w:pPr>
            <w:r/>
            <w:r>
              <w:rPr>
                <w:sz w:val="16"/>
              </w:rPr>
              <w:t>H 2013–14</w:t>
            </w:r>
          </w:p>
        </w:tc>
        <w:tc>
          <w:tcPr>
            <w:tcW w:type="dxa" w:w="1296"/>
          </w:tcPr>
          <w:p>
            <w:pPr>
              <w:spacing w:line="240" w:lineRule="auto" w:after="0" w:before="0"/>
            </w:pPr>
            <w:r/>
            <w:r>
              <w:rPr>
                <w:sz w:val="16"/>
              </w:rPr>
              <w:t>3000 (649)</w:t>
            </w:r>
          </w:p>
        </w:tc>
        <w:tc>
          <w:tcPr>
            <w:tcW w:type="dxa" w:w="1296"/>
          </w:tcPr>
          <w:p>
            <w:pPr>
              <w:spacing w:line="240" w:lineRule="auto" w:after="0" w:before="0"/>
            </w:pPr>
            <w:r/>
            <w:r>
              <w:rPr>
                <w:sz w:val="16"/>
              </w:rPr>
              <w:t>0.880</w:t>
            </w:r>
          </w:p>
        </w:tc>
        <w:tc>
          <w:tcPr>
            <w:tcW w:type="dxa" w:w="1296"/>
          </w:tcPr>
          <w:p>
            <w:pPr>
              <w:spacing w:line="240" w:lineRule="auto" w:after="0" w:before="0"/>
            </w:pPr>
            <w:r/>
            <w:r>
              <w:rPr>
                <w:sz w:val="16"/>
              </w:rPr>
              <w:t>0.879 (0.866–0.892)</w:t>
            </w:r>
          </w:p>
        </w:tc>
        <w:tc>
          <w:tcPr>
            <w:tcW w:type="dxa" w:w="1296"/>
          </w:tcPr>
          <w:p>
            <w:pPr>
              <w:spacing w:line="240" w:lineRule="auto" w:after="0" w:before="0"/>
            </w:pPr>
            <w:r/>
            <w:r>
              <w:rPr>
                <w:sz w:val="16"/>
              </w:rPr>
              <w:t>-0.001</w:t>
            </w:r>
          </w:p>
        </w:tc>
        <w:tc>
          <w:tcPr>
            <w:tcW w:type="dxa" w:w="1296"/>
          </w:tcPr>
          <w:p>
            <w:pPr>
              <w:spacing w:line="240" w:lineRule="auto" w:after="0" w:before="0"/>
            </w:pPr>
            <w:r/>
            <w:r>
              <w:rPr>
                <w:sz w:val="16"/>
              </w:rPr>
              <w:t>24.3 / 99.2</w:t>
            </w:r>
          </w:p>
        </w:tc>
      </w:tr>
      <w:tr>
        <w:trPr>
          <w:cantSplit/>
        </w:trPr>
        <w:tc>
          <w:tcPr>
            <w:tcW w:type="dxa" w:w="1296"/>
          </w:tcPr>
          <w:p>
            <w:pPr>
              <w:spacing w:line="240" w:lineRule="auto" w:after="0" w:before="0"/>
            </w:pPr>
            <w:r/>
            <w:r>
              <w:rPr>
                <w:sz w:val="16"/>
              </w:rPr>
              <w:t>guideline-healthy adults, any disease asserted</w:t>
            </w:r>
          </w:p>
        </w:tc>
        <w:tc>
          <w:tcPr>
            <w:tcW w:type="dxa" w:w="1296"/>
          </w:tcPr>
          <w:p>
            <w:pPr>
              <w:spacing w:line="240" w:lineRule="auto" w:after="0" w:before="0"/>
            </w:pPr>
            <w:r/>
            <w:r>
              <w:rPr>
                <w:sz w:val="16"/>
              </w:rPr>
              <w:t>H</w:t>
            </w:r>
          </w:p>
        </w:tc>
        <w:tc>
          <w:tcPr>
            <w:tcW w:type="dxa" w:w="1296"/>
          </w:tcPr>
          <w:p>
            <w:pPr>
              <w:spacing w:line="240" w:lineRule="auto" w:after="0" w:before="0"/>
            </w:pPr>
            <w:r/>
            <w:r>
              <w:rPr>
                <w:sz w:val="16"/>
              </w:rPr>
              <w:t>246</w:t>
            </w:r>
          </w:p>
        </w:tc>
        <w:tc>
          <w:tcPr>
            <w:tcW w:type="dxa" w:w="1296"/>
          </w:tcPr>
          <w:p>
            <w:pPr>
              <w:spacing w:line="240" w:lineRule="auto" w:after="0" w:before="0"/>
            </w:pPr>
            <w:r/>
            <w:r>
              <w:rPr>
                <w:sz w:val="16"/>
              </w:rPr>
              <w:t>1/246 unweighted</w:t>
            </w:r>
          </w:p>
        </w:tc>
        <w:tc>
          <w:tcPr>
            <w:tcW w:type="dxa" w:w="1296"/>
          </w:tcPr>
          <w:p>
            <w:pPr>
              <w:spacing w:line="240" w:lineRule="auto" w:after="0" w:before="0"/>
            </w:pPr>
            <w:r/>
            <w:r>
              <w:rPr>
                <w:sz w:val="16"/>
              </w:rPr>
              <w:t>weighted share 0.77%</w:t>
            </w:r>
          </w:p>
        </w:tc>
        <w:tc>
          <w:tcPr>
            <w:tcW w:type="dxa" w:w="1296"/>
          </w:tcPr>
          <w:p>
            <w:pPr>
              <w:spacing w:line="240" w:lineRule="auto" w:after="0" w:before="0"/>
            </w:pPr>
            <w:r/>
          </w:p>
        </w:tc>
        <w:tc>
          <w:tcPr>
            <w:tcW w:type="dxa" w:w="1296"/>
          </w:tcPr>
          <w:p>
            <w:pPr>
              <w:spacing w:line="240" w:lineRule="auto" w:after="0" w:before="0"/>
            </w:pPr>
            <w:r/>
          </w:p>
        </w:tc>
      </w:tr>
      <w:tr>
        <w:trPr>
          <w:cantSplit/>
        </w:trPr>
        <w:tc>
          <w:tcPr>
            <w:tcW w:type="dxa" w:w="1296"/>
          </w:tcPr>
          <w:p>
            <w:pPr>
              <w:spacing w:line="240" w:lineRule="auto" w:after="0" w:before="0"/>
            </w:pPr>
            <w:r/>
            <w:r>
              <w:rPr>
                <w:sz w:val="16"/>
              </w:rPr>
              <w:t>diabetes</w:t>
            </w:r>
          </w:p>
        </w:tc>
        <w:tc>
          <w:tcPr>
            <w:tcW w:type="dxa" w:w="1296"/>
          </w:tcPr>
          <w:p>
            <w:pPr>
              <w:spacing w:line="240" w:lineRule="auto" w:after="0" w:before="0"/>
            </w:pPr>
            <w:r/>
            <w:r>
              <w:rPr>
                <w:sz w:val="16"/>
              </w:rPr>
              <w:t>I 2015–16</w:t>
            </w:r>
          </w:p>
        </w:tc>
        <w:tc>
          <w:tcPr>
            <w:tcW w:type="dxa" w:w="1296"/>
          </w:tcPr>
          <w:p>
            <w:pPr>
              <w:spacing w:line="240" w:lineRule="auto" w:after="0" w:before="0"/>
            </w:pPr>
            <w:r/>
            <w:r>
              <w:rPr>
                <w:sz w:val="16"/>
              </w:rPr>
              <w:t>2999 (563)</w:t>
            </w:r>
          </w:p>
        </w:tc>
        <w:tc>
          <w:tcPr>
            <w:tcW w:type="dxa" w:w="1296"/>
          </w:tcPr>
          <w:p>
            <w:pPr>
              <w:spacing w:line="240" w:lineRule="auto" w:after="0" w:before="0"/>
            </w:pPr>
            <w:r/>
            <w:r>
              <w:rPr>
                <w:sz w:val="16"/>
              </w:rPr>
              <w:t>0.924</w:t>
            </w:r>
          </w:p>
        </w:tc>
        <w:tc>
          <w:tcPr>
            <w:tcW w:type="dxa" w:w="1296"/>
          </w:tcPr>
          <w:p>
            <w:pPr>
              <w:spacing w:line="240" w:lineRule="auto" w:after="0" w:before="0"/>
            </w:pPr>
            <w:r/>
            <w:r>
              <w:rPr>
                <w:sz w:val="16"/>
              </w:rPr>
              <w:t>0.923 (0.909–0.937)</w:t>
            </w:r>
          </w:p>
        </w:tc>
        <w:tc>
          <w:tcPr>
            <w:tcW w:type="dxa" w:w="1296"/>
          </w:tcPr>
          <w:p>
            <w:pPr>
              <w:spacing w:line="240" w:lineRule="auto" w:after="0" w:before="0"/>
            </w:pPr>
            <w:r/>
            <w:r>
              <w:rPr>
                <w:sz w:val="16"/>
              </w:rPr>
              <w:t>-0.001</w:t>
            </w:r>
          </w:p>
        </w:tc>
        <w:tc>
          <w:tcPr>
            <w:tcW w:type="dxa" w:w="1296"/>
          </w:tcPr>
          <w:p>
            <w:pPr>
              <w:spacing w:line="240" w:lineRule="auto" w:after="0" w:before="0"/>
            </w:pPr>
            <w:r/>
            <w:r>
              <w:rPr>
                <w:sz w:val="16"/>
              </w:rPr>
              <w:t>62.8 / 99.0</w:t>
            </w:r>
          </w:p>
        </w:tc>
      </w:tr>
      <w:tr>
        <w:trPr>
          <w:cantSplit/>
        </w:trPr>
        <w:tc>
          <w:tcPr>
            <w:tcW w:type="dxa" w:w="1296"/>
          </w:tcPr>
          <w:p>
            <w:pPr>
              <w:spacing w:line="240" w:lineRule="auto" w:after="0" w:before="0"/>
            </w:pPr>
            <w:r/>
            <w:r>
              <w:rPr>
                <w:sz w:val="16"/>
              </w:rPr>
              <w:t>diabetes_selfreport</w:t>
            </w:r>
          </w:p>
        </w:tc>
        <w:tc>
          <w:tcPr>
            <w:tcW w:type="dxa" w:w="1296"/>
          </w:tcPr>
          <w:p>
            <w:pPr>
              <w:spacing w:line="240" w:lineRule="auto" w:after="0" w:before="0"/>
            </w:pPr>
            <w:r/>
            <w:r>
              <w:rPr>
                <w:sz w:val="16"/>
              </w:rPr>
              <w:t>I 2015–16</w:t>
            </w:r>
          </w:p>
        </w:tc>
        <w:tc>
          <w:tcPr>
            <w:tcW w:type="dxa" w:w="1296"/>
          </w:tcPr>
          <w:p>
            <w:pPr>
              <w:spacing w:line="240" w:lineRule="auto" w:after="0" w:before="0"/>
            </w:pPr>
            <w:r/>
            <w:r>
              <w:rPr>
                <w:sz w:val="16"/>
              </w:rPr>
              <w:t>2934 (431)</w:t>
            </w:r>
          </w:p>
        </w:tc>
        <w:tc>
          <w:tcPr>
            <w:tcW w:type="dxa" w:w="1296"/>
          </w:tcPr>
          <w:p>
            <w:pPr>
              <w:spacing w:line="240" w:lineRule="auto" w:after="0" w:before="0"/>
            </w:pPr>
            <w:r/>
            <w:r>
              <w:rPr>
                <w:sz w:val="16"/>
              </w:rPr>
              <w:t>0.898</w:t>
            </w:r>
          </w:p>
        </w:tc>
        <w:tc>
          <w:tcPr>
            <w:tcW w:type="dxa" w:w="1296"/>
          </w:tcPr>
          <w:p>
            <w:pPr>
              <w:spacing w:line="240" w:lineRule="auto" w:after="0" w:before="0"/>
            </w:pPr>
            <w:r/>
            <w:r>
              <w:rPr>
                <w:sz w:val="16"/>
              </w:rPr>
              <w:t>0.903 (0.885–0.922)</w:t>
            </w:r>
          </w:p>
        </w:tc>
        <w:tc>
          <w:tcPr>
            <w:tcW w:type="dxa" w:w="1296"/>
          </w:tcPr>
          <w:p>
            <w:pPr>
              <w:spacing w:line="240" w:lineRule="auto" w:after="0" w:before="0"/>
            </w:pPr>
            <w:r/>
            <w:r>
              <w:rPr>
                <w:sz w:val="16"/>
              </w:rPr>
              <w:t>+0.006</w:t>
            </w:r>
          </w:p>
        </w:tc>
        <w:tc>
          <w:tcPr>
            <w:tcW w:type="dxa" w:w="1296"/>
          </w:tcPr>
          <w:p>
            <w:pPr>
              <w:spacing w:line="240" w:lineRule="auto" w:after="0" w:before="0"/>
            </w:pPr>
            <w:r/>
            <w:r>
              <w:rPr>
                <w:sz w:val="16"/>
              </w:rPr>
              <w:t>66.8 / 97.1</w:t>
            </w:r>
          </w:p>
        </w:tc>
      </w:tr>
      <w:tr>
        <w:trPr>
          <w:cantSplit/>
        </w:trPr>
        <w:tc>
          <w:tcPr>
            <w:tcW w:type="dxa" w:w="1296"/>
          </w:tcPr>
          <w:p>
            <w:pPr>
              <w:spacing w:line="240" w:lineRule="auto" w:after="0" w:before="0"/>
            </w:pPr>
            <w:r/>
            <w:r>
              <w:rPr>
                <w:sz w:val="16"/>
              </w:rPr>
              <w:t>ckd</w:t>
            </w:r>
          </w:p>
        </w:tc>
        <w:tc>
          <w:tcPr>
            <w:tcW w:type="dxa" w:w="1296"/>
          </w:tcPr>
          <w:p>
            <w:pPr>
              <w:spacing w:line="240" w:lineRule="auto" w:after="0" w:before="0"/>
            </w:pPr>
            <w:r/>
            <w:r>
              <w:rPr>
                <w:sz w:val="16"/>
              </w:rPr>
              <w:t>I 2015–16</w:t>
            </w:r>
          </w:p>
        </w:tc>
        <w:tc>
          <w:tcPr>
            <w:tcW w:type="dxa" w:w="1296"/>
          </w:tcPr>
          <w:p>
            <w:pPr>
              <w:spacing w:line="240" w:lineRule="auto" w:after="0" w:before="0"/>
            </w:pPr>
            <w:r/>
            <w:r>
              <w:rPr>
                <w:sz w:val="16"/>
              </w:rPr>
              <w:t>2960 (478)</w:t>
            </w:r>
          </w:p>
        </w:tc>
        <w:tc>
          <w:tcPr>
            <w:tcW w:type="dxa" w:w="1296"/>
          </w:tcPr>
          <w:p>
            <w:pPr>
              <w:spacing w:line="240" w:lineRule="auto" w:after="0" w:before="0"/>
            </w:pPr>
            <w:r/>
            <w:r>
              <w:rPr>
                <w:sz w:val="16"/>
              </w:rPr>
              <w:t>0.962</w:t>
            </w:r>
          </w:p>
        </w:tc>
        <w:tc>
          <w:tcPr>
            <w:tcW w:type="dxa" w:w="1296"/>
          </w:tcPr>
          <w:p>
            <w:pPr>
              <w:spacing w:line="240" w:lineRule="auto" w:after="0" w:before="0"/>
            </w:pPr>
            <w:r/>
            <w:r>
              <w:rPr>
                <w:sz w:val="16"/>
              </w:rPr>
              <w:t>0.958 (0.949–0.966)</w:t>
            </w:r>
          </w:p>
        </w:tc>
        <w:tc>
          <w:tcPr>
            <w:tcW w:type="dxa" w:w="1296"/>
          </w:tcPr>
          <w:p>
            <w:pPr>
              <w:spacing w:line="240" w:lineRule="auto" w:after="0" w:before="0"/>
            </w:pPr>
            <w:r/>
            <w:r>
              <w:rPr>
                <w:sz w:val="16"/>
              </w:rPr>
              <w:t>-0.004</w:t>
            </w:r>
          </w:p>
        </w:tc>
        <w:tc>
          <w:tcPr>
            <w:tcW w:type="dxa" w:w="1296"/>
          </w:tcPr>
          <w:p>
            <w:pPr>
              <w:spacing w:line="240" w:lineRule="auto" w:after="0" w:before="0"/>
            </w:pPr>
            <w:r/>
            <w:r>
              <w:rPr>
                <w:sz w:val="16"/>
              </w:rPr>
              <w:t>78.0 / 99.2</w:t>
            </w:r>
          </w:p>
        </w:tc>
      </w:tr>
      <w:tr>
        <w:trPr>
          <w:cantSplit/>
        </w:trPr>
        <w:tc>
          <w:tcPr>
            <w:tcW w:type="dxa" w:w="1296"/>
          </w:tcPr>
          <w:p>
            <w:pPr>
              <w:spacing w:line="240" w:lineRule="auto" w:after="0" w:before="0"/>
            </w:pPr>
            <w:r/>
            <w:r>
              <w:rPr>
                <w:sz w:val="16"/>
              </w:rPr>
              <w:t>ckd_selfreport</w:t>
            </w:r>
          </w:p>
        </w:tc>
        <w:tc>
          <w:tcPr>
            <w:tcW w:type="dxa" w:w="1296"/>
          </w:tcPr>
          <w:p>
            <w:pPr>
              <w:spacing w:line="240" w:lineRule="auto" w:after="0" w:before="0"/>
            </w:pPr>
            <w:r/>
            <w:r>
              <w:rPr>
                <w:sz w:val="16"/>
              </w:rPr>
              <w:t>I 2015–16</w:t>
            </w:r>
          </w:p>
        </w:tc>
        <w:tc>
          <w:tcPr>
            <w:tcW w:type="dxa" w:w="1296"/>
          </w:tcPr>
          <w:p>
            <w:pPr>
              <w:spacing w:line="240" w:lineRule="auto" w:after="0" w:before="0"/>
            </w:pPr>
            <w:r/>
            <w:r>
              <w:rPr>
                <w:sz w:val="16"/>
              </w:rPr>
              <w:t>2875 (116)</w:t>
            </w:r>
          </w:p>
        </w:tc>
        <w:tc>
          <w:tcPr>
            <w:tcW w:type="dxa" w:w="1296"/>
          </w:tcPr>
          <w:p>
            <w:pPr>
              <w:spacing w:line="240" w:lineRule="auto" w:after="0" w:before="0"/>
            </w:pPr>
            <w:r/>
            <w:r>
              <w:rPr>
                <w:sz w:val="16"/>
              </w:rPr>
              <w:t>0.799</w:t>
            </w:r>
          </w:p>
        </w:tc>
        <w:tc>
          <w:tcPr>
            <w:tcW w:type="dxa" w:w="1296"/>
          </w:tcPr>
          <w:p>
            <w:pPr>
              <w:spacing w:line="240" w:lineRule="auto" w:after="0" w:before="0"/>
            </w:pPr>
            <w:r/>
            <w:r>
              <w:rPr>
                <w:sz w:val="16"/>
              </w:rPr>
              <w:t>0.805 (0.760–0.839)</w:t>
            </w:r>
          </w:p>
        </w:tc>
        <w:tc>
          <w:tcPr>
            <w:tcW w:type="dxa" w:w="1296"/>
          </w:tcPr>
          <w:p>
            <w:pPr>
              <w:spacing w:line="240" w:lineRule="auto" w:after="0" w:before="0"/>
            </w:pPr>
            <w:r/>
            <w:r>
              <w:rPr>
                <w:sz w:val="16"/>
              </w:rPr>
              <w:t>+0.006</w:t>
            </w:r>
          </w:p>
        </w:tc>
        <w:tc>
          <w:tcPr>
            <w:tcW w:type="dxa" w:w="1296"/>
          </w:tcPr>
          <w:p>
            <w:pPr>
              <w:spacing w:line="240" w:lineRule="auto" w:after="0" w:before="0"/>
            </w:pPr>
            <w:r/>
            <w:r>
              <w:rPr>
                <w:sz w:val="16"/>
              </w:rPr>
              <w:t>51.6 / 89.9</w:t>
            </w:r>
          </w:p>
        </w:tc>
      </w:tr>
      <w:tr>
        <w:trPr>
          <w:cantSplit/>
        </w:trPr>
        <w:tc>
          <w:tcPr>
            <w:tcW w:type="dxa" w:w="1296"/>
          </w:tcPr>
          <w:p>
            <w:pPr>
              <w:spacing w:line="240" w:lineRule="auto" w:after="0" w:before="0"/>
            </w:pPr>
            <w:r/>
            <w:r>
              <w:rPr>
                <w:sz w:val="16"/>
              </w:rPr>
              <w:t>anemia</w:t>
            </w:r>
          </w:p>
        </w:tc>
        <w:tc>
          <w:tcPr>
            <w:tcW w:type="dxa" w:w="1296"/>
          </w:tcPr>
          <w:p>
            <w:pPr>
              <w:spacing w:line="240" w:lineRule="auto" w:after="0" w:before="0"/>
            </w:pPr>
            <w:r/>
            <w:r>
              <w:rPr>
                <w:sz w:val="16"/>
              </w:rPr>
              <w:t>I 2015–16</w:t>
            </w:r>
          </w:p>
        </w:tc>
        <w:tc>
          <w:tcPr>
            <w:tcW w:type="dxa" w:w="1296"/>
          </w:tcPr>
          <w:p>
            <w:pPr>
              <w:spacing w:line="240" w:lineRule="auto" w:after="0" w:before="0"/>
            </w:pPr>
            <w:r/>
            <w:r>
              <w:rPr>
                <w:sz w:val="16"/>
              </w:rPr>
              <w:t>3000 (346)</w:t>
            </w:r>
          </w:p>
        </w:tc>
        <w:tc>
          <w:tcPr>
            <w:tcW w:type="dxa" w:w="1296"/>
          </w:tcPr>
          <w:p>
            <w:pPr>
              <w:spacing w:line="240" w:lineRule="auto" w:after="0" w:before="0"/>
            </w:pPr>
            <w:r/>
            <w:r>
              <w:rPr>
                <w:sz w:val="16"/>
              </w:rPr>
              <w:t>0.983</w:t>
            </w:r>
          </w:p>
        </w:tc>
        <w:tc>
          <w:tcPr>
            <w:tcW w:type="dxa" w:w="1296"/>
          </w:tcPr>
          <w:p>
            <w:pPr>
              <w:spacing w:line="240" w:lineRule="auto" w:after="0" w:before="0"/>
            </w:pPr>
            <w:r/>
            <w:r>
              <w:rPr>
                <w:sz w:val="16"/>
              </w:rPr>
              <w:t>0.990 (0.987–0.992)</w:t>
            </w:r>
          </w:p>
        </w:tc>
        <w:tc>
          <w:tcPr>
            <w:tcW w:type="dxa" w:w="1296"/>
          </w:tcPr>
          <w:p>
            <w:pPr>
              <w:spacing w:line="240" w:lineRule="auto" w:after="0" w:before="0"/>
            </w:pPr>
            <w:r/>
            <w:r>
              <w:rPr>
                <w:sz w:val="16"/>
              </w:rPr>
              <w:t>+0.007</w:t>
            </w:r>
          </w:p>
        </w:tc>
        <w:tc>
          <w:tcPr>
            <w:tcW w:type="dxa" w:w="1296"/>
          </w:tcPr>
          <w:p>
            <w:pPr>
              <w:spacing w:line="240" w:lineRule="auto" w:after="0" w:before="0"/>
            </w:pPr>
            <w:r/>
            <w:r>
              <w:rPr>
                <w:sz w:val="16"/>
              </w:rPr>
              <w:t>100.0 / 97.2</w:t>
            </w:r>
          </w:p>
        </w:tc>
      </w:tr>
      <w:tr>
        <w:trPr>
          <w:cantSplit/>
        </w:trPr>
        <w:tc>
          <w:tcPr>
            <w:tcW w:type="dxa" w:w="1296"/>
          </w:tcPr>
          <w:p>
            <w:pPr>
              <w:spacing w:line="240" w:lineRule="auto" w:after="0" w:before="0"/>
            </w:pPr>
            <w:r/>
            <w:r>
              <w:rPr>
                <w:sz w:val="16"/>
              </w:rPr>
              <w:t>iron_deficiency</w:t>
            </w:r>
          </w:p>
        </w:tc>
        <w:tc>
          <w:tcPr>
            <w:tcW w:type="dxa" w:w="1296"/>
          </w:tcPr>
          <w:p>
            <w:pPr>
              <w:spacing w:line="240" w:lineRule="auto" w:after="0" w:before="0"/>
            </w:pPr>
            <w:r/>
            <w:r>
              <w:rPr>
                <w:sz w:val="16"/>
              </w:rPr>
              <w:t>I 2015–16</w:t>
            </w:r>
          </w:p>
        </w:tc>
        <w:tc>
          <w:tcPr>
            <w:tcW w:type="dxa" w:w="1296"/>
          </w:tcPr>
          <w:p>
            <w:pPr>
              <w:spacing w:line="240" w:lineRule="auto" w:after="0" w:before="0"/>
            </w:pPr>
            <w:r/>
            <w:r>
              <w:rPr>
                <w:sz w:val="16"/>
              </w:rPr>
              <w:t>783 (148)</w:t>
            </w:r>
          </w:p>
        </w:tc>
        <w:tc>
          <w:tcPr>
            <w:tcW w:type="dxa" w:w="1296"/>
          </w:tcPr>
          <w:p>
            <w:pPr>
              <w:spacing w:line="240" w:lineRule="auto" w:after="0" w:before="0"/>
            </w:pPr>
            <w:r/>
            <w:r>
              <w:rPr>
                <w:sz w:val="16"/>
              </w:rPr>
              <w:t>0.972</w:t>
            </w:r>
          </w:p>
        </w:tc>
        <w:tc>
          <w:tcPr>
            <w:tcW w:type="dxa" w:w="1296"/>
          </w:tcPr>
          <w:p>
            <w:pPr>
              <w:spacing w:line="240" w:lineRule="auto" w:after="0" w:before="0"/>
            </w:pPr>
            <w:r/>
            <w:r>
              <w:rPr>
                <w:sz w:val="16"/>
              </w:rPr>
              <w:t>0.980 (0.974–0.986)</w:t>
            </w:r>
          </w:p>
        </w:tc>
        <w:tc>
          <w:tcPr>
            <w:tcW w:type="dxa" w:w="1296"/>
          </w:tcPr>
          <w:p>
            <w:pPr>
              <w:spacing w:line="240" w:lineRule="auto" w:after="0" w:before="0"/>
            </w:pPr>
            <w:r/>
            <w:r>
              <w:rPr>
                <w:sz w:val="16"/>
              </w:rPr>
              <w:t>+0.008</w:t>
            </w:r>
          </w:p>
        </w:tc>
        <w:tc>
          <w:tcPr>
            <w:tcW w:type="dxa" w:w="1296"/>
          </w:tcPr>
          <w:p>
            <w:pPr>
              <w:spacing w:line="240" w:lineRule="auto" w:after="0" w:before="0"/>
            </w:pPr>
            <w:r/>
            <w:r>
              <w:rPr>
                <w:sz w:val="16"/>
              </w:rPr>
              <w:t>90.3 / 97.0</w:t>
            </w:r>
          </w:p>
        </w:tc>
      </w:tr>
      <w:tr>
        <w:trPr>
          <w:cantSplit/>
        </w:trPr>
        <w:tc>
          <w:tcPr>
            <w:tcW w:type="dxa" w:w="1296"/>
          </w:tcPr>
          <w:p>
            <w:pPr>
              <w:spacing w:line="240" w:lineRule="auto" w:after="0" w:before="0"/>
            </w:pPr>
            <w:r/>
            <w:r>
              <w:rPr>
                <w:sz w:val="16"/>
              </w:rPr>
              <w:t>hypercholesterolemia</w:t>
            </w:r>
          </w:p>
        </w:tc>
        <w:tc>
          <w:tcPr>
            <w:tcW w:type="dxa" w:w="1296"/>
          </w:tcPr>
          <w:p>
            <w:pPr>
              <w:spacing w:line="240" w:lineRule="auto" w:after="0" w:before="0"/>
            </w:pPr>
            <w:r/>
            <w:r>
              <w:rPr>
                <w:sz w:val="16"/>
              </w:rPr>
              <w:t>I 2015–16</w:t>
            </w:r>
          </w:p>
        </w:tc>
        <w:tc>
          <w:tcPr>
            <w:tcW w:type="dxa" w:w="1296"/>
          </w:tcPr>
          <w:p>
            <w:pPr>
              <w:spacing w:line="240" w:lineRule="auto" w:after="0" w:before="0"/>
            </w:pPr>
            <w:r/>
            <w:r>
              <w:rPr>
                <w:sz w:val="16"/>
              </w:rPr>
              <w:t>2999 (322)</w:t>
            </w:r>
          </w:p>
        </w:tc>
        <w:tc>
          <w:tcPr>
            <w:tcW w:type="dxa" w:w="1296"/>
          </w:tcPr>
          <w:p>
            <w:pPr>
              <w:spacing w:line="240" w:lineRule="auto" w:after="0" w:before="0"/>
            </w:pPr>
            <w:r/>
            <w:r>
              <w:rPr>
                <w:sz w:val="16"/>
              </w:rPr>
              <w:t>0.886</w:t>
            </w:r>
          </w:p>
        </w:tc>
        <w:tc>
          <w:tcPr>
            <w:tcW w:type="dxa" w:w="1296"/>
          </w:tcPr>
          <w:p>
            <w:pPr>
              <w:spacing w:line="240" w:lineRule="auto" w:after="0" w:before="0"/>
            </w:pPr>
            <w:r/>
            <w:r>
              <w:rPr>
                <w:sz w:val="16"/>
              </w:rPr>
              <w:t>0.872 (0.864–0.880)</w:t>
            </w:r>
          </w:p>
        </w:tc>
        <w:tc>
          <w:tcPr>
            <w:tcW w:type="dxa" w:w="1296"/>
          </w:tcPr>
          <w:p>
            <w:pPr>
              <w:spacing w:line="240" w:lineRule="auto" w:after="0" w:before="0"/>
            </w:pPr>
            <w:r/>
            <w:r>
              <w:rPr>
                <w:sz w:val="16"/>
              </w:rPr>
              <w:t>-0.015</w:t>
            </w:r>
          </w:p>
        </w:tc>
        <w:tc>
          <w:tcPr>
            <w:tcW w:type="dxa" w:w="1296"/>
          </w:tcPr>
          <w:p>
            <w:pPr>
              <w:spacing w:line="240" w:lineRule="auto" w:after="0" w:before="0"/>
            </w:pPr>
            <w:r/>
            <w:r>
              <w:rPr>
                <w:sz w:val="16"/>
              </w:rPr>
              <w:t>100.0 / 70.8</w:t>
            </w:r>
          </w:p>
        </w:tc>
      </w:tr>
      <w:tr>
        <w:trPr>
          <w:cantSplit/>
        </w:trPr>
        <w:tc>
          <w:tcPr>
            <w:tcW w:type="dxa" w:w="1296"/>
          </w:tcPr>
          <w:p>
            <w:pPr>
              <w:spacing w:line="240" w:lineRule="auto" w:after="0" w:before="0"/>
            </w:pPr>
            <w:r/>
            <w:r>
              <w:rPr>
                <w:sz w:val="16"/>
              </w:rPr>
              <w:t>hyperuricemia</w:t>
            </w:r>
          </w:p>
        </w:tc>
        <w:tc>
          <w:tcPr>
            <w:tcW w:type="dxa" w:w="1296"/>
          </w:tcPr>
          <w:p>
            <w:pPr>
              <w:spacing w:line="240" w:lineRule="auto" w:after="0" w:before="0"/>
            </w:pPr>
            <w:r/>
            <w:r>
              <w:rPr>
                <w:sz w:val="16"/>
              </w:rPr>
              <w:t>I 2015–16</w:t>
            </w:r>
          </w:p>
        </w:tc>
        <w:tc>
          <w:tcPr>
            <w:tcW w:type="dxa" w:w="1296"/>
          </w:tcPr>
          <w:p>
            <w:pPr>
              <w:spacing w:line="240" w:lineRule="auto" w:after="0" w:before="0"/>
            </w:pPr>
            <w:r/>
            <w:r>
              <w:rPr>
                <w:sz w:val="16"/>
              </w:rPr>
              <w:t>2999 (505)</w:t>
            </w:r>
          </w:p>
        </w:tc>
        <w:tc>
          <w:tcPr>
            <w:tcW w:type="dxa" w:w="1296"/>
          </w:tcPr>
          <w:p>
            <w:pPr>
              <w:spacing w:line="240" w:lineRule="auto" w:after="0" w:before="0"/>
            </w:pPr>
            <w:r/>
            <w:r>
              <w:rPr>
                <w:sz w:val="16"/>
              </w:rPr>
              <w:t>0.955</w:t>
            </w:r>
          </w:p>
        </w:tc>
        <w:tc>
          <w:tcPr>
            <w:tcW w:type="dxa" w:w="1296"/>
          </w:tcPr>
          <w:p>
            <w:pPr>
              <w:spacing w:line="240" w:lineRule="auto" w:after="0" w:before="0"/>
            </w:pPr>
            <w:r/>
            <w:r>
              <w:rPr>
                <w:sz w:val="16"/>
              </w:rPr>
              <w:t>0.947 (0.933–0.961)</w:t>
            </w:r>
          </w:p>
        </w:tc>
        <w:tc>
          <w:tcPr>
            <w:tcW w:type="dxa" w:w="1296"/>
          </w:tcPr>
          <w:p>
            <w:pPr>
              <w:spacing w:line="240" w:lineRule="auto" w:after="0" w:before="0"/>
            </w:pPr>
            <w:r/>
            <w:r>
              <w:rPr>
                <w:sz w:val="16"/>
              </w:rPr>
              <w:t>-0.008</w:t>
            </w:r>
          </w:p>
        </w:tc>
        <w:tc>
          <w:tcPr>
            <w:tcW w:type="dxa" w:w="1296"/>
          </w:tcPr>
          <w:p>
            <w:pPr>
              <w:spacing w:line="240" w:lineRule="auto" w:after="0" w:before="0"/>
            </w:pPr>
            <w:r/>
            <w:r>
              <w:rPr>
                <w:sz w:val="16"/>
              </w:rPr>
              <w:t>89.4 / 100.0</w:t>
            </w:r>
          </w:p>
        </w:tc>
      </w:tr>
      <w:tr>
        <w:trPr>
          <w:cantSplit/>
        </w:trPr>
        <w:tc>
          <w:tcPr>
            <w:tcW w:type="dxa" w:w="1296"/>
          </w:tcPr>
          <w:p>
            <w:pPr>
              <w:spacing w:line="240" w:lineRule="auto" w:after="0" w:before="0"/>
            </w:pPr>
            <w:r/>
            <w:r>
              <w:rPr>
                <w:sz w:val="16"/>
              </w:rPr>
              <w:t>alt_elevation</w:t>
            </w:r>
          </w:p>
        </w:tc>
        <w:tc>
          <w:tcPr>
            <w:tcW w:type="dxa" w:w="1296"/>
          </w:tcPr>
          <w:p>
            <w:pPr>
              <w:spacing w:line="240" w:lineRule="auto" w:after="0" w:before="0"/>
            </w:pPr>
            <w:r/>
            <w:r>
              <w:rPr>
                <w:sz w:val="16"/>
              </w:rPr>
              <w:t>I 2015–16</w:t>
            </w:r>
          </w:p>
        </w:tc>
        <w:tc>
          <w:tcPr>
            <w:tcW w:type="dxa" w:w="1296"/>
          </w:tcPr>
          <w:p>
            <w:pPr>
              <w:spacing w:line="240" w:lineRule="auto" w:after="0" w:before="0"/>
            </w:pPr>
            <w:r/>
            <w:r>
              <w:rPr>
                <w:sz w:val="16"/>
              </w:rPr>
              <w:t>3000 (656)</w:t>
            </w:r>
          </w:p>
        </w:tc>
        <w:tc>
          <w:tcPr>
            <w:tcW w:type="dxa" w:w="1296"/>
          </w:tcPr>
          <w:p>
            <w:pPr>
              <w:spacing w:line="240" w:lineRule="auto" w:after="0" w:before="0"/>
            </w:pPr>
            <w:r/>
            <w:r>
              <w:rPr>
                <w:sz w:val="16"/>
              </w:rPr>
              <w:t>0.877</w:t>
            </w:r>
          </w:p>
        </w:tc>
        <w:tc>
          <w:tcPr>
            <w:tcW w:type="dxa" w:w="1296"/>
          </w:tcPr>
          <w:p>
            <w:pPr>
              <w:spacing w:line="240" w:lineRule="auto" w:after="0" w:before="0"/>
            </w:pPr>
            <w:r/>
            <w:r>
              <w:rPr>
                <w:sz w:val="16"/>
              </w:rPr>
              <w:t>0.870 (0.851–0.886)</w:t>
            </w:r>
          </w:p>
        </w:tc>
        <w:tc>
          <w:tcPr>
            <w:tcW w:type="dxa" w:w="1296"/>
          </w:tcPr>
          <w:p>
            <w:pPr>
              <w:spacing w:line="240" w:lineRule="auto" w:after="0" w:before="0"/>
            </w:pPr>
            <w:r/>
            <w:r>
              <w:rPr>
                <w:sz w:val="16"/>
              </w:rPr>
              <w:t>-0.007</w:t>
            </w:r>
          </w:p>
        </w:tc>
        <w:tc>
          <w:tcPr>
            <w:tcW w:type="dxa" w:w="1296"/>
          </w:tcPr>
          <w:p>
            <w:pPr>
              <w:spacing w:line="240" w:lineRule="auto" w:after="0" w:before="0"/>
            </w:pPr>
            <w:r/>
            <w:r>
              <w:rPr>
                <w:sz w:val="16"/>
              </w:rPr>
              <w:t>19.0 / 99.0</w:t>
            </w:r>
          </w:p>
        </w:tc>
      </w:tr>
      <w:tr>
        <w:trPr>
          <w:cantSplit/>
        </w:trPr>
        <w:tc>
          <w:tcPr>
            <w:tcW w:type="dxa" w:w="1296"/>
          </w:tcPr>
          <w:p>
            <w:pPr>
              <w:spacing w:line="240" w:lineRule="auto" w:after="0" w:before="0"/>
            </w:pPr>
            <w:r/>
            <w:r>
              <w:rPr>
                <w:sz w:val="16"/>
              </w:rPr>
              <w:t>guideline-healthy adults, any disease asserted</w:t>
            </w:r>
          </w:p>
        </w:tc>
        <w:tc>
          <w:tcPr>
            <w:tcW w:type="dxa" w:w="1296"/>
          </w:tcPr>
          <w:p>
            <w:pPr>
              <w:spacing w:line="240" w:lineRule="auto" w:after="0" w:before="0"/>
            </w:pPr>
            <w:r/>
            <w:r>
              <w:rPr>
                <w:sz w:val="16"/>
              </w:rPr>
              <w:t>I</w:t>
            </w:r>
          </w:p>
        </w:tc>
        <w:tc>
          <w:tcPr>
            <w:tcW w:type="dxa" w:w="1296"/>
          </w:tcPr>
          <w:p>
            <w:pPr>
              <w:spacing w:line="240" w:lineRule="auto" w:after="0" w:before="0"/>
            </w:pPr>
            <w:r/>
            <w:r>
              <w:rPr>
                <w:sz w:val="16"/>
              </w:rPr>
              <w:t>79</w:t>
            </w:r>
          </w:p>
        </w:tc>
        <w:tc>
          <w:tcPr>
            <w:tcW w:type="dxa" w:w="1296"/>
          </w:tcPr>
          <w:p>
            <w:pPr>
              <w:spacing w:line="240" w:lineRule="auto" w:after="0" w:before="0"/>
            </w:pPr>
            <w:r/>
            <w:r>
              <w:rPr>
                <w:sz w:val="16"/>
              </w:rPr>
              <w:t>0/79 unweighted</w:t>
            </w:r>
          </w:p>
        </w:tc>
        <w:tc>
          <w:tcPr>
            <w:tcW w:type="dxa" w:w="1296"/>
          </w:tcPr>
          <w:p>
            <w:pPr>
              <w:spacing w:line="240" w:lineRule="auto" w:after="0" w:before="0"/>
            </w:pPr>
            <w:r/>
            <w:r>
              <w:rPr>
                <w:sz w:val="16"/>
              </w:rPr>
              <w:t>weighted share 0.00%</w:t>
            </w:r>
          </w:p>
        </w:tc>
        <w:tc>
          <w:tcPr>
            <w:tcW w:type="dxa" w:w="1296"/>
          </w:tcPr>
          <w:p>
            <w:pPr>
              <w:spacing w:line="240" w:lineRule="auto" w:after="0" w:before="0"/>
            </w:pPr>
            <w:r/>
          </w:p>
        </w:tc>
        <w:tc>
          <w:tcPr>
            <w:tcW w:type="dxa" w:w="1296"/>
          </w:tcPr>
          <w:p>
            <w:pPr>
              <w:spacing w:line="240" w:lineRule="auto" w:after="0" w:before="0"/>
            </w:pPr>
            <w:r/>
          </w:p>
        </w:tc>
      </w:tr>
    </w:tbl>
    <w:p/>
    <w:p>
      <w:r>
        <w:t>Design note: the 3,000 evaluated adults per cycle are a seeded random subsample of eligible MEC participants; weights act as relative weights within the subsample. Strata with a single sampled PSU are resampled as themselves. Domain estimation (subsetting) is approximated by weighting within the evaluated set.</w:t>
      </w:r>
    </w:p>
    <w:p>
      <w:pPr>
        <w:pStyle w:val="Heading1"/>
      </w:pPr>
      <w:r>
        <w:rPr>
          <w:rFonts w:ascii="Times New Roman" w:hAnsi="Times New Roman" w:eastAsia="Times New Roman" w:cs="Times New Roman"/>
          <w:b/>
          <w:i w:val="0"/>
          <w:color w:val="000000"/>
        </w:rPr>
        <w:t>Supplementary Table S8 — Per-group calibration slope / intercept / Brier</w:t>
      </w:r>
    </w:p>
    <w:p>
      <w:r>
        <w:t>See Table S6 (same file); per-group rows are the slope, calibration-in-the-large, Brier (95% cluster-bootstrap CI), log-loss and AUROC for the eight largest groups.</w:t>
      </w:r>
    </w:p>
    <w:p>
      <w:pPr>
        <w:pStyle w:val="Heading1"/>
      </w:pPr>
      <w:r>
        <w:rPr>
          <w:rFonts w:ascii="Times New Roman" w:hAnsi="Times New Roman" w:eastAsia="Times New Roman" w:cs="Times New Roman"/>
          <w:b/>
          <w:i w:val="0"/>
          <w:color w:val="000000"/>
        </w:rPr>
        <w:t>Supplementary Table S9 — Label-mapping audit, 400 stays (100 + 300;)</w:t>
      </w:r>
    </w:p>
    <w:p>
      <w:pPr>
        <w:spacing w:line="312" w:lineRule="auto"/>
      </w:pPr>
      <w:r>
        <w:rPr>
          <w:b/>
          <w:sz w:val="32"/>
        </w:rPr>
        <w:t>Label-mapping audit, extension to 300 further stays (seed 11; disjoint from the first 100) — author adjudication</w:t>
      </w:r>
    </w:p>
    <w:tbl>
      <w:tblPr>
        <w:tblStyle w:val="TableGrid"/>
        <w:tblW w:type="auto" w:w="0"/>
        <w:jc w:val="center"/>
        <w:tblLook w:firstColumn="1" w:firstRow="1" w:lastColumn="0" w:lastRow="0" w:noHBand="0" w:noVBand="1" w:val="04A0"/>
      </w:tblPr>
      <w:tblGrid>
        <w:gridCol w:w="4536"/>
        <w:gridCol w:w="4536"/>
      </w:tblGrid>
      <w:tr>
        <w:trPr>
          <w:cantSplit/>
          <w:tblHeader/>
        </w:trPr>
        <w:tc>
          <w:tcPr>
            <w:tcW w:type="dxa" w:w="4536"/>
            <w:shd w:val="clear" w:fill="F2F2F2"/>
          </w:tcPr>
          <w:p>
            <w:pPr>
              <w:spacing w:line="240" w:lineRule="auto" w:after="0" w:before="0"/>
            </w:pPr>
            <w:r>
              <w:rPr>
                <w:b/>
              </w:rPr>
            </w:r>
            <w:r>
              <w:rPr>
                <w:b/>
                <w:sz w:val="16"/>
              </w:rPr>
              <w:t>item</w:t>
            </w:r>
          </w:p>
        </w:tc>
        <w:tc>
          <w:tcPr>
            <w:tcW w:type="dxa" w:w="4536"/>
            <w:shd w:val="clear" w:fill="F2F2F2"/>
          </w:tcPr>
          <w:p>
            <w:pPr>
              <w:spacing w:line="240" w:lineRule="auto" w:after="0" w:before="0"/>
            </w:pPr>
            <w:r>
              <w:rPr>
                <w:b/>
              </w:rPr>
            </w:r>
            <w:r>
              <w:rPr>
                <w:b/>
                <w:sz w:val="16"/>
              </w:rPr>
              <w:t>value</w:t>
            </w:r>
          </w:p>
        </w:tc>
      </w:tr>
      <w:tr>
        <w:trPr>
          <w:cantSplit/>
        </w:trPr>
        <w:tc>
          <w:tcPr>
            <w:tcW w:type="dxa" w:w="4536"/>
          </w:tcPr>
          <w:p>
            <w:pPr>
              <w:spacing w:line="240" w:lineRule="auto" w:after="0" w:before="0"/>
            </w:pPr>
            <w:r/>
            <w:r>
              <w:rPr>
                <w:sz w:val="16"/>
              </w:rPr>
              <w:t>stays / diagnosis strings</w:t>
            </w:r>
          </w:p>
        </w:tc>
        <w:tc>
          <w:tcPr>
            <w:tcW w:type="dxa" w:w="4536"/>
          </w:tcPr>
          <w:p>
            <w:pPr>
              <w:spacing w:line="240" w:lineRule="auto" w:after="0" w:before="0"/>
            </w:pPr>
            <w:r/>
            <w:r>
              <w:rPr>
                <w:sz w:val="16"/>
              </w:rPr>
              <w:t>300 / 1113</w:t>
            </w:r>
          </w:p>
        </w:tc>
      </w:tr>
      <w:tr>
        <w:trPr>
          <w:cantSplit/>
        </w:trPr>
        <w:tc>
          <w:tcPr>
            <w:tcW w:type="dxa" w:w="4536"/>
          </w:tcPr>
          <w:p>
            <w:pPr>
              <w:spacing w:line="240" w:lineRule="auto" w:after="0" w:before="0"/>
            </w:pPr>
            <w:r/>
            <w:r>
              <w:rPr>
                <w:sz w:val="16"/>
              </w:rPr>
              <w:t>regex-positive labels</w:t>
            </w:r>
          </w:p>
        </w:tc>
        <w:tc>
          <w:tcPr>
            <w:tcW w:type="dxa" w:w="4536"/>
          </w:tcPr>
          <w:p>
            <w:pPr>
              <w:spacing w:line="240" w:lineRule="auto" w:after="0" w:before="0"/>
            </w:pPr>
            <w:r/>
            <w:r>
              <w:rPr>
                <w:sz w:val="16"/>
              </w:rPr>
              <w:t>376</w:t>
            </w:r>
          </w:p>
        </w:tc>
      </w:tr>
      <w:tr>
        <w:trPr>
          <w:cantSplit/>
        </w:trPr>
        <w:tc>
          <w:tcPr>
            <w:tcW w:type="dxa" w:w="4536"/>
          </w:tcPr>
          <w:p>
            <w:pPr>
              <w:spacing w:line="240" w:lineRule="auto" w:after="0" w:before="0"/>
            </w:pPr>
            <w:r/>
            <w:r>
              <w:rPr>
                <w:sz w:val="16"/>
              </w:rPr>
              <w:t>regex false positives</w:t>
            </w:r>
          </w:p>
        </w:tc>
        <w:tc>
          <w:tcPr>
            <w:tcW w:type="dxa" w:w="4536"/>
          </w:tcPr>
          <w:p>
            <w:pPr>
              <w:spacing w:line="240" w:lineRule="auto" w:after="0" w:before="0"/>
            </w:pPr>
            <w:r/>
            <w:r>
              <w:rPr>
                <w:b/>
                <w:sz w:val="16"/>
              </w:rPr>
              <w:t>0</w:t>
            </w:r>
          </w:p>
        </w:tc>
      </w:tr>
      <w:tr>
        <w:trPr>
          <w:cantSplit/>
        </w:trPr>
        <w:tc>
          <w:tcPr>
            <w:tcW w:type="dxa" w:w="4536"/>
          </w:tcPr>
          <w:p>
            <w:pPr>
              <w:spacing w:line="240" w:lineRule="auto" w:after="0" w:before="0"/>
            </w:pPr>
            <w:r/>
            <w:r>
              <w:rPr>
                <w:sz w:val="16"/>
              </w:rPr>
              <w:t>definite misses</w:t>
            </w:r>
          </w:p>
        </w:tc>
        <w:tc>
          <w:tcPr>
            <w:tcW w:type="dxa" w:w="4536"/>
          </w:tcPr>
          <w:p>
            <w:pPr>
              <w:spacing w:line="240" w:lineRule="auto" w:after="0" w:before="0"/>
            </w:pPr>
            <w:r/>
            <w:r>
              <w:rPr>
                <w:b/>
                <w:sz w:val="16"/>
              </w:rPr>
              <w:t>7</w:t>
            </w:r>
          </w:p>
        </w:tc>
      </w:tr>
      <w:tr>
        <w:trPr>
          <w:cantSplit/>
        </w:trPr>
        <w:tc>
          <w:tcPr>
            <w:tcW w:type="dxa" w:w="4536"/>
          </w:tcPr>
          <w:p>
            <w:pPr>
              <w:spacing w:line="240" w:lineRule="auto" w:after="0" w:before="0"/>
            </w:pPr>
            <w:r/>
            <w:r>
              <w:rPr>
                <w:sz w:val="16"/>
              </w:rPr>
              <w:t>ambiguous (excluded)</w:t>
            </w:r>
          </w:p>
        </w:tc>
        <w:tc>
          <w:tcPr>
            <w:tcW w:type="dxa" w:w="4536"/>
          </w:tcPr>
          <w:p>
            <w:pPr>
              <w:spacing w:line="240" w:lineRule="auto" w:after="0" w:before="0"/>
            </w:pPr>
            <w:r/>
            <w:r>
              <w:rPr>
                <w:sz w:val="16"/>
              </w:rPr>
              <w:t>37</w:t>
            </w:r>
          </w:p>
        </w:tc>
      </w:tr>
      <w:tr>
        <w:trPr>
          <w:cantSplit/>
        </w:trPr>
        <w:tc>
          <w:tcPr>
            <w:tcW w:type="dxa" w:w="4536"/>
          </w:tcPr>
          <w:p>
            <w:pPr>
              <w:spacing w:line="240" w:lineRule="auto" w:after="0" w:before="0"/>
            </w:pPr>
            <w:r/>
            <w:r>
              <w:rPr>
                <w:sz w:val="16"/>
              </w:rPr>
              <w:t>precision</w:t>
            </w:r>
          </w:p>
        </w:tc>
        <w:tc>
          <w:tcPr>
            <w:tcW w:type="dxa" w:w="4536"/>
          </w:tcPr>
          <w:p>
            <w:pPr>
              <w:spacing w:line="240" w:lineRule="auto" w:after="0" w:before="0"/>
            </w:pPr>
            <w:r/>
            <w:r>
              <w:rPr>
                <w:sz w:val="16"/>
              </w:rPr>
              <w:t>100.0%</w:t>
            </w:r>
          </w:p>
        </w:tc>
      </w:tr>
      <w:tr>
        <w:trPr>
          <w:cantSplit/>
        </w:trPr>
        <w:tc>
          <w:tcPr>
            <w:tcW w:type="dxa" w:w="4536"/>
          </w:tcPr>
          <w:p>
            <w:pPr>
              <w:spacing w:line="240" w:lineRule="auto" w:after="0" w:before="0"/>
            </w:pPr>
            <w:r/>
            <w:r>
              <w:rPr>
                <w:sz w:val="16"/>
              </w:rPr>
              <w:t>sensitivity</w:t>
            </w:r>
          </w:p>
        </w:tc>
        <w:tc>
          <w:tcPr>
            <w:tcW w:type="dxa" w:w="4536"/>
          </w:tcPr>
          <w:p>
            <w:pPr>
              <w:spacing w:line="240" w:lineRule="auto" w:after="0" w:before="0"/>
            </w:pPr>
            <w:r/>
            <w:r>
              <w:rPr>
                <w:sz w:val="16"/>
              </w:rPr>
              <w:t>98.2%</w:t>
            </w:r>
          </w:p>
        </w:tc>
      </w:tr>
    </w:tbl>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cantSplit/>
          <w:tblHeader/>
        </w:trPr>
        <w:tc>
          <w:tcPr>
            <w:tcW w:type="dxa" w:w="1512"/>
            <w:shd w:val="clear" w:fill="F2F2F2"/>
          </w:tcPr>
          <w:p>
            <w:pPr>
              <w:spacing w:line="240" w:lineRule="auto" w:after="0" w:before="0"/>
            </w:pPr>
            <w:r>
              <w:rPr>
                <w:b/>
              </w:rPr>
            </w:r>
            <w:r>
              <w:rPr>
                <w:b/>
                <w:sz w:val="16"/>
              </w:rPr>
              <w:t>group</w:t>
            </w:r>
          </w:p>
        </w:tc>
        <w:tc>
          <w:tcPr>
            <w:tcW w:type="dxa" w:w="1512"/>
            <w:shd w:val="clear" w:fill="F2F2F2"/>
          </w:tcPr>
          <w:p>
            <w:pPr>
              <w:spacing w:line="240" w:lineRule="auto" w:after="0" w:before="0"/>
            </w:pPr>
            <w:r>
              <w:rPr>
                <w:b/>
              </w:rPr>
            </w:r>
            <w:r>
              <w:rPr>
                <w:b/>
                <w:sz w:val="16"/>
              </w:rPr>
              <w:t>TP</w:t>
            </w:r>
          </w:p>
        </w:tc>
        <w:tc>
          <w:tcPr>
            <w:tcW w:type="dxa" w:w="1512"/>
            <w:shd w:val="clear" w:fill="F2F2F2"/>
          </w:tcPr>
          <w:p>
            <w:pPr>
              <w:spacing w:line="240" w:lineRule="auto" w:after="0" w:before="0"/>
            </w:pPr>
            <w:r>
              <w:rPr>
                <w:b/>
              </w:rPr>
            </w:r>
            <w:r>
              <w:rPr>
                <w:b/>
                <w:sz w:val="16"/>
              </w:rPr>
              <w:t>FP</w:t>
            </w:r>
          </w:p>
        </w:tc>
        <w:tc>
          <w:tcPr>
            <w:tcW w:type="dxa" w:w="1512"/>
            <w:shd w:val="clear" w:fill="F2F2F2"/>
          </w:tcPr>
          <w:p>
            <w:pPr>
              <w:spacing w:line="240" w:lineRule="auto" w:after="0" w:before="0"/>
            </w:pPr>
            <w:r>
              <w:rPr>
                <w:b/>
              </w:rPr>
            </w:r>
            <w:r>
              <w:rPr>
                <w:b/>
                <w:sz w:val="16"/>
              </w:rPr>
              <w:t>FN</w:t>
            </w:r>
          </w:p>
        </w:tc>
        <w:tc>
          <w:tcPr>
            <w:tcW w:type="dxa" w:w="1512"/>
            <w:shd w:val="clear" w:fill="F2F2F2"/>
          </w:tcPr>
          <w:p>
            <w:pPr>
              <w:spacing w:line="240" w:lineRule="auto" w:after="0" w:before="0"/>
            </w:pPr>
            <w:r>
              <w:rPr>
                <w:b/>
              </w:rPr>
            </w:r>
            <w:r>
              <w:rPr>
                <w:b/>
                <w:sz w:val="16"/>
              </w:rPr>
              <w:t>precision</w:t>
            </w:r>
          </w:p>
        </w:tc>
        <w:tc>
          <w:tcPr>
            <w:tcW w:type="dxa" w:w="1512"/>
            <w:shd w:val="clear" w:fill="F2F2F2"/>
          </w:tcPr>
          <w:p>
            <w:pPr>
              <w:spacing w:line="240" w:lineRule="auto" w:after="0" w:before="0"/>
            </w:pPr>
            <w:r>
              <w:rPr>
                <w:b/>
              </w:rPr>
            </w:r>
            <w:r>
              <w:rPr>
                <w:b/>
                <w:sz w:val="16"/>
              </w:rPr>
              <w:t>sensitivity</w:t>
            </w:r>
          </w:p>
        </w:tc>
      </w:tr>
      <w:tr>
        <w:trPr>
          <w:cantSplit/>
        </w:trPr>
        <w:tc>
          <w:tcPr>
            <w:tcW w:type="dxa" w:w="1512"/>
          </w:tcPr>
          <w:p>
            <w:pPr>
              <w:spacing w:line="240" w:lineRule="auto" w:after="0" w:before="0"/>
            </w:pPr>
            <w:r/>
            <w:r>
              <w:rPr>
                <w:sz w:val="16"/>
              </w:rPr>
              <w:t>sepsis</w:t>
            </w:r>
          </w:p>
        </w:tc>
        <w:tc>
          <w:tcPr>
            <w:tcW w:type="dxa" w:w="1512"/>
          </w:tcPr>
          <w:p>
            <w:pPr>
              <w:spacing w:line="240" w:lineRule="auto" w:after="0" w:before="0"/>
            </w:pPr>
            <w:r/>
            <w:r>
              <w:rPr>
                <w:sz w:val="16"/>
              </w:rPr>
              <w:t>42</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98%</w:t>
            </w:r>
          </w:p>
        </w:tc>
      </w:tr>
      <w:tr>
        <w:trPr>
          <w:cantSplit/>
        </w:trPr>
        <w:tc>
          <w:tcPr>
            <w:tcW w:type="dxa" w:w="1512"/>
          </w:tcPr>
          <w:p>
            <w:pPr>
              <w:spacing w:line="240" w:lineRule="auto" w:after="0" w:before="0"/>
            </w:pPr>
            <w:r/>
            <w:r>
              <w:rPr>
                <w:sz w:val="16"/>
              </w:rPr>
              <w:t>diabetes</w:t>
            </w:r>
          </w:p>
        </w:tc>
        <w:tc>
          <w:tcPr>
            <w:tcW w:type="dxa" w:w="1512"/>
          </w:tcPr>
          <w:p>
            <w:pPr>
              <w:spacing w:line="240" w:lineRule="auto" w:after="0" w:before="0"/>
            </w:pPr>
            <w:r/>
            <w:r>
              <w:rPr>
                <w:sz w:val="16"/>
              </w:rPr>
              <w:t>42</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renal_impairment</w:t>
            </w:r>
          </w:p>
        </w:tc>
        <w:tc>
          <w:tcPr>
            <w:tcW w:type="dxa" w:w="1512"/>
          </w:tcPr>
          <w:p>
            <w:pPr>
              <w:spacing w:line="240" w:lineRule="auto" w:after="0" w:before="0"/>
            </w:pPr>
            <w:r/>
            <w:r>
              <w:rPr>
                <w:sz w:val="16"/>
              </w:rPr>
              <w:t>35</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97%</w:t>
            </w:r>
          </w:p>
        </w:tc>
      </w:tr>
      <w:tr>
        <w:trPr>
          <w:cantSplit/>
        </w:trPr>
        <w:tc>
          <w:tcPr>
            <w:tcW w:type="dxa" w:w="1512"/>
          </w:tcPr>
          <w:p>
            <w:pPr>
              <w:spacing w:line="240" w:lineRule="auto" w:after="0" w:before="0"/>
            </w:pPr>
            <w:r/>
            <w:r>
              <w:rPr>
                <w:sz w:val="16"/>
              </w:rPr>
              <w:t>heart_failure</w:t>
            </w:r>
          </w:p>
        </w:tc>
        <w:tc>
          <w:tcPr>
            <w:tcW w:type="dxa" w:w="1512"/>
          </w:tcPr>
          <w:p>
            <w:pPr>
              <w:spacing w:line="240" w:lineRule="auto" w:after="0" w:before="0"/>
            </w:pPr>
            <w:r/>
            <w:r>
              <w:rPr>
                <w:sz w:val="16"/>
              </w:rPr>
              <w:t>26</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anemia</w:t>
            </w:r>
          </w:p>
        </w:tc>
        <w:tc>
          <w:tcPr>
            <w:tcW w:type="dxa" w:w="1512"/>
          </w:tcPr>
          <w:p>
            <w:pPr>
              <w:spacing w:line="240" w:lineRule="auto" w:after="0" w:before="0"/>
            </w:pPr>
            <w:r/>
            <w:r>
              <w:rPr>
                <w:sz w:val="16"/>
              </w:rPr>
              <w:t>26</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acute_kidney_injury</w:t>
            </w:r>
          </w:p>
        </w:tc>
        <w:tc>
          <w:tcPr>
            <w:tcW w:type="dxa" w:w="1512"/>
          </w:tcPr>
          <w:p>
            <w:pPr>
              <w:spacing w:line="240" w:lineRule="auto" w:after="0" w:before="0"/>
            </w:pPr>
            <w:r/>
            <w:r>
              <w:rPr>
                <w:sz w:val="16"/>
              </w:rPr>
              <w:t>22</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hyperglycemia</w:t>
            </w:r>
          </w:p>
        </w:tc>
        <w:tc>
          <w:tcPr>
            <w:tcW w:type="dxa" w:w="1512"/>
          </w:tcPr>
          <w:p>
            <w:pPr>
              <w:spacing w:line="240" w:lineRule="auto" w:after="0" w:before="0"/>
            </w:pPr>
            <w:r/>
            <w:r>
              <w:rPr>
                <w:sz w:val="16"/>
              </w:rPr>
              <w:t>21</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gi_bleeding</w:t>
            </w:r>
          </w:p>
        </w:tc>
        <w:tc>
          <w:tcPr>
            <w:tcW w:type="dxa" w:w="1512"/>
          </w:tcPr>
          <w:p>
            <w:pPr>
              <w:spacing w:line="240" w:lineRule="auto" w:after="0" w:before="0"/>
            </w:pPr>
            <w:r/>
            <w:r>
              <w:rPr>
                <w:sz w:val="16"/>
              </w:rPr>
              <w:t>20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diabetic_ketoacidosis</w:t>
            </w:r>
          </w:p>
        </w:tc>
        <w:tc>
          <w:tcPr>
            <w:tcW w:type="dxa" w:w="1512"/>
          </w:tcPr>
          <w:p>
            <w:pPr>
              <w:spacing w:line="240" w:lineRule="auto" w:after="0" w:before="0"/>
            </w:pPr>
            <w:r/>
            <w:r>
              <w:rPr>
                <w:sz w:val="16"/>
              </w:rPr>
              <w:t>18</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chronic_kidney_disease</w:t>
            </w:r>
          </w:p>
        </w:tc>
        <w:tc>
          <w:tcPr>
            <w:tcW w:type="dxa" w:w="1512"/>
          </w:tcPr>
          <w:p>
            <w:pPr>
              <w:spacing w:line="240" w:lineRule="auto" w:after="0" w:before="0"/>
            </w:pPr>
            <w:r/>
            <w:r>
              <w:rPr>
                <w:sz w:val="16"/>
              </w:rPr>
              <w:t>15</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leukocytosis</w:t>
            </w:r>
          </w:p>
        </w:tc>
        <w:tc>
          <w:tcPr>
            <w:tcW w:type="dxa" w:w="1512"/>
          </w:tcPr>
          <w:p>
            <w:pPr>
              <w:spacing w:line="240" w:lineRule="auto" w:after="0" w:before="0"/>
            </w:pPr>
            <w:r/>
            <w:r>
              <w:rPr>
                <w:sz w:val="16"/>
              </w:rPr>
              <w:t>8</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2</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80%</w:t>
            </w:r>
          </w:p>
        </w:tc>
      </w:tr>
      <w:tr>
        <w:trPr>
          <w:cantSplit/>
        </w:trPr>
        <w:tc>
          <w:tcPr>
            <w:tcW w:type="dxa" w:w="1512"/>
          </w:tcPr>
          <w:p>
            <w:pPr>
              <w:spacing w:line="240" w:lineRule="auto" w:after="0" w:before="0"/>
            </w:pPr>
            <w:r/>
            <w:r>
              <w:rPr>
                <w:sz w:val="16"/>
              </w:rPr>
              <w:t>alcohol_withdrawal</w:t>
            </w:r>
          </w:p>
        </w:tc>
        <w:tc>
          <w:tcPr>
            <w:tcW w:type="dxa" w:w="1512"/>
          </w:tcPr>
          <w:p>
            <w:pPr>
              <w:spacing w:line="240" w:lineRule="auto" w:after="0" w:before="0"/>
            </w:pPr>
            <w:r/>
            <w:r>
              <w:rPr>
                <w:sz w:val="16"/>
              </w:rPr>
              <w:t>9</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acute_myocardial_infarction</w:t>
            </w:r>
          </w:p>
        </w:tc>
        <w:tc>
          <w:tcPr>
            <w:tcW w:type="dxa" w:w="1512"/>
          </w:tcPr>
          <w:p>
            <w:pPr>
              <w:spacing w:line="240" w:lineRule="auto" w:after="0" w:before="0"/>
            </w:pPr>
            <w:r/>
            <w:r>
              <w:rPr>
                <w:sz w:val="16"/>
              </w:rPr>
              <w:t>9</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hypokalemia</w:t>
            </w:r>
          </w:p>
        </w:tc>
        <w:tc>
          <w:tcPr>
            <w:tcW w:type="dxa" w:w="1512"/>
          </w:tcPr>
          <w:p>
            <w:pPr>
              <w:spacing w:line="240" w:lineRule="auto" w:after="0" w:before="0"/>
            </w:pPr>
            <w:r/>
            <w:r>
              <w:rPr>
                <w:sz w:val="16"/>
              </w:rPr>
              <w:t>9</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malnutrition</w:t>
            </w:r>
          </w:p>
        </w:tc>
        <w:tc>
          <w:tcPr>
            <w:tcW w:type="dxa" w:w="1512"/>
          </w:tcPr>
          <w:p>
            <w:pPr>
              <w:spacing w:line="240" w:lineRule="auto" w:after="0" w:before="0"/>
            </w:pPr>
            <w:r/>
            <w:r>
              <w:rPr>
                <w:sz w:val="16"/>
              </w:rPr>
              <w:t>7</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2</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78%</w:t>
            </w:r>
          </w:p>
        </w:tc>
      </w:tr>
      <w:tr>
        <w:trPr>
          <w:cantSplit/>
        </w:trPr>
        <w:tc>
          <w:tcPr>
            <w:tcW w:type="dxa" w:w="1512"/>
          </w:tcPr>
          <w:p>
            <w:pPr>
              <w:spacing w:line="240" w:lineRule="auto" w:after="0" w:before="0"/>
            </w:pPr>
            <w:r/>
            <w:r>
              <w:rPr>
                <w:sz w:val="16"/>
              </w:rPr>
              <w:t>metabolic_acidosis</w:t>
            </w:r>
          </w:p>
        </w:tc>
        <w:tc>
          <w:tcPr>
            <w:tcW w:type="dxa" w:w="1512"/>
          </w:tcPr>
          <w:p>
            <w:pPr>
              <w:spacing w:line="240" w:lineRule="auto" w:after="0" w:before="0"/>
            </w:pPr>
            <w:r/>
            <w:r>
              <w:rPr>
                <w:sz w:val="16"/>
              </w:rPr>
              <w:t>8</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hyponatremia</w:t>
            </w:r>
          </w:p>
        </w:tc>
        <w:tc>
          <w:tcPr>
            <w:tcW w:type="dxa" w:w="1512"/>
          </w:tcPr>
          <w:p>
            <w:pPr>
              <w:spacing w:line="240" w:lineRule="auto" w:after="0" w:before="0"/>
            </w:pPr>
            <w:r/>
            <w:r>
              <w:rPr>
                <w:sz w:val="16"/>
              </w:rPr>
              <w:t>7</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hypothyroidism</w:t>
            </w:r>
          </w:p>
        </w:tc>
        <w:tc>
          <w:tcPr>
            <w:tcW w:type="dxa" w:w="1512"/>
          </w:tcPr>
          <w:p>
            <w:pPr>
              <w:spacing w:line="240" w:lineRule="auto" w:after="0" w:before="0"/>
            </w:pPr>
            <w:r/>
            <w:r>
              <w:rPr>
                <w:sz w:val="16"/>
              </w:rPr>
              <w:t>6</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thrombocytopenia</w:t>
            </w:r>
          </w:p>
        </w:tc>
        <w:tc>
          <w:tcPr>
            <w:tcW w:type="dxa" w:w="1512"/>
          </w:tcPr>
          <w:p>
            <w:pPr>
              <w:spacing w:line="240" w:lineRule="auto" w:after="0" w:before="0"/>
            </w:pPr>
            <w:r/>
            <w:r>
              <w:rPr>
                <w:sz w:val="16"/>
              </w:rPr>
              <w:t>5</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hypoglycemia</w:t>
            </w:r>
          </w:p>
        </w:tc>
        <w:tc>
          <w:tcPr>
            <w:tcW w:type="dxa" w:w="1512"/>
          </w:tcPr>
          <w:p>
            <w:pPr>
              <w:spacing w:line="240" w:lineRule="auto" w:after="0" w:before="0"/>
            </w:pPr>
            <w:r/>
            <w:r>
              <w:rPr>
                <w:sz w:val="16"/>
              </w:rPr>
              <w:t>5</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coagulopathy</w:t>
            </w:r>
          </w:p>
        </w:tc>
        <w:tc>
          <w:tcPr>
            <w:tcW w:type="dxa" w:w="1512"/>
          </w:tcPr>
          <w:p>
            <w:pPr>
              <w:spacing w:line="240" w:lineRule="auto" w:after="0" w:before="0"/>
            </w:pPr>
            <w:r/>
            <w:r>
              <w:rPr>
                <w:sz w:val="16"/>
              </w:rPr>
              <w:t>5</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acute_pancreatitis</w:t>
            </w:r>
          </w:p>
        </w:tc>
        <w:tc>
          <w:tcPr>
            <w:tcW w:type="dxa" w:w="1512"/>
          </w:tcPr>
          <w:p>
            <w:pPr>
              <w:spacing w:line="240" w:lineRule="auto" w:after="0" w:before="0"/>
            </w:pPr>
            <w:r/>
            <w:r>
              <w:rPr>
                <w:sz w:val="16"/>
              </w:rPr>
              <w:t>5</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cirrhosis_liver_failure</w:t>
            </w:r>
          </w:p>
        </w:tc>
        <w:tc>
          <w:tcPr>
            <w:tcW w:type="dxa" w:w="1512"/>
          </w:tcPr>
          <w:p>
            <w:pPr>
              <w:spacing w:line="240" w:lineRule="auto" w:after="0" w:before="0"/>
            </w:pPr>
            <w:r/>
            <w:r>
              <w:rPr>
                <w:sz w:val="16"/>
              </w:rPr>
              <w:t>4</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80%</w:t>
            </w:r>
          </w:p>
        </w:tc>
      </w:tr>
      <w:tr>
        <w:trPr>
          <w:cantSplit/>
        </w:trPr>
        <w:tc>
          <w:tcPr>
            <w:tcW w:type="dxa" w:w="1512"/>
          </w:tcPr>
          <w:p>
            <w:pPr>
              <w:spacing w:line="240" w:lineRule="auto" w:after="0" w:before="0"/>
            </w:pPr>
            <w:r/>
            <w:r>
              <w:rPr>
                <w:sz w:val="16"/>
              </w:rPr>
              <w:t>rhabdomyolysis</w:t>
            </w:r>
          </w:p>
        </w:tc>
        <w:tc>
          <w:tcPr>
            <w:tcW w:type="dxa" w:w="1512"/>
          </w:tcPr>
          <w:p>
            <w:pPr>
              <w:spacing w:line="240" w:lineRule="auto" w:after="0" w:before="0"/>
            </w:pPr>
            <w:r/>
            <w:r>
              <w:rPr>
                <w:sz w:val="16"/>
              </w:rPr>
              <w:t>4</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hyperkalemia</w:t>
            </w:r>
          </w:p>
        </w:tc>
        <w:tc>
          <w:tcPr>
            <w:tcW w:type="dxa" w:w="1512"/>
          </w:tcPr>
          <w:p>
            <w:pPr>
              <w:spacing w:line="240" w:lineRule="auto" w:after="0" w:before="0"/>
            </w:pPr>
            <w:r/>
            <w:r>
              <w:rPr>
                <w:sz w:val="16"/>
              </w:rPr>
              <w:t>4</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hypomagnesemia</w:t>
            </w:r>
          </w:p>
        </w:tc>
        <w:tc>
          <w:tcPr>
            <w:tcW w:type="dxa" w:w="1512"/>
          </w:tcPr>
          <w:p>
            <w:pPr>
              <w:spacing w:line="240" w:lineRule="auto" w:after="0" w:before="0"/>
            </w:pPr>
            <w:r/>
            <w:r>
              <w:rPr>
                <w:sz w:val="16"/>
              </w:rPr>
              <w:t>3</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lactic_acidosis</w:t>
            </w:r>
          </w:p>
        </w:tc>
        <w:tc>
          <w:tcPr>
            <w:tcW w:type="dxa" w:w="1512"/>
          </w:tcPr>
          <w:p>
            <w:pPr>
              <w:spacing w:line="240" w:lineRule="auto" w:after="0" w:before="0"/>
            </w:pPr>
            <w:r/>
            <w:r>
              <w:rPr>
                <w:sz w:val="16"/>
              </w:rPr>
              <w:t>3</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hypernatremia</w:t>
            </w:r>
          </w:p>
        </w:tc>
        <w:tc>
          <w:tcPr>
            <w:tcW w:type="dxa" w:w="1512"/>
          </w:tcPr>
          <w:p>
            <w:pPr>
              <w:spacing w:line="240" w:lineRule="auto" w:after="0" w:before="0"/>
            </w:pPr>
            <w:r/>
            <w:r>
              <w:rPr>
                <w:sz w:val="16"/>
              </w:rPr>
              <w:t>3</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hypocalcemia</w:t>
            </w:r>
          </w:p>
        </w:tc>
        <w:tc>
          <w:tcPr>
            <w:tcW w:type="dxa" w:w="1512"/>
          </w:tcPr>
          <w:p>
            <w:pPr>
              <w:spacing w:line="240" w:lineRule="auto" w:after="0" w:before="0"/>
            </w:pPr>
            <w:r/>
            <w:r>
              <w:rPr>
                <w:sz w:val="16"/>
              </w:rPr>
              <w:t>3</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hypophosphatemia</w:t>
            </w:r>
          </w:p>
        </w:tc>
        <w:tc>
          <w:tcPr>
            <w:tcW w:type="dxa" w:w="1512"/>
          </w:tcPr>
          <w:p>
            <w:pPr>
              <w:spacing w:line="240" w:lineRule="auto" w:after="0" w:before="0"/>
            </w:pPr>
            <w:r/>
            <w:r>
              <w:rPr>
                <w:sz w:val="16"/>
              </w:rPr>
              <w:t>2</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100%</w:t>
            </w:r>
          </w:p>
        </w:tc>
        <w:tc>
          <w:tcPr>
            <w:tcW w:type="dxa" w:w="1512"/>
          </w:tcPr>
          <w:p>
            <w:pPr>
              <w:spacing w:line="240" w:lineRule="auto" w:after="0" w:before="0"/>
            </w:pPr>
            <w:r/>
            <w:r>
              <w:rPr>
                <w:sz w:val="16"/>
              </w:rPr>
              <w:t>100%</w:t>
            </w:r>
          </w:p>
        </w:tc>
      </w:tr>
    </w:tbl>
    <w:p/>
    <w:p>
      <w:r>
        <w:t>Pooled with the first 100-stay audit (150 TP, 0 FP, 2 FN): precision 100.0%, sensitivity 98.3% over 400 stays.</w:t>
      </w:r>
    </w:p>
    <w:p>
      <w:r>
        <w:t xml:space="preserve">Disagreement cells were generated by a deliberately over-inclusive keyword coder; only disagreeing cells were read (agreement on negatives assumed). Regex-positive cells were verified at the category level (every positive arises from the expected eICU category branch, e.g. </w:t>
      </w:r>
      <w:r>
        <w:rPr>
          <w:rFonts w:ascii="Courier New" w:hAnsi="Courier New" w:eastAsia="Courier New" w:cs="Courier New"/>
          <w:color w:val="000000"/>
          <w:sz w:val="22"/>
        </w:rPr>
        <w:t>endocrine|glucose metabolism|…</w:t>
      </w:r>
      <w:r>
        <w:t xml:space="preserve"> for diabetes); they were not individually re-read, so precision is a category-level estimate. Adjudicator: first author (with AI-agent assistance); not an independent clinical audit.</w:t>
      </w:r>
    </w:p>
    <w:p>
      <w:r>
        <w:t xml:space="preserve">Definite misses (7): </w:t>
      </w:r>
      <w:r>
        <w:rPr>
          <w:rFonts w:ascii="Courier New" w:hAnsi="Courier New" w:eastAsia="Courier New" w:cs="Courier New"/>
          <w:color w:val="000000"/>
          <w:sz w:val="22"/>
        </w:rPr>
        <w:t>protein-calorie malnutrition</w:t>
      </w:r>
      <w:r>
        <w:t xml:space="preserve"> (2), </w:t>
      </w:r>
      <w:r>
        <w:rPr>
          <w:rFonts w:ascii="Courier New" w:hAnsi="Courier New" w:eastAsia="Courier New" w:cs="Courier New"/>
          <w:color w:val="000000"/>
          <w:sz w:val="22"/>
        </w:rPr>
        <w:t>hematological effect of infection|leukocytosis</w:t>
      </w:r>
      <w:r>
        <w:t xml:space="preserve"> (2), </w:t>
      </w:r>
      <w:r>
        <w:rPr>
          <w:rFonts w:ascii="Courier New" w:hAnsi="Courier New" w:eastAsia="Courier New" w:cs="Courier New"/>
          <w:color w:val="000000"/>
          <w:sz w:val="22"/>
        </w:rPr>
        <w:t>acute renal failure|due to sepsis</w:t>
      </w:r>
      <w:r>
        <w:t xml:space="preserve"> (1), </w:t>
      </w:r>
      <w:r>
        <w:rPr>
          <w:rFonts w:ascii="Courier New" w:hAnsi="Courier New" w:eastAsia="Courier New" w:cs="Courier New"/>
          <w:color w:val="000000"/>
          <w:sz w:val="22"/>
        </w:rPr>
        <w:t>encephalopathy|hepatic</w:t>
      </w:r>
      <w:r>
        <w:t xml:space="preserve"> (1), </w:t>
      </w:r>
      <w:r>
        <w:rPr>
          <w:rFonts w:ascii="Courier New" w:hAnsi="Courier New" w:eastAsia="Courier New" w:cs="Courier New"/>
          <w:color w:val="000000"/>
          <w:sz w:val="22"/>
        </w:rPr>
        <w:t>hypertension|with renal failure</w:t>
      </w:r>
      <w:r>
        <w:t xml:space="preserve"> (1). Ambiguous (37): DKA / hyperosmolar coma for the hyperglycaemia group (18), acute pulmonary oedema / cardiomyopathy for heart failure (6), acute coronary syndrome without infarction (5), </w:t>
      </w:r>
      <w:r>
        <w:rPr>
          <w:rFonts w:ascii="Courier New" w:hAnsi="Courier New" w:eastAsia="Courier New" w:cs="Courier New"/>
          <w:color w:val="000000"/>
          <w:sz w:val="22"/>
        </w:rPr>
        <w:t>signs and symptoms of sepsis (SIRS)</w:t>
      </w:r>
      <w:r>
        <w:t xml:space="preserve"> (2), kidney transplant / </w:t>
      </w:r>
      <w:r>
        <w:rPr>
          <w:rFonts w:ascii="Courier New" w:hAnsi="Courier New" w:eastAsia="Courier New" w:cs="Courier New"/>
          <w:color w:val="000000"/>
          <w:sz w:val="22"/>
        </w:rPr>
        <w:t>due to renal disease</w:t>
      </w:r>
      <w:r>
        <w:t xml:space="preserve"> (3), varices / acute hepatic dysfunction (2), </w:t>
      </w:r>
      <w:r>
        <w:rPr>
          <w:rFonts w:ascii="Courier New" w:hAnsi="Courier New" w:eastAsia="Courier New" w:cs="Courier New"/>
          <w:color w:val="000000"/>
          <w:sz w:val="22"/>
        </w:rPr>
        <w:t>drug withdrawal syndrome</w:t>
      </w:r>
      <w:r>
        <w:t xml:space="preserve"> unspecified (1), diabetic foot infection (1). The label map is frozen; none of these patterns was changed.</w:t>
      </w:r>
    </w:p>
    <w:p>
      <w:pPr>
        <w:pStyle w:val="Heading1"/>
      </w:pPr>
      <w:r>
        <w:rPr>
          <w:rFonts w:ascii="Times New Roman" w:hAnsi="Times New Roman" w:eastAsia="Times New Roman" w:cs="Times New Roman"/>
          <w:b/>
          <w:i w:val="0"/>
          <w:color w:val="000000"/>
        </w:rPr>
        <w:t>Supplementary Table S10 — Registry count reconciliation (computed from the shipped 14.1.0 file on 2026-10-26)</w:t>
      </w:r>
    </w:p>
    <w:tbl>
      <w:tblPr>
        <w:tblStyle w:val="TableGrid"/>
        <w:tblW w:type="auto" w:w="0"/>
        <w:jc w:val="center"/>
        <w:tblLook w:firstColumn="1" w:firstRow="1" w:lastColumn="0" w:lastRow="0" w:noHBand="0" w:noVBand="1" w:val="04A0"/>
      </w:tblPr>
      <w:tblGrid>
        <w:gridCol w:w="3024"/>
        <w:gridCol w:w="3024"/>
        <w:gridCol w:w="3024"/>
      </w:tblGrid>
      <w:tr>
        <w:trPr>
          <w:cantSplit/>
          <w:tblHeader/>
        </w:trPr>
        <w:tc>
          <w:tcPr>
            <w:tcW w:type="dxa" w:w="3024"/>
            <w:shd w:val="clear" w:fill="F2F2F2"/>
          </w:tcPr>
          <w:p>
            <w:pPr>
              <w:spacing w:line="240" w:lineRule="auto" w:after="0" w:before="0"/>
            </w:pPr>
            <w:r>
              <w:rPr>
                <w:b/>
              </w:rPr>
            </w:r>
            <w:r>
              <w:rPr>
                <w:b/>
                <w:sz w:val="16"/>
              </w:rPr>
              <w:t>quantity (release 14.1.0, live file)</w:t>
            </w:r>
          </w:p>
        </w:tc>
        <w:tc>
          <w:tcPr>
            <w:tcW w:type="dxa" w:w="3024"/>
            <w:shd w:val="clear" w:fill="F2F2F2"/>
          </w:tcPr>
          <w:p>
            <w:pPr>
              <w:spacing w:line="240" w:lineRule="auto" w:after="0" w:before="0"/>
            </w:pPr>
            <w:r>
              <w:rPr>
                <w:b/>
              </w:rPr>
            </w:r>
            <w:r>
              <w:rPr>
                <w:b/>
                <w:sz w:val="16"/>
              </w:rPr>
              <w:t>value</w:t>
            </w:r>
          </w:p>
        </w:tc>
        <w:tc>
          <w:tcPr>
            <w:tcW w:type="dxa" w:w="3024"/>
            <w:shd w:val="clear" w:fill="F2F2F2"/>
          </w:tcPr>
          <w:p>
            <w:pPr>
              <w:spacing w:line="240" w:lineRule="auto" w:after="0" w:before="0"/>
            </w:pPr>
            <w:r>
              <w:rPr>
                <w:b/>
              </w:rPr>
            </w:r>
            <w:r>
              <w:rPr>
                <w:b/>
                <w:sz w:val="16"/>
              </w:rPr>
              <w:t>note</w:t>
            </w:r>
          </w:p>
        </w:tc>
      </w:tr>
      <w:tr>
        <w:trPr>
          <w:cantSplit/>
        </w:trPr>
        <w:tc>
          <w:tcPr>
            <w:tcW w:type="dxa" w:w="3024"/>
          </w:tcPr>
          <w:p>
            <w:pPr>
              <w:spacing w:line="240" w:lineRule="auto" w:after="0" w:before="0"/>
            </w:pPr>
            <w:r/>
            <w:r>
              <w:rPr>
                <w:sz w:val="16"/>
              </w:rPr>
              <w:t>rule records</w:t>
            </w:r>
          </w:p>
        </w:tc>
        <w:tc>
          <w:tcPr>
            <w:tcW w:type="dxa" w:w="3024"/>
          </w:tcPr>
          <w:p>
            <w:pPr>
              <w:spacing w:line="240" w:lineRule="auto" w:after="0" w:before="0"/>
            </w:pPr>
            <w:r/>
            <w:r>
              <w:rPr>
                <w:sz w:val="16"/>
              </w:rPr>
              <w:t>34,673</w:t>
            </w:r>
          </w:p>
        </w:tc>
        <w:tc>
          <w:tcPr>
            <w:tcW w:type="dxa" w:w="3024"/>
          </w:tcPr>
          <w:p>
            <w:pPr>
              <w:spacing w:line="240" w:lineRule="auto" w:after="0" w:before="0"/>
            </w:pPr>
            <w:r/>
          </w:p>
        </w:tc>
      </w:tr>
      <w:tr>
        <w:trPr>
          <w:cantSplit/>
        </w:trPr>
        <w:tc>
          <w:tcPr>
            <w:tcW w:type="dxa" w:w="3024"/>
          </w:tcPr>
          <w:p>
            <w:pPr>
              <w:spacing w:line="240" w:lineRule="auto" w:after="0" w:before="0"/>
            </w:pPr>
            <w:r/>
            <w:r>
              <w:rPr>
                <w:sz w:val="16"/>
              </w:rPr>
              <w:t xml:space="preserve">status </w:t>
            </w:r>
            <w:r>
              <w:rPr>
                <w:rFonts w:ascii="Courier New" w:hAnsi="Courier New" w:eastAsia="Courier New" w:cs="Courier New"/>
                <w:color w:val="000000"/>
                <w:sz w:val="16"/>
              </w:rPr>
              <w:t>candidate_requires_specialist_validation</w:t>
            </w:r>
          </w:p>
        </w:tc>
        <w:tc>
          <w:tcPr>
            <w:tcW w:type="dxa" w:w="3024"/>
          </w:tcPr>
          <w:p>
            <w:pPr>
              <w:spacing w:line="240" w:lineRule="auto" w:after="0" w:before="0"/>
            </w:pPr>
            <w:r/>
            <w:r>
              <w:rPr>
                <w:sz w:val="16"/>
              </w:rPr>
              <w:t>32,901</w:t>
            </w:r>
          </w:p>
        </w:tc>
        <w:tc>
          <w:tcPr>
            <w:tcW w:type="dxa" w:w="3024"/>
          </w:tcPr>
          <w:p>
            <w:pPr>
              <w:spacing w:line="240" w:lineRule="auto" w:after="0" w:before="0"/>
            </w:pPr>
            <w:r/>
            <w:r>
              <w:rPr>
                <w:sz w:val="16"/>
              </w:rPr>
              <w:t>executable</w:t>
            </w:r>
          </w:p>
        </w:tc>
      </w:tr>
      <w:tr>
        <w:trPr>
          <w:cantSplit/>
        </w:trPr>
        <w:tc>
          <w:tcPr>
            <w:tcW w:type="dxa" w:w="3024"/>
          </w:tcPr>
          <w:p>
            <w:pPr>
              <w:spacing w:line="240" w:lineRule="auto" w:after="0" w:before="0"/>
            </w:pPr>
            <w:r/>
            <w:r>
              <w:rPr>
                <w:sz w:val="16"/>
              </w:rPr>
              <w:t xml:space="preserve">status </w:t>
            </w:r>
            <w:r>
              <w:rPr>
                <w:rFonts w:ascii="Courier New" w:hAnsi="Courier New" w:eastAsia="Courier New" w:cs="Courier New"/>
                <w:color w:val="000000"/>
                <w:sz w:val="16"/>
              </w:rPr>
              <w:t>retired_v13_3_0</w:t>
            </w:r>
          </w:p>
        </w:tc>
        <w:tc>
          <w:tcPr>
            <w:tcW w:type="dxa" w:w="3024"/>
          </w:tcPr>
          <w:p>
            <w:pPr>
              <w:spacing w:line="240" w:lineRule="auto" w:after="0" w:before="0"/>
            </w:pPr>
            <w:r/>
            <w:r>
              <w:rPr>
                <w:sz w:val="16"/>
              </w:rPr>
              <w:t>1,139</w:t>
            </w:r>
          </w:p>
        </w:tc>
        <w:tc>
          <w:tcPr>
            <w:tcW w:type="dxa" w:w="3024"/>
          </w:tcPr>
          <w:p>
            <w:pPr>
              <w:spacing w:line="240" w:lineRule="auto" w:after="0" w:before="0"/>
            </w:pPr>
            <w:r/>
            <w:r>
              <w:rPr>
                <w:sz w:val="16"/>
              </w:rPr>
              <w:t>non-executable (retired)</w:t>
            </w:r>
          </w:p>
        </w:tc>
      </w:tr>
      <w:tr>
        <w:trPr>
          <w:cantSplit/>
        </w:trPr>
        <w:tc>
          <w:tcPr>
            <w:tcW w:type="dxa" w:w="3024"/>
          </w:tcPr>
          <w:p>
            <w:pPr>
              <w:spacing w:line="240" w:lineRule="auto" w:after="0" w:before="0"/>
            </w:pPr>
            <w:r/>
            <w:r>
              <w:rPr>
                <w:sz w:val="16"/>
              </w:rPr>
              <w:t xml:space="preserve">status </w:t>
            </w:r>
            <w:r>
              <w:rPr>
                <w:rFonts w:ascii="Courier New" w:hAnsi="Courier New" w:eastAsia="Courier New" w:cs="Courier New"/>
                <w:color w:val="000000"/>
                <w:sz w:val="16"/>
              </w:rPr>
              <w:t>curated_guideline_anchored</w:t>
            </w:r>
          </w:p>
        </w:tc>
        <w:tc>
          <w:tcPr>
            <w:tcW w:type="dxa" w:w="3024"/>
          </w:tcPr>
          <w:p>
            <w:pPr>
              <w:spacing w:line="240" w:lineRule="auto" w:after="0" w:before="0"/>
            </w:pPr>
            <w:r/>
            <w:r>
              <w:rPr>
                <w:sz w:val="16"/>
              </w:rPr>
              <w:t>272</w:t>
            </w:r>
          </w:p>
        </w:tc>
        <w:tc>
          <w:tcPr>
            <w:tcW w:type="dxa" w:w="3024"/>
          </w:tcPr>
          <w:p>
            <w:pPr>
              <w:spacing w:line="240" w:lineRule="auto" w:after="0" w:before="0"/>
            </w:pPr>
            <w:r/>
            <w:r>
              <w:rPr>
                <w:sz w:val="16"/>
              </w:rPr>
              <w:t>executable</w:t>
            </w:r>
          </w:p>
        </w:tc>
      </w:tr>
      <w:tr>
        <w:trPr>
          <w:cantSplit/>
        </w:trPr>
        <w:tc>
          <w:tcPr>
            <w:tcW w:type="dxa" w:w="3024"/>
          </w:tcPr>
          <w:p>
            <w:pPr>
              <w:spacing w:line="240" w:lineRule="auto" w:after="0" w:before="0"/>
            </w:pPr>
            <w:r/>
            <w:r>
              <w:rPr>
                <w:sz w:val="16"/>
              </w:rPr>
              <w:t xml:space="preserve">status </w:t>
            </w:r>
            <w:r>
              <w:rPr>
                <w:rFonts w:ascii="Courier New" w:hAnsi="Courier New" w:eastAsia="Courier New" w:cs="Courier New"/>
                <w:color w:val="000000"/>
                <w:sz w:val="16"/>
              </w:rPr>
              <w:t>retired_v13_4_0_domain_artefact</w:t>
            </w:r>
          </w:p>
        </w:tc>
        <w:tc>
          <w:tcPr>
            <w:tcW w:type="dxa" w:w="3024"/>
          </w:tcPr>
          <w:p>
            <w:pPr>
              <w:spacing w:line="240" w:lineRule="auto" w:after="0" w:before="0"/>
            </w:pPr>
            <w:r/>
            <w:r>
              <w:rPr>
                <w:sz w:val="16"/>
              </w:rPr>
              <w:t>171</w:t>
            </w:r>
          </w:p>
        </w:tc>
        <w:tc>
          <w:tcPr>
            <w:tcW w:type="dxa" w:w="3024"/>
          </w:tcPr>
          <w:p>
            <w:pPr>
              <w:spacing w:line="240" w:lineRule="auto" w:after="0" w:before="0"/>
            </w:pPr>
            <w:r/>
            <w:r>
              <w:rPr>
                <w:sz w:val="16"/>
              </w:rPr>
              <w:t>non-executable (retired)</w:t>
            </w:r>
          </w:p>
        </w:tc>
      </w:tr>
      <w:tr>
        <w:trPr>
          <w:cantSplit/>
        </w:trPr>
        <w:tc>
          <w:tcPr>
            <w:tcW w:type="dxa" w:w="3024"/>
          </w:tcPr>
          <w:p>
            <w:pPr>
              <w:spacing w:line="240" w:lineRule="auto" w:after="0" w:before="0"/>
            </w:pPr>
            <w:r/>
            <w:r>
              <w:rPr>
                <w:sz w:val="16"/>
              </w:rPr>
              <w:t xml:space="preserve">status </w:t>
            </w:r>
            <w:r>
              <w:rPr>
                <w:rFonts w:ascii="Courier New" w:hAnsi="Courier New" w:eastAsia="Courier New" w:cs="Courier New"/>
                <w:color w:val="000000"/>
                <w:sz w:val="16"/>
              </w:rPr>
              <w:t>retired_template_artifact</w:t>
            </w:r>
          </w:p>
        </w:tc>
        <w:tc>
          <w:tcPr>
            <w:tcW w:type="dxa" w:w="3024"/>
          </w:tcPr>
          <w:p>
            <w:pPr>
              <w:spacing w:line="240" w:lineRule="auto" w:after="0" w:before="0"/>
            </w:pPr>
            <w:r/>
            <w:r>
              <w:rPr>
                <w:sz w:val="16"/>
              </w:rPr>
              <w:t>164</w:t>
            </w:r>
          </w:p>
        </w:tc>
        <w:tc>
          <w:tcPr>
            <w:tcW w:type="dxa" w:w="3024"/>
          </w:tcPr>
          <w:p>
            <w:pPr>
              <w:spacing w:line="240" w:lineRule="auto" w:after="0" w:before="0"/>
            </w:pPr>
            <w:r/>
            <w:r>
              <w:rPr>
                <w:sz w:val="16"/>
              </w:rPr>
              <w:t>non-executable (retired)</w:t>
            </w:r>
          </w:p>
        </w:tc>
      </w:tr>
      <w:tr>
        <w:trPr>
          <w:cantSplit/>
        </w:trPr>
        <w:tc>
          <w:tcPr>
            <w:tcW w:type="dxa" w:w="3024"/>
          </w:tcPr>
          <w:p>
            <w:pPr>
              <w:spacing w:line="240" w:lineRule="auto" w:after="0" w:before="0"/>
            </w:pPr>
            <w:r/>
            <w:r>
              <w:rPr>
                <w:sz w:val="16"/>
              </w:rPr>
              <w:t xml:space="preserve">status </w:t>
            </w:r>
            <w:r>
              <w:rPr>
                <w:rFonts w:ascii="Courier New" w:hAnsi="Courier New" w:eastAsia="Courier New" w:cs="Courier New"/>
                <w:color w:val="000000"/>
                <w:sz w:val="16"/>
              </w:rPr>
              <w:t>retired_v13_2_nonspecific_single_marker</w:t>
            </w:r>
          </w:p>
        </w:tc>
        <w:tc>
          <w:tcPr>
            <w:tcW w:type="dxa" w:w="3024"/>
          </w:tcPr>
          <w:p>
            <w:pPr>
              <w:spacing w:line="240" w:lineRule="auto" w:after="0" w:before="0"/>
            </w:pPr>
            <w:r/>
            <w:r>
              <w:rPr>
                <w:sz w:val="16"/>
              </w:rPr>
              <w:t>9</w:t>
            </w:r>
          </w:p>
        </w:tc>
        <w:tc>
          <w:tcPr>
            <w:tcW w:type="dxa" w:w="3024"/>
          </w:tcPr>
          <w:p>
            <w:pPr>
              <w:spacing w:line="240" w:lineRule="auto" w:after="0" w:before="0"/>
            </w:pPr>
            <w:r/>
            <w:r>
              <w:rPr>
                <w:sz w:val="16"/>
              </w:rPr>
              <w:t>non-executable (retired)</w:t>
            </w:r>
          </w:p>
        </w:tc>
      </w:tr>
      <w:tr>
        <w:trPr>
          <w:cantSplit/>
        </w:trPr>
        <w:tc>
          <w:tcPr>
            <w:tcW w:type="dxa" w:w="3024"/>
          </w:tcPr>
          <w:p>
            <w:pPr>
              <w:spacing w:line="240" w:lineRule="auto" w:after="0" w:before="0"/>
            </w:pPr>
            <w:r/>
            <w:r>
              <w:rPr>
                <w:sz w:val="16"/>
              </w:rPr>
              <w:t xml:space="preserve">status </w:t>
            </w:r>
            <w:r>
              <w:rPr>
                <w:rFonts w:ascii="Courier New" w:hAnsi="Courier New" w:eastAsia="Courier New" w:cs="Courier New"/>
                <w:color w:val="000000"/>
                <w:sz w:val="16"/>
              </w:rPr>
              <w:t>curated_guideline_anchored_demoted_v13_4_2</w:t>
            </w:r>
          </w:p>
        </w:tc>
        <w:tc>
          <w:tcPr>
            <w:tcW w:type="dxa" w:w="3024"/>
          </w:tcPr>
          <w:p>
            <w:pPr>
              <w:spacing w:line="240" w:lineRule="auto" w:after="0" w:before="0"/>
            </w:pPr>
            <w:r/>
            <w:r>
              <w:rPr>
                <w:sz w:val="16"/>
              </w:rPr>
              <w:t>9</w:t>
            </w:r>
          </w:p>
        </w:tc>
        <w:tc>
          <w:tcPr>
            <w:tcW w:type="dxa" w:w="3024"/>
          </w:tcPr>
          <w:p>
            <w:pPr>
              <w:spacing w:line="240" w:lineRule="auto" w:after="0" w:before="0"/>
            </w:pPr>
            <w:r/>
            <w:r>
              <w:rPr>
                <w:sz w:val="16"/>
              </w:rPr>
              <w:t>executable</w:t>
            </w:r>
          </w:p>
        </w:tc>
      </w:tr>
      <w:tr>
        <w:trPr>
          <w:cantSplit/>
        </w:trPr>
        <w:tc>
          <w:tcPr>
            <w:tcW w:type="dxa" w:w="3024"/>
          </w:tcPr>
          <w:p>
            <w:pPr>
              <w:spacing w:line="240" w:lineRule="auto" w:after="0" w:before="0"/>
            </w:pPr>
            <w:r/>
            <w:r>
              <w:rPr>
                <w:sz w:val="16"/>
              </w:rPr>
              <w:t xml:space="preserve">status </w:t>
            </w:r>
            <w:r>
              <w:rPr>
                <w:rFonts w:ascii="Courier New" w:hAnsi="Courier New" w:eastAsia="Courier New" w:cs="Courier New"/>
                <w:color w:val="000000"/>
                <w:sz w:val="16"/>
              </w:rPr>
              <w:t>curated_guideline_anchored_demoted_v14_0</w:t>
            </w:r>
          </w:p>
        </w:tc>
        <w:tc>
          <w:tcPr>
            <w:tcW w:type="dxa" w:w="3024"/>
          </w:tcPr>
          <w:p>
            <w:pPr>
              <w:spacing w:line="240" w:lineRule="auto" w:after="0" w:before="0"/>
            </w:pPr>
            <w:r/>
            <w:r>
              <w:rPr>
                <w:sz w:val="16"/>
              </w:rPr>
              <w:t>4</w:t>
            </w:r>
          </w:p>
        </w:tc>
        <w:tc>
          <w:tcPr>
            <w:tcW w:type="dxa" w:w="3024"/>
          </w:tcPr>
          <w:p>
            <w:pPr>
              <w:spacing w:line="240" w:lineRule="auto" w:after="0" w:before="0"/>
            </w:pPr>
            <w:r/>
            <w:r>
              <w:rPr>
                <w:sz w:val="16"/>
              </w:rPr>
              <w:t>executable</w:t>
            </w:r>
          </w:p>
        </w:tc>
      </w:tr>
      <w:tr>
        <w:trPr>
          <w:cantSplit/>
        </w:trPr>
        <w:tc>
          <w:tcPr>
            <w:tcW w:type="dxa" w:w="3024"/>
          </w:tcPr>
          <w:p>
            <w:pPr>
              <w:spacing w:line="240" w:lineRule="auto" w:after="0" w:before="0"/>
            </w:pPr>
            <w:r/>
            <w:r>
              <w:rPr>
                <w:sz w:val="16"/>
              </w:rPr>
              <w:t xml:space="preserve">status </w:t>
            </w:r>
            <w:r>
              <w:rPr>
                <w:rFonts w:ascii="Courier New" w:hAnsi="Courier New" w:eastAsia="Courier New" w:cs="Courier New"/>
                <w:color w:val="000000"/>
                <w:sz w:val="16"/>
              </w:rPr>
              <w:t>retired_empty_expression</w:t>
            </w:r>
          </w:p>
        </w:tc>
        <w:tc>
          <w:tcPr>
            <w:tcW w:type="dxa" w:w="3024"/>
          </w:tcPr>
          <w:p>
            <w:pPr>
              <w:spacing w:line="240" w:lineRule="auto" w:after="0" w:before="0"/>
            </w:pPr>
            <w:r/>
            <w:r>
              <w:rPr>
                <w:sz w:val="16"/>
              </w:rPr>
              <w:t>3</w:t>
            </w:r>
          </w:p>
        </w:tc>
        <w:tc>
          <w:tcPr>
            <w:tcW w:type="dxa" w:w="3024"/>
          </w:tcPr>
          <w:p>
            <w:pPr>
              <w:spacing w:line="240" w:lineRule="auto" w:after="0" w:before="0"/>
            </w:pPr>
            <w:r/>
            <w:r>
              <w:rPr>
                <w:sz w:val="16"/>
              </w:rPr>
              <w:t>non-executable (retired)</w:t>
            </w:r>
          </w:p>
        </w:tc>
      </w:tr>
      <w:tr>
        <w:trPr>
          <w:cantSplit/>
        </w:trPr>
        <w:tc>
          <w:tcPr>
            <w:tcW w:type="dxa" w:w="3024"/>
          </w:tcPr>
          <w:p>
            <w:pPr>
              <w:spacing w:line="240" w:lineRule="auto" w:after="0" w:before="0"/>
            </w:pPr>
            <w:r/>
            <w:r>
              <w:rPr>
                <w:sz w:val="16"/>
              </w:rPr>
              <w:t xml:space="preserve">status </w:t>
            </w:r>
            <w:r>
              <w:rPr>
                <w:rFonts w:ascii="Courier New" w:hAnsi="Courier New" w:eastAsia="Courier New" w:cs="Courier New"/>
                <w:color w:val="000000"/>
                <w:sz w:val="16"/>
              </w:rPr>
              <w:t>retired_v14_0</w:t>
            </w:r>
          </w:p>
        </w:tc>
        <w:tc>
          <w:tcPr>
            <w:tcW w:type="dxa" w:w="3024"/>
          </w:tcPr>
          <w:p>
            <w:pPr>
              <w:spacing w:line="240" w:lineRule="auto" w:after="0" w:before="0"/>
            </w:pPr>
            <w:r/>
            <w:r>
              <w:rPr>
                <w:sz w:val="16"/>
              </w:rPr>
              <w:t>1</w:t>
            </w:r>
          </w:p>
        </w:tc>
        <w:tc>
          <w:tcPr>
            <w:tcW w:type="dxa" w:w="3024"/>
          </w:tcPr>
          <w:p>
            <w:pPr>
              <w:spacing w:line="240" w:lineRule="auto" w:after="0" w:before="0"/>
            </w:pPr>
            <w:r/>
            <w:r>
              <w:rPr>
                <w:sz w:val="16"/>
              </w:rPr>
              <w:t>non-executable (retired)</w:t>
            </w:r>
          </w:p>
        </w:tc>
      </w:tr>
      <w:tr>
        <w:trPr>
          <w:cantSplit/>
        </w:trPr>
        <w:tc>
          <w:tcPr>
            <w:tcW w:type="dxa" w:w="3024"/>
          </w:tcPr>
          <w:p>
            <w:pPr>
              <w:spacing w:line="240" w:lineRule="auto" w:after="0" w:before="0"/>
            </w:pPr>
            <w:r/>
            <w:r>
              <w:rPr>
                <w:sz w:val="16"/>
              </w:rPr>
              <w:t>retired, total</w:t>
            </w:r>
          </w:p>
        </w:tc>
        <w:tc>
          <w:tcPr>
            <w:tcW w:type="dxa" w:w="3024"/>
          </w:tcPr>
          <w:p>
            <w:pPr>
              <w:spacing w:line="240" w:lineRule="auto" w:after="0" w:before="0"/>
            </w:pPr>
            <w:r/>
            <w:r>
              <w:rPr>
                <w:sz w:val="16"/>
              </w:rPr>
              <w:t>1,487</w:t>
            </w:r>
          </w:p>
        </w:tc>
        <w:tc>
          <w:tcPr>
            <w:tcW w:type="dxa" w:w="3024"/>
          </w:tcPr>
          <w:p>
            <w:pPr>
              <w:spacing w:line="240" w:lineRule="auto" w:after="0" w:before="0"/>
            </w:pPr>
            <w:r/>
            <w:r>
              <w:rPr>
                <w:sz w:val="16"/>
              </w:rPr>
              <w:t>manuscript v7 draft said 1,474 (omitted the 13 demoted anchors, which remain executable)</w:t>
            </w:r>
          </w:p>
        </w:tc>
      </w:tr>
      <w:tr>
        <w:trPr>
          <w:cantSplit/>
        </w:trPr>
        <w:tc>
          <w:tcPr>
            <w:tcW w:type="dxa" w:w="3024"/>
          </w:tcPr>
          <w:p>
            <w:pPr>
              <w:spacing w:line="240" w:lineRule="auto" w:after="0" w:before="0"/>
            </w:pPr>
            <w:r/>
            <w:r>
              <w:rPr>
                <w:sz w:val="16"/>
              </w:rPr>
              <w:t xml:space="preserve">candidates lacking </w:t>
            </w:r>
            <w:r>
              <w:rPr>
                <w:rFonts w:ascii="Courier New" w:hAnsi="Courier New" w:eastAsia="Courier New" w:cs="Courier New"/>
                <w:color w:val="000000"/>
                <w:sz w:val="16"/>
              </w:rPr>
              <w:t>executable</w:t>
            </w:r>
            <w:r>
              <w:rPr>
                <w:sz w:val="16"/>
              </w:rPr>
              <w:t xml:space="preserve"> flag</w:t>
            </w:r>
          </w:p>
        </w:tc>
        <w:tc>
          <w:tcPr>
            <w:tcW w:type="dxa" w:w="3024"/>
          </w:tcPr>
          <w:p>
            <w:pPr>
              <w:spacing w:line="240" w:lineRule="auto" w:after="0" w:before="0"/>
            </w:pPr>
            <w:r/>
            <w:r>
              <w:rPr>
                <w:sz w:val="16"/>
              </w:rPr>
              <w:t>3</w:t>
            </w:r>
          </w:p>
        </w:tc>
        <w:tc>
          <w:tcPr>
            <w:tcW w:type="dxa" w:w="3024"/>
          </w:tcPr>
          <w:p>
            <w:pPr>
              <w:spacing w:line="240" w:lineRule="auto" w:after="0" w:before="0"/>
            </w:pPr>
            <w:r/>
            <w:r>
              <w:rPr>
                <w:sz w:val="16"/>
              </w:rPr>
              <w:t>counted in 32,901 in the draft; not executable</w:t>
            </w:r>
          </w:p>
        </w:tc>
      </w:tr>
      <w:tr>
        <w:trPr>
          <w:cantSplit/>
        </w:trPr>
        <w:tc>
          <w:tcPr>
            <w:tcW w:type="dxa" w:w="3024"/>
          </w:tcPr>
          <w:p>
            <w:pPr>
              <w:spacing w:line="240" w:lineRule="auto" w:after="0" w:before="0"/>
            </w:pPr>
            <w:r/>
            <w:r>
              <w:rPr>
                <w:sz w:val="16"/>
              </w:rPr>
              <w:t>executable rules</w:t>
            </w:r>
          </w:p>
        </w:tc>
        <w:tc>
          <w:tcPr>
            <w:tcW w:type="dxa" w:w="3024"/>
          </w:tcPr>
          <w:p>
            <w:pPr>
              <w:spacing w:line="240" w:lineRule="auto" w:after="0" w:before="0"/>
            </w:pPr>
            <w:r/>
            <w:r>
              <w:rPr>
                <w:sz w:val="16"/>
              </w:rPr>
              <w:t>33,183</w:t>
            </w:r>
          </w:p>
        </w:tc>
        <w:tc>
          <w:tcPr>
            <w:tcW w:type="dxa" w:w="3024"/>
          </w:tcPr>
          <w:p>
            <w:pPr>
              <w:spacing w:line="240" w:lineRule="auto" w:after="0" w:before="0"/>
            </w:pPr>
            <w:r/>
            <w:r>
              <w:rPr>
                <w:sz w:val="16"/>
              </w:rPr>
              <w:t>= 272 anchors + 13 demoted anchors + 32,898 candidates</w:t>
            </w:r>
          </w:p>
        </w:tc>
      </w:tr>
      <w:tr>
        <w:trPr>
          <w:cantSplit/>
        </w:trPr>
        <w:tc>
          <w:tcPr>
            <w:tcW w:type="dxa" w:w="3024"/>
          </w:tcPr>
          <w:p>
            <w:pPr>
              <w:spacing w:line="240" w:lineRule="auto" w:after="0" w:before="0"/>
            </w:pPr>
            <w:r/>
            <w:r>
              <w:rPr>
                <w:sz w:val="16"/>
              </w:rPr>
              <w:t>executable by evidence tier</w:t>
            </w:r>
          </w:p>
        </w:tc>
        <w:tc>
          <w:tcPr>
            <w:tcW w:type="dxa" w:w="3024"/>
          </w:tcPr>
          <w:p>
            <w:pPr>
              <w:spacing w:line="240" w:lineRule="auto" w:after="0" w:before="0"/>
            </w:pPr>
            <w:r/>
            <w:r>
              <w:rPr>
                <w:sz w:val="16"/>
              </w:rPr>
              <w:t>tier_c: 27,885, tier_a: 2,937, tier_b: 2,278, None: 55, unverified_source: 28</w:t>
            </w:r>
          </w:p>
        </w:tc>
        <w:tc>
          <w:tcPr>
            <w:tcW w:type="dxa" w:w="3024"/>
          </w:tcPr>
          <w:p>
            <w:pPr>
              <w:spacing w:line="240" w:lineRule="auto" w:after="0" w:before="0"/>
            </w:pPr>
            <w:r/>
            <w:r>
              <w:rPr>
                <w:sz w:val="16"/>
              </w:rPr>
              <w:t>55 executable rules carry no tier field</w:t>
            </w:r>
          </w:p>
        </w:tc>
      </w:tr>
      <w:tr>
        <w:trPr>
          <w:cantSplit/>
        </w:trPr>
        <w:tc>
          <w:tcPr>
            <w:tcW w:type="dxa" w:w="3024"/>
          </w:tcPr>
          <w:p>
            <w:pPr>
              <w:spacing w:line="240" w:lineRule="auto" w:after="0" w:before="0"/>
            </w:pPr>
            <w:r/>
            <w:r>
              <w:rPr>
                <w:sz w:val="16"/>
              </w:rPr>
              <w:t>guideline sources listed</w:t>
            </w:r>
          </w:p>
        </w:tc>
        <w:tc>
          <w:tcPr>
            <w:tcW w:type="dxa" w:w="3024"/>
          </w:tcPr>
          <w:p>
            <w:pPr>
              <w:spacing w:line="240" w:lineRule="auto" w:after="0" w:before="0"/>
            </w:pPr>
            <w:r/>
            <w:r>
              <w:rPr>
                <w:sz w:val="16"/>
              </w:rPr>
              <w:t>785</w:t>
            </w:r>
          </w:p>
        </w:tc>
        <w:tc>
          <w:tcPr>
            <w:tcW w:type="dxa" w:w="3024"/>
          </w:tcPr>
          <w:p>
            <w:pPr>
              <w:spacing w:line="240" w:lineRule="auto" w:after="0" w:before="0"/>
            </w:pPr>
            <w:r/>
            <w:r>
              <w:rPr>
                <w:sz w:val="16"/>
              </w:rPr>
              <w:t xml:space="preserve">metadata field </w:t>
            </w:r>
            <w:r>
              <w:rPr>
                <w:rFonts w:ascii="Courier New" w:hAnsi="Courier New" w:eastAsia="Courier New" w:cs="Courier New"/>
                <w:color w:val="000000"/>
                <w:sz w:val="16"/>
              </w:rPr>
              <w:t>total_sources</w:t>
            </w:r>
            <w:r>
              <w:rPr>
                <w:sz w:val="16"/>
              </w:rPr>
              <w:t xml:space="preserve"> still reads 781 (stale, from 13.4.1)</w:t>
            </w:r>
          </w:p>
        </w:tc>
      </w:tr>
      <w:tr>
        <w:trPr>
          <w:cantSplit/>
        </w:trPr>
        <w:tc>
          <w:tcPr>
            <w:tcW w:type="dxa" w:w="3024"/>
          </w:tcPr>
          <w:p>
            <w:pPr>
              <w:spacing w:line="240" w:lineRule="auto" w:after="0" w:before="0"/>
            </w:pPr>
            <w:r/>
            <w:r>
              <w:rPr>
                <w:sz w:val="16"/>
              </w:rPr>
              <w:t>sources cited by ≥ 1 executable rule</w:t>
            </w:r>
          </w:p>
        </w:tc>
        <w:tc>
          <w:tcPr>
            <w:tcW w:type="dxa" w:w="3024"/>
          </w:tcPr>
          <w:p>
            <w:pPr>
              <w:spacing w:line="240" w:lineRule="auto" w:after="0" w:before="0"/>
            </w:pPr>
            <w:r/>
            <w:r>
              <w:rPr>
                <w:sz w:val="16"/>
              </w:rPr>
              <w:t>388</w:t>
            </w:r>
          </w:p>
        </w:tc>
        <w:tc>
          <w:tcPr>
            <w:tcW w:type="dxa" w:w="3024"/>
          </w:tcPr>
          <w:p>
            <w:pPr>
              <w:spacing w:line="240" w:lineRule="auto" w:after="0" w:before="0"/>
            </w:pPr>
            <w:r/>
            <w:r>
              <w:rPr>
                <w:sz w:val="16"/>
              </w:rPr>
              <w:t>of the other 397: 3 are cited only by retired rules and 394 by no rule at all — background/general references (textbooks, CLSI documents, guideline overviews) imported into the source table during registry construction and retained for provenance; they contribute nothing to any output</w:t>
            </w:r>
          </w:p>
        </w:tc>
      </w:tr>
      <w:tr>
        <w:trPr>
          <w:cantSplit/>
        </w:trPr>
        <w:tc>
          <w:tcPr>
            <w:tcW w:type="dxa" w:w="3024"/>
          </w:tcPr>
          <w:p>
            <w:pPr>
              <w:spacing w:line="240" w:lineRule="auto" w:after="0" w:before="0"/>
            </w:pPr>
            <w:r/>
            <w:r>
              <w:rPr>
                <w:sz w:val="16"/>
              </w:rPr>
              <w:t>disease records</w:t>
            </w:r>
          </w:p>
        </w:tc>
        <w:tc>
          <w:tcPr>
            <w:tcW w:type="dxa" w:w="3024"/>
          </w:tcPr>
          <w:p>
            <w:pPr>
              <w:spacing w:line="240" w:lineRule="auto" w:after="0" w:before="0"/>
            </w:pPr>
            <w:r/>
            <w:r>
              <w:rPr>
                <w:sz w:val="16"/>
              </w:rPr>
              <w:t>6,756</w:t>
            </w:r>
          </w:p>
        </w:tc>
        <w:tc>
          <w:tcPr>
            <w:tcW w:type="dxa" w:w="3024"/>
          </w:tcPr>
          <w:p>
            <w:pPr>
              <w:spacing w:line="240" w:lineRule="auto" w:after="0" w:before="0"/>
            </w:pPr>
            <w:r/>
            <w:r>
              <w:rPr>
                <w:sz w:val="16"/>
              </w:rPr>
              <w:t xml:space="preserve">metadata </w:t>
            </w:r>
            <w:r>
              <w:rPr>
                <w:rFonts w:ascii="Courier New" w:hAnsi="Courier New" w:eastAsia="Courier New" w:cs="Courier New"/>
                <w:color w:val="000000"/>
                <w:sz w:val="16"/>
              </w:rPr>
              <w:t>total_diseases</w:t>
            </w:r>
            <w:r>
              <w:rPr>
                <w:sz w:val="16"/>
              </w:rPr>
              <w:t xml:space="preserve"> reads 6,750; 6,528 diseases have ≥ 1 executable rule</w:t>
            </w:r>
          </w:p>
        </w:tc>
      </w:tr>
    </w:tbl>
    <w:p/>
    <w:p>
      <w:r>
        <w:rPr>
          <w:i/>
        </w:rPr>
      </w:r>
      <w:r>
        <w:rPr>
          <w:i/>
        </w:rPr>
        <w:t>Executable-rule flow across releases (computed from the archived registry files `</w:t>
      </w:r>
      <w:r>
        <w:t>.bak_v13_1_0</w:t>
      </w:r>
      <w:r>
        <w:rPr>
          <w:rFonts w:ascii="Courier New" w:hAnsi="Courier New" w:eastAsia="Courier New" w:cs="Courier New"/>
          <w:color w:val="000000"/>
          <w:sz w:val="22"/>
        </w:rPr>
        <w:t xml:space="preserve">, </w:t>
      </w:r>
      <w:r>
        <w:rPr>
          <w:i/>
        </w:rPr>
        <w:t>.bak_v13_3_0`, `</w:t>
      </w:r>
      <w:r>
        <w:t>.bak_v13_4_2</w:t>
      </w:r>
      <w:r>
        <w:rPr>
          <w:rFonts w:ascii="Courier New" w:hAnsi="Courier New" w:eastAsia="Courier New" w:cs="Courier New"/>
          <w:color w:val="000000"/>
          <w:sz w:val="22"/>
        </w:rPr>
        <w:t xml:space="preserve">, </w:t>
      </w:r>
      <w:r>
        <w:rPr>
          <w:i/>
        </w:rPr>
        <w:t>.bak_v14_0_0` and the live 14.1.0 file, 2026-10-26).</w:t>
      </w:r>
      <w:r>
        <w:rPr>
          <w:i/>
        </w:rPr>
        <w:t xml:space="preserve"> The near-constancy of the executable count (33,170–33,230) across 13.3.0–14.1.0 is not a coincidence of bookkeeping: it is the net of retirements and guideline-sourced additions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cantSplit/>
          <w:tblHeader/>
        </w:trPr>
        <w:tc>
          <w:tcPr>
            <w:tcW w:type="dxa" w:w="1512"/>
            <w:shd w:val="clear" w:fill="F2F2F2"/>
          </w:tcPr>
          <w:p>
            <w:pPr>
              <w:spacing w:line="240" w:lineRule="auto" w:after="0" w:before="0"/>
            </w:pPr>
            <w:r>
              <w:rPr>
                <w:b/>
              </w:rPr>
            </w:r>
            <w:r>
              <w:rPr>
                <w:b/>
                <w:sz w:val="16"/>
              </w:rPr>
              <w:t>transition</w:t>
            </w:r>
          </w:p>
        </w:tc>
        <w:tc>
          <w:tcPr>
            <w:tcW w:type="dxa" w:w="1512"/>
            <w:shd w:val="clear" w:fill="F2F2F2"/>
          </w:tcPr>
          <w:p>
            <w:pPr>
              <w:spacing w:line="240" w:lineRule="auto" w:after="0" w:before="0"/>
            </w:pPr>
            <w:r>
              <w:rPr>
                <w:b/>
              </w:rPr>
            </w:r>
            <w:r>
              <w:rPr>
                <w:b/>
                <w:sz w:val="16"/>
              </w:rPr>
              <w:t>records added</w:t>
            </w:r>
          </w:p>
        </w:tc>
        <w:tc>
          <w:tcPr>
            <w:tcW w:type="dxa" w:w="1512"/>
            <w:shd w:val="clear" w:fill="F2F2F2"/>
          </w:tcPr>
          <w:p>
            <w:pPr>
              <w:spacing w:line="240" w:lineRule="auto" w:after="0" w:before="0"/>
            </w:pPr>
            <w:r>
              <w:rPr>
                <w:b/>
              </w:rPr>
            </w:r>
            <w:r>
              <w:rPr>
                <w:b/>
                <w:sz w:val="16"/>
              </w:rPr>
              <w:t>rules retired (executable → non-executable)</w:t>
            </w:r>
          </w:p>
        </w:tc>
        <w:tc>
          <w:tcPr>
            <w:tcW w:type="dxa" w:w="1512"/>
            <w:shd w:val="clear" w:fill="F2F2F2"/>
          </w:tcPr>
          <w:p>
            <w:pPr>
              <w:spacing w:line="240" w:lineRule="auto" w:after="0" w:before="0"/>
            </w:pPr>
            <w:r>
              <w:rPr>
                <w:b/>
              </w:rPr>
            </w:r>
            <w:r>
              <w:rPr>
                <w:b/>
                <w:sz w:val="16"/>
              </w:rPr>
              <w:t>new executable rules</w:t>
            </w:r>
          </w:p>
        </w:tc>
        <w:tc>
          <w:tcPr>
            <w:tcW w:type="dxa" w:w="1512"/>
            <w:shd w:val="clear" w:fill="F2F2F2"/>
          </w:tcPr>
          <w:p>
            <w:pPr>
              <w:spacing w:line="240" w:lineRule="auto" w:after="0" w:before="0"/>
            </w:pPr>
            <w:r>
              <w:rPr>
                <w:b/>
              </w:rPr>
            </w:r>
            <w:r>
              <w:rPr>
                <w:b/>
                <w:sz w:val="16"/>
              </w:rPr>
              <w:t>executable total after</w:t>
            </w:r>
          </w:p>
        </w:tc>
        <w:tc>
          <w:tcPr>
            <w:tcW w:type="dxa" w:w="1512"/>
            <w:shd w:val="clear" w:fill="F2F2F2"/>
          </w:tcPr>
          <w:p>
            <w:pPr>
              <w:spacing w:line="240" w:lineRule="auto" w:after="0" w:before="0"/>
            </w:pPr>
            <w:r>
              <w:rPr>
                <w:b/>
              </w:rPr>
            </w:r>
            <w:r>
              <w:rPr>
                <w:b/>
                <w:sz w:val="16"/>
              </w:rPr>
              <w:t>sources</w:t>
            </w:r>
          </w:p>
        </w:tc>
      </w:tr>
      <w:tr>
        <w:trPr>
          <w:cantSplit/>
        </w:trPr>
        <w:tc>
          <w:tcPr>
            <w:tcW w:type="dxa" w:w="1512"/>
          </w:tcPr>
          <w:p>
            <w:pPr>
              <w:spacing w:line="240" w:lineRule="auto" w:after="0" w:before="0"/>
            </w:pPr>
            <w:r/>
            <w:r>
              <w:rPr>
                <w:sz w:val="16"/>
              </w:rPr>
              <w:t>13.1.0 (baseline)</w:t>
            </w:r>
          </w:p>
        </w:tc>
        <w:tc>
          <w:tcPr>
            <w:tcW w:type="dxa" w:w="1512"/>
          </w:tcPr>
          <w:p>
            <w:pPr>
              <w:spacing w:line="240" w:lineRule="auto" w:after="0" w:before="0"/>
            </w:pPr>
            <w:r/>
            <w:r>
              <w:rPr>
                <w:sz w:val="16"/>
              </w:rPr>
              <w:t>—</w:t>
            </w:r>
          </w:p>
        </w:tc>
        <w:tc>
          <w:tcPr>
            <w:tcW w:type="dxa" w:w="1512"/>
          </w:tcPr>
          <w:p>
            <w:pPr>
              <w:spacing w:line="240" w:lineRule="auto" w:after="0" w:before="0"/>
            </w:pPr>
            <w:r/>
            <w:r>
              <w:rPr>
                <w:sz w:val="16"/>
              </w:rPr>
              <w:t>—</w:t>
            </w:r>
          </w:p>
        </w:tc>
        <w:tc>
          <w:tcPr>
            <w:tcW w:type="dxa" w:w="1512"/>
          </w:tcPr>
          <w:p>
            <w:pPr>
              <w:spacing w:line="240" w:lineRule="auto" w:after="0" w:before="0"/>
            </w:pPr>
            <w:r/>
            <w:r>
              <w:rPr>
                <w:sz w:val="16"/>
              </w:rPr>
              <w:t>—</w:t>
            </w:r>
          </w:p>
        </w:tc>
        <w:tc>
          <w:tcPr>
            <w:tcW w:type="dxa" w:w="1512"/>
          </w:tcPr>
          <w:p>
            <w:pPr>
              <w:spacing w:line="240" w:lineRule="auto" w:after="0" w:before="0"/>
            </w:pPr>
            <w:r/>
            <w:r>
              <w:rPr>
                <w:sz w:val="16"/>
              </w:rPr>
              <w:t>34,005</w:t>
            </w:r>
          </w:p>
        </w:tc>
        <w:tc>
          <w:tcPr>
            <w:tcW w:type="dxa" w:w="1512"/>
          </w:tcPr>
          <w:p>
            <w:pPr>
              <w:spacing w:line="240" w:lineRule="auto" w:after="0" w:before="0"/>
            </w:pPr>
            <w:r/>
            <w:r>
              <w:rPr>
                <w:sz w:val="16"/>
              </w:rPr>
              <w:t>747</w:t>
            </w:r>
          </w:p>
        </w:tc>
      </w:tr>
      <w:tr>
        <w:trPr>
          <w:cantSplit/>
        </w:trPr>
        <w:tc>
          <w:tcPr>
            <w:tcW w:type="dxa" w:w="1512"/>
          </w:tcPr>
          <w:p>
            <w:pPr>
              <w:spacing w:line="240" w:lineRule="auto" w:after="0" w:before="0"/>
            </w:pPr>
            <w:r/>
            <w:r>
              <w:rPr>
                <w:sz w:val="16"/>
              </w:rPr>
              <w:t>13.1.0 → 13.3.0</w:t>
            </w:r>
          </w:p>
        </w:tc>
        <w:tc>
          <w:tcPr>
            <w:tcW w:type="dxa" w:w="1512"/>
          </w:tcPr>
          <w:p>
            <w:pPr>
              <w:spacing w:line="240" w:lineRule="auto" w:after="0" w:before="0"/>
            </w:pPr>
            <w:r/>
            <w:r>
              <w:rPr>
                <w:sz w:val="16"/>
              </w:rPr>
              <w:t>+373</w:t>
            </w:r>
          </w:p>
        </w:tc>
        <w:tc>
          <w:tcPr>
            <w:tcW w:type="dxa" w:w="1512"/>
          </w:tcPr>
          <w:p>
            <w:pPr>
              <w:spacing w:line="240" w:lineRule="auto" w:after="0" w:before="0"/>
            </w:pPr>
            <w:r/>
            <w:r>
              <w:rPr>
                <w:sz w:val="16"/>
              </w:rPr>
              <w:t>1,135</w:t>
            </w:r>
          </w:p>
        </w:tc>
        <w:tc>
          <w:tcPr>
            <w:tcW w:type="dxa" w:w="1512"/>
          </w:tcPr>
          <w:p>
            <w:pPr>
              <w:spacing w:line="240" w:lineRule="auto" w:after="0" w:before="0"/>
            </w:pPr>
            <w:r/>
            <w:r>
              <w:rPr>
                <w:sz w:val="16"/>
              </w:rPr>
              <w:t>360</w:t>
            </w:r>
          </w:p>
        </w:tc>
        <w:tc>
          <w:tcPr>
            <w:tcW w:type="dxa" w:w="1512"/>
          </w:tcPr>
          <w:p>
            <w:pPr>
              <w:spacing w:line="240" w:lineRule="auto" w:after="0" w:before="0"/>
            </w:pPr>
            <w:r/>
            <w:r>
              <w:rPr>
                <w:sz w:val="16"/>
              </w:rPr>
              <w:t>33,230</w:t>
            </w:r>
          </w:p>
        </w:tc>
        <w:tc>
          <w:tcPr>
            <w:tcW w:type="dxa" w:w="1512"/>
          </w:tcPr>
          <w:p>
            <w:pPr>
              <w:spacing w:line="240" w:lineRule="auto" w:after="0" w:before="0"/>
            </w:pPr>
            <w:r/>
            <w:r>
              <w:rPr>
                <w:sz w:val="16"/>
              </w:rPr>
              <w:t>747</w:t>
            </w:r>
          </w:p>
        </w:tc>
      </w:tr>
      <w:tr>
        <w:trPr>
          <w:cantSplit/>
        </w:trPr>
        <w:tc>
          <w:tcPr>
            <w:tcW w:type="dxa" w:w="1512"/>
          </w:tcPr>
          <w:p>
            <w:pPr>
              <w:spacing w:line="240" w:lineRule="auto" w:after="0" w:before="0"/>
            </w:pPr>
            <w:r/>
            <w:r>
              <w:rPr>
                <w:sz w:val="16"/>
              </w:rPr>
              <w:t>13.3.0 → 13.4.2</w:t>
            </w:r>
          </w:p>
        </w:tc>
        <w:tc>
          <w:tcPr>
            <w:tcW w:type="dxa" w:w="1512"/>
          </w:tcPr>
          <w:p>
            <w:pPr>
              <w:spacing w:line="240" w:lineRule="auto" w:after="0" w:before="0"/>
            </w:pPr>
            <w:r/>
            <w:r>
              <w:rPr>
                <w:sz w:val="16"/>
              </w:rPr>
              <w:t>+111</w:t>
            </w:r>
          </w:p>
        </w:tc>
        <w:tc>
          <w:tcPr>
            <w:tcW w:type="dxa" w:w="1512"/>
          </w:tcPr>
          <w:p>
            <w:pPr>
              <w:spacing w:line="240" w:lineRule="auto" w:after="0" w:before="0"/>
            </w:pPr>
            <w:r/>
            <w:r>
              <w:rPr>
                <w:sz w:val="16"/>
              </w:rPr>
              <w:t>171</w:t>
            </w:r>
          </w:p>
        </w:tc>
        <w:tc>
          <w:tcPr>
            <w:tcW w:type="dxa" w:w="1512"/>
          </w:tcPr>
          <w:p>
            <w:pPr>
              <w:spacing w:line="240" w:lineRule="auto" w:after="0" w:before="0"/>
            </w:pPr>
            <w:r/>
            <w:r>
              <w:rPr>
                <w:sz w:val="16"/>
              </w:rPr>
              <w:t>111</w:t>
            </w:r>
          </w:p>
        </w:tc>
        <w:tc>
          <w:tcPr>
            <w:tcW w:type="dxa" w:w="1512"/>
          </w:tcPr>
          <w:p>
            <w:pPr>
              <w:spacing w:line="240" w:lineRule="auto" w:after="0" w:before="0"/>
            </w:pPr>
            <w:r/>
            <w:r>
              <w:rPr>
                <w:sz w:val="16"/>
              </w:rPr>
              <w:t>33,170</w:t>
            </w:r>
          </w:p>
        </w:tc>
        <w:tc>
          <w:tcPr>
            <w:tcW w:type="dxa" w:w="1512"/>
          </w:tcPr>
          <w:p>
            <w:pPr>
              <w:spacing w:line="240" w:lineRule="auto" w:after="0" w:before="0"/>
            </w:pPr>
            <w:r/>
            <w:r>
              <w:rPr>
                <w:sz w:val="16"/>
              </w:rPr>
              <w:t>781</w:t>
            </w:r>
          </w:p>
        </w:tc>
      </w:tr>
      <w:tr>
        <w:trPr>
          <w:cantSplit/>
        </w:trPr>
        <w:tc>
          <w:tcPr>
            <w:tcW w:type="dxa" w:w="1512"/>
          </w:tcPr>
          <w:p>
            <w:pPr>
              <w:spacing w:line="240" w:lineRule="auto" w:after="0" w:before="0"/>
            </w:pPr>
            <w:r/>
            <w:r>
              <w:rPr>
                <w:sz w:val="16"/>
              </w:rPr>
              <w:t>13.4.2 → 14.0.0</w:t>
            </w:r>
          </w:p>
        </w:tc>
        <w:tc>
          <w:tcPr>
            <w:tcW w:type="dxa" w:w="1512"/>
          </w:tcPr>
          <w:p>
            <w:pPr>
              <w:spacing w:line="240" w:lineRule="auto" w:after="0" w:before="0"/>
            </w:pPr>
            <w:r/>
            <w:r>
              <w:rPr>
                <w:sz w:val="16"/>
              </w:rPr>
              <w:t>+9</w:t>
            </w:r>
          </w:p>
        </w:tc>
        <w:tc>
          <w:tcPr>
            <w:tcW w:type="dxa" w:w="1512"/>
          </w:tcPr>
          <w:p>
            <w:pPr>
              <w:spacing w:line="240" w:lineRule="auto" w:after="0" w:before="0"/>
            </w:pPr>
            <w:r/>
            <w:r>
              <w:rPr>
                <w:sz w:val="16"/>
              </w:rPr>
              <w:t>1</w:t>
            </w:r>
          </w:p>
        </w:tc>
        <w:tc>
          <w:tcPr>
            <w:tcW w:type="dxa" w:w="1512"/>
          </w:tcPr>
          <w:p>
            <w:pPr>
              <w:spacing w:line="240" w:lineRule="auto" w:after="0" w:before="0"/>
            </w:pPr>
            <w:r/>
            <w:r>
              <w:rPr>
                <w:sz w:val="16"/>
              </w:rPr>
              <w:t>9</w:t>
            </w:r>
          </w:p>
        </w:tc>
        <w:tc>
          <w:tcPr>
            <w:tcW w:type="dxa" w:w="1512"/>
          </w:tcPr>
          <w:p>
            <w:pPr>
              <w:spacing w:line="240" w:lineRule="auto" w:after="0" w:before="0"/>
            </w:pPr>
            <w:r/>
            <w:r>
              <w:rPr>
                <w:sz w:val="16"/>
              </w:rPr>
              <w:t>33,178</w:t>
            </w:r>
          </w:p>
        </w:tc>
        <w:tc>
          <w:tcPr>
            <w:tcW w:type="dxa" w:w="1512"/>
          </w:tcPr>
          <w:p>
            <w:pPr>
              <w:spacing w:line="240" w:lineRule="auto" w:after="0" w:before="0"/>
            </w:pPr>
            <w:r/>
            <w:r>
              <w:rPr>
                <w:sz w:val="16"/>
              </w:rPr>
              <w:t>783</w:t>
            </w:r>
          </w:p>
        </w:tc>
      </w:tr>
      <w:tr>
        <w:trPr>
          <w:cantSplit/>
        </w:trPr>
        <w:tc>
          <w:tcPr>
            <w:tcW w:type="dxa" w:w="1512"/>
          </w:tcPr>
          <w:p>
            <w:pPr>
              <w:spacing w:line="240" w:lineRule="auto" w:after="0" w:before="0"/>
            </w:pPr>
            <w:r/>
            <w:r>
              <w:rPr>
                <w:sz w:val="16"/>
              </w:rPr>
              <w:t>14.0.0 → 14.1.0</w:t>
            </w:r>
          </w:p>
        </w:tc>
        <w:tc>
          <w:tcPr>
            <w:tcW w:type="dxa" w:w="1512"/>
          </w:tcPr>
          <w:p>
            <w:pPr>
              <w:spacing w:line="240" w:lineRule="auto" w:after="0" w:before="0"/>
            </w:pPr>
            <w:r/>
            <w:r>
              <w:rPr>
                <w:sz w:val="16"/>
              </w:rPr>
              <w:t>+5</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5</w:t>
            </w:r>
          </w:p>
        </w:tc>
        <w:tc>
          <w:tcPr>
            <w:tcW w:type="dxa" w:w="1512"/>
          </w:tcPr>
          <w:p>
            <w:pPr>
              <w:spacing w:line="240" w:lineRule="auto" w:after="0" w:before="0"/>
            </w:pPr>
            <w:r/>
            <w:r>
              <w:rPr>
                <w:sz w:val="16"/>
              </w:rPr>
              <w:t>33,183</w:t>
            </w:r>
          </w:p>
        </w:tc>
        <w:tc>
          <w:tcPr>
            <w:tcW w:type="dxa" w:w="1512"/>
          </w:tcPr>
          <w:p>
            <w:pPr>
              <w:spacing w:line="240" w:lineRule="auto" w:after="0" w:before="0"/>
            </w:pPr>
            <w:r/>
            <w:r>
              <w:rPr>
                <w:sz w:val="16"/>
              </w:rPr>
              <w:t>785</w:t>
            </w:r>
          </w:p>
        </w:tc>
      </w:tr>
      <w:tr>
        <w:trPr>
          <w:cantSplit/>
        </w:trPr>
        <w:tc>
          <w:tcPr>
            <w:tcW w:type="dxa" w:w="1512"/>
          </w:tcPr>
          <w:p>
            <w:pPr>
              <w:spacing w:line="240" w:lineRule="auto" w:after="0" w:before="0"/>
            </w:pPr>
            <w:r/>
            <w:r>
              <w:rPr>
                <w:sz w:val="16"/>
              </w:rPr>
              <w:t>total since 13.1.0</w:t>
            </w:r>
          </w:p>
        </w:tc>
        <w:tc>
          <w:tcPr>
            <w:tcW w:type="dxa" w:w="1512"/>
          </w:tcPr>
          <w:p>
            <w:pPr>
              <w:spacing w:line="240" w:lineRule="auto" w:after="0" w:before="0"/>
            </w:pPr>
            <w:r/>
            <w:r>
              <w:rPr>
                <w:sz w:val="16"/>
              </w:rPr>
              <w:t>+498</w:t>
            </w:r>
          </w:p>
        </w:tc>
        <w:tc>
          <w:tcPr>
            <w:tcW w:type="dxa" w:w="1512"/>
          </w:tcPr>
          <w:p>
            <w:pPr>
              <w:spacing w:line="240" w:lineRule="auto" w:after="0" w:before="0"/>
            </w:pPr>
            <w:r/>
            <w:r>
              <w:rPr>
                <w:sz w:val="16"/>
              </w:rPr>
              <w:t>1,307</w:t>
            </w:r>
          </w:p>
        </w:tc>
        <w:tc>
          <w:tcPr>
            <w:tcW w:type="dxa" w:w="1512"/>
          </w:tcPr>
          <w:p>
            <w:pPr>
              <w:spacing w:line="240" w:lineRule="auto" w:after="0" w:before="0"/>
            </w:pPr>
            <w:r/>
            <w:r>
              <w:rPr>
                <w:sz w:val="16"/>
              </w:rPr>
              <w:t>485</w:t>
            </w:r>
          </w:p>
        </w:tc>
        <w:tc>
          <w:tcPr>
            <w:tcW w:type="dxa" w:w="1512"/>
          </w:tcPr>
          <w:p>
            <w:pPr>
              <w:spacing w:line="240" w:lineRule="auto" w:after="0" w:before="0"/>
            </w:pPr>
            <w:r/>
          </w:p>
        </w:tc>
        <w:tc>
          <w:tcPr>
            <w:tcW w:type="dxa" w:w="1512"/>
          </w:tcPr>
          <w:p>
            <w:pPr>
              <w:spacing w:line="240" w:lineRule="auto" w:after="0" w:before="0"/>
            </w:pPr>
            <w:r/>
          </w:p>
        </w:tc>
      </w:tr>
    </w:tbl>
    <w:p/>
    <w:p>
      <w:r>
        <w:t>No rule was re-activated after retirement; 170 records were already non-executable in 13.1.0 (164 template artefacts, 3 empty expressions, 3 un-flagged candidates), giving the 1,487 + 3 non-executable records of Table S10.</w:t>
      </w:r>
    </w:p>
    <w:p>
      <w:r>
        <w:t>Earlier text quoted 1,474 retired records and 32,901 candidates (sum 33,199) and, elsewhere, 33,173; the discrepancies arose from mixing release-13.4.x counts with 14.1.0 counts and from counting the 13 demoted anchors and 3 non-executable candidates inconsistently. All manuscript counts now derive from this table.</w:t>
      </w:r>
    </w:p>
    <w:p>
      <w:pPr>
        <w:pStyle w:val="Heading1"/>
      </w:pPr>
      <w:r>
        <w:rPr>
          <w:rFonts w:ascii="Times New Roman" w:hAnsi="Times New Roman" w:eastAsia="Times New Roman" w:cs="Times New Roman"/>
          <w:b/>
          <w:i w:val="0"/>
          <w:color w:val="000000"/>
        </w:rPr>
        <w:t>Supplementary Table S11 — Precision, F1, NDCG, alert burden, per-group PPV and prevalence-ranking baseline (script `eval/reviewer_r2_metrics.py`)</w:t>
      </w:r>
    </w:p>
    <w:p>
      <w:r>
        <w:t>Prediction set at k = label groups whose best flat-list entry has rank ≤ k and whose key analyte is present (the same evaluability rule used for recall). Reference = clinician problem list mapped to 31 groups (admission-level; incompleteness means 'false positives' are an upper bound on true false positives). CIs: stay-cluster bootstrap, 2,000 resamples.</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268"/>
            <w:shd w:val="clear" w:fill="F2F2F2"/>
          </w:tcPr>
          <w:p>
            <w:pPr>
              <w:spacing w:line="240" w:lineRule="auto" w:after="0" w:before="0"/>
            </w:pPr>
            <w:r>
              <w:rPr>
                <w:b/>
              </w:rPr>
            </w:r>
            <w:r>
              <w:rPr>
                <w:b/>
                <w:sz w:val="16"/>
              </w:rPr>
              <w:t>metric</w:t>
            </w:r>
          </w:p>
        </w:tc>
        <w:tc>
          <w:tcPr>
            <w:tcW w:type="dxa" w:w="2268"/>
            <w:shd w:val="clear" w:fill="F2F2F2"/>
          </w:tcPr>
          <w:p>
            <w:pPr>
              <w:spacing w:line="240" w:lineRule="auto" w:after="0" w:before="0"/>
            </w:pPr>
            <w:r>
              <w:rPr>
                <w:b/>
              </w:rPr>
            </w:r>
            <w:r>
              <w:rPr>
                <w:b/>
                <w:sz w:val="16"/>
              </w:rPr>
              <w:t>k=3</w:t>
            </w:r>
          </w:p>
        </w:tc>
        <w:tc>
          <w:tcPr>
            <w:tcW w:type="dxa" w:w="2268"/>
            <w:shd w:val="clear" w:fill="F2F2F2"/>
          </w:tcPr>
          <w:p>
            <w:pPr>
              <w:spacing w:line="240" w:lineRule="auto" w:after="0" w:before="0"/>
            </w:pPr>
            <w:r>
              <w:rPr>
                <w:b/>
              </w:rPr>
            </w:r>
            <w:r>
              <w:rPr>
                <w:b/>
                <w:sz w:val="16"/>
              </w:rPr>
              <w:t>k=5</w:t>
            </w:r>
          </w:p>
        </w:tc>
        <w:tc>
          <w:tcPr>
            <w:tcW w:type="dxa" w:w="2268"/>
            <w:shd w:val="clear" w:fill="F2F2F2"/>
          </w:tcPr>
          <w:p>
            <w:pPr>
              <w:spacing w:line="240" w:lineRule="auto" w:after="0" w:before="0"/>
            </w:pPr>
            <w:r>
              <w:rPr>
                <w:b/>
              </w:rPr>
            </w:r>
            <w:r>
              <w:rPr>
                <w:b/>
                <w:sz w:val="16"/>
              </w:rPr>
              <w:t>k=10</w:t>
            </w:r>
          </w:p>
        </w:tc>
      </w:tr>
      <w:tr>
        <w:trPr>
          <w:cantSplit/>
        </w:trPr>
        <w:tc>
          <w:tcPr>
            <w:tcW w:type="dxa" w:w="2268"/>
          </w:tcPr>
          <w:p>
            <w:pPr>
              <w:spacing w:line="240" w:lineRule="auto" w:after="0" w:before="0"/>
            </w:pPr>
            <w:r/>
            <w:r>
              <w:rPr>
                <w:sz w:val="16"/>
              </w:rPr>
              <w:t>engine v7 precision@k (%)</w:t>
            </w:r>
          </w:p>
        </w:tc>
        <w:tc>
          <w:tcPr>
            <w:tcW w:type="dxa" w:w="2268"/>
          </w:tcPr>
          <w:p>
            <w:pPr>
              <w:spacing w:line="240" w:lineRule="auto" w:after="0" w:before="0"/>
            </w:pPr>
            <w:r/>
            <w:r>
              <w:rPr>
                <w:sz w:val="16"/>
              </w:rPr>
              <w:t>16.5 (15.4–17.6)</w:t>
            </w:r>
          </w:p>
        </w:tc>
        <w:tc>
          <w:tcPr>
            <w:tcW w:type="dxa" w:w="2268"/>
          </w:tcPr>
          <w:p>
            <w:pPr>
              <w:spacing w:line="240" w:lineRule="auto" w:after="0" w:before="0"/>
            </w:pPr>
            <w:r/>
            <w:r>
              <w:rPr>
                <w:sz w:val="16"/>
              </w:rPr>
              <w:t>14.2 (13.3–15.2)</w:t>
            </w:r>
          </w:p>
        </w:tc>
        <w:tc>
          <w:tcPr>
            <w:tcW w:type="dxa" w:w="2268"/>
          </w:tcPr>
          <w:p>
            <w:pPr>
              <w:spacing w:line="240" w:lineRule="auto" w:after="0" w:before="0"/>
            </w:pPr>
            <w:r/>
            <w:r>
              <w:rPr>
                <w:sz w:val="16"/>
              </w:rPr>
              <w:t>11.8 (11.1–12.6)</w:t>
            </w:r>
          </w:p>
        </w:tc>
      </w:tr>
      <w:tr>
        <w:trPr>
          <w:cantSplit/>
        </w:trPr>
        <w:tc>
          <w:tcPr>
            <w:tcW w:type="dxa" w:w="2268"/>
          </w:tcPr>
          <w:p>
            <w:pPr>
              <w:spacing w:line="240" w:lineRule="auto" w:after="0" w:before="0"/>
            </w:pPr>
            <w:r/>
            <w:r>
              <w:rPr>
                <w:sz w:val="16"/>
              </w:rPr>
              <w:t>engine v7 recall@k (%)</w:t>
            </w:r>
          </w:p>
        </w:tc>
        <w:tc>
          <w:tcPr>
            <w:tcW w:type="dxa" w:w="2268"/>
          </w:tcPr>
          <w:p>
            <w:pPr>
              <w:spacing w:line="240" w:lineRule="auto" w:after="0" w:before="0"/>
            </w:pPr>
            <w:r/>
            <w:r>
              <w:rPr>
                <w:sz w:val="16"/>
              </w:rPr>
              <w:t>47.9 (45.6–50.3)</w:t>
            </w:r>
          </w:p>
        </w:tc>
        <w:tc>
          <w:tcPr>
            <w:tcW w:type="dxa" w:w="2268"/>
          </w:tcPr>
          <w:p>
            <w:pPr>
              <w:spacing w:line="240" w:lineRule="auto" w:after="0" w:before="0"/>
            </w:pPr>
            <w:r/>
            <w:r>
              <w:rPr>
                <w:sz w:val="16"/>
              </w:rPr>
              <w:t>60.8 (58.5–63.0)</w:t>
            </w:r>
          </w:p>
        </w:tc>
        <w:tc>
          <w:tcPr>
            <w:tcW w:type="dxa" w:w="2268"/>
          </w:tcPr>
          <w:p>
            <w:pPr>
              <w:spacing w:line="240" w:lineRule="auto" w:after="0" w:before="0"/>
            </w:pPr>
            <w:r/>
            <w:r>
              <w:rPr>
                <w:sz w:val="16"/>
              </w:rPr>
              <w:t>74.1 (72.0–76.0)</w:t>
            </w:r>
          </w:p>
        </w:tc>
      </w:tr>
      <w:tr>
        <w:trPr>
          <w:cantSplit/>
        </w:trPr>
        <w:tc>
          <w:tcPr>
            <w:tcW w:type="dxa" w:w="2268"/>
          </w:tcPr>
          <w:p>
            <w:pPr>
              <w:spacing w:line="240" w:lineRule="auto" w:after="0" w:before="0"/>
            </w:pPr>
            <w:r/>
            <w:r>
              <w:rPr>
                <w:sz w:val="16"/>
              </w:rPr>
              <w:t>engine v7 f1@k (%)</w:t>
            </w:r>
          </w:p>
        </w:tc>
        <w:tc>
          <w:tcPr>
            <w:tcW w:type="dxa" w:w="2268"/>
          </w:tcPr>
          <w:p>
            <w:pPr>
              <w:spacing w:line="240" w:lineRule="auto" w:after="0" w:before="0"/>
            </w:pPr>
            <w:r/>
            <w:r>
              <w:rPr>
                <w:sz w:val="16"/>
              </w:rPr>
              <w:t>24.6 (23.2–26.0)</w:t>
            </w:r>
          </w:p>
        </w:tc>
        <w:tc>
          <w:tcPr>
            <w:tcW w:type="dxa" w:w="2268"/>
          </w:tcPr>
          <w:p>
            <w:pPr>
              <w:spacing w:line="240" w:lineRule="auto" w:after="0" w:before="0"/>
            </w:pPr>
            <w:r/>
            <w:r>
              <w:rPr>
                <w:sz w:val="16"/>
              </w:rPr>
              <w:t>23.1 (21.8–24.3)</w:t>
            </w:r>
          </w:p>
        </w:tc>
        <w:tc>
          <w:tcPr>
            <w:tcW w:type="dxa" w:w="2268"/>
          </w:tcPr>
          <w:p>
            <w:pPr>
              <w:spacing w:line="240" w:lineRule="auto" w:after="0" w:before="0"/>
            </w:pPr>
            <w:r/>
            <w:r>
              <w:rPr>
                <w:sz w:val="16"/>
              </w:rPr>
              <w:t>20.4 (19.3–21.5)</w:t>
            </w:r>
          </w:p>
        </w:tc>
      </w:tr>
      <w:tr>
        <w:trPr>
          <w:cantSplit/>
        </w:trPr>
        <w:tc>
          <w:tcPr>
            <w:tcW w:type="dxa" w:w="2268"/>
          </w:tcPr>
          <w:p>
            <w:pPr>
              <w:spacing w:line="240" w:lineRule="auto" w:after="0" w:before="0"/>
            </w:pPr>
            <w:r/>
            <w:r>
              <w:rPr>
                <w:sz w:val="16"/>
              </w:rPr>
              <w:t>engine v7 ndcg@k (%)</w:t>
            </w:r>
          </w:p>
        </w:tc>
        <w:tc>
          <w:tcPr>
            <w:tcW w:type="dxa" w:w="2268"/>
          </w:tcPr>
          <w:p>
            <w:pPr>
              <w:spacing w:line="240" w:lineRule="auto" w:after="0" w:before="0"/>
            </w:pPr>
            <w:r/>
            <w:r>
              <w:rPr>
                <w:sz w:val="16"/>
              </w:rPr>
              <w:t>53.1 (50.6–55.5)</w:t>
            </w:r>
          </w:p>
        </w:tc>
        <w:tc>
          <w:tcPr>
            <w:tcW w:type="dxa" w:w="2268"/>
          </w:tcPr>
          <w:p>
            <w:pPr>
              <w:spacing w:line="240" w:lineRule="auto" w:after="0" w:before="0"/>
            </w:pPr>
            <w:r/>
            <w:r>
              <w:rPr>
                <w:sz w:val="16"/>
              </w:rPr>
              <w:t>56.5 (54.1–58.8)</w:t>
            </w:r>
          </w:p>
        </w:tc>
        <w:tc>
          <w:tcPr>
            <w:tcW w:type="dxa" w:w="2268"/>
          </w:tcPr>
          <w:p>
            <w:pPr>
              <w:spacing w:line="240" w:lineRule="auto" w:after="0" w:before="0"/>
            </w:pPr>
            <w:r/>
            <w:r>
              <w:rPr>
                <w:sz w:val="16"/>
              </w:rPr>
              <w:t>60.6 (58.6–62.8)</w:t>
            </w:r>
          </w:p>
        </w:tc>
      </w:tr>
      <w:tr>
        <w:trPr>
          <w:cantSplit/>
        </w:trPr>
        <w:tc>
          <w:tcPr>
            <w:tcW w:type="dxa" w:w="2268"/>
          </w:tcPr>
          <w:p>
            <w:pPr>
              <w:spacing w:line="240" w:lineRule="auto" w:after="0" w:before="0"/>
            </w:pPr>
            <w:r/>
            <w:r>
              <w:rPr>
                <w:sz w:val="16"/>
              </w:rPr>
              <w:t>prevalence-ranking baseline precision@k (%)</w:t>
            </w:r>
          </w:p>
        </w:tc>
        <w:tc>
          <w:tcPr>
            <w:tcW w:type="dxa" w:w="2268"/>
          </w:tcPr>
          <w:p>
            <w:pPr>
              <w:spacing w:line="240" w:lineRule="auto" w:after="0" w:before="0"/>
            </w:pPr>
            <w:r/>
            <w:r>
              <w:rPr>
                <w:sz w:val="16"/>
              </w:rPr>
              <w:t>12.6</w:t>
            </w:r>
          </w:p>
        </w:tc>
        <w:tc>
          <w:tcPr>
            <w:tcW w:type="dxa" w:w="2268"/>
          </w:tcPr>
          <w:p>
            <w:pPr>
              <w:spacing w:line="240" w:lineRule="auto" w:after="0" w:before="0"/>
            </w:pPr>
            <w:r/>
            <w:r>
              <w:rPr>
                <w:sz w:val="16"/>
              </w:rPr>
              <w:t>10.8</w:t>
            </w:r>
          </w:p>
        </w:tc>
        <w:tc>
          <w:tcPr>
            <w:tcW w:type="dxa" w:w="2268"/>
          </w:tcPr>
          <w:p>
            <w:pPr>
              <w:spacing w:line="240" w:lineRule="auto" w:after="0" w:before="0"/>
            </w:pPr>
            <w:r/>
            <w:r>
              <w:rPr>
                <w:sz w:val="16"/>
              </w:rPr>
              <w:t>8.1</w:t>
            </w:r>
          </w:p>
        </w:tc>
      </w:tr>
      <w:tr>
        <w:trPr>
          <w:cantSplit/>
        </w:trPr>
        <w:tc>
          <w:tcPr>
            <w:tcW w:type="dxa" w:w="2268"/>
          </w:tcPr>
          <w:p>
            <w:pPr>
              <w:spacing w:line="240" w:lineRule="auto" w:after="0" w:before="0"/>
            </w:pPr>
            <w:r/>
            <w:r>
              <w:rPr>
                <w:sz w:val="16"/>
              </w:rPr>
              <w:t>prevalence-ranking baseline recall@k (%)</w:t>
            </w:r>
          </w:p>
        </w:tc>
        <w:tc>
          <w:tcPr>
            <w:tcW w:type="dxa" w:w="2268"/>
          </w:tcPr>
          <w:p>
            <w:pPr>
              <w:spacing w:line="240" w:lineRule="auto" w:after="0" w:before="0"/>
            </w:pPr>
            <w:r/>
            <w:r>
              <w:rPr>
                <w:sz w:val="16"/>
              </w:rPr>
              <w:t>36.1</w:t>
            </w:r>
          </w:p>
        </w:tc>
        <w:tc>
          <w:tcPr>
            <w:tcW w:type="dxa" w:w="2268"/>
          </w:tcPr>
          <w:p>
            <w:pPr>
              <w:spacing w:line="240" w:lineRule="auto" w:after="0" w:before="0"/>
            </w:pPr>
            <w:r/>
            <w:r>
              <w:rPr>
                <w:sz w:val="16"/>
              </w:rPr>
              <w:t>51.3</w:t>
            </w:r>
          </w:p>
        </w:tc>
        <w:tc>
          <w:tcPr>
            <w:tcW w:type="dxa" w:w="2268"/>
          </w:tcPr>
          <w:p>
            <w:pPr>
              <w:spacing w:line="240" w:lineRule="auto" w:after="0" w:before="0"/>
            </w:pPr>
            <w:r/>
            <w:r>
              <w:rPr>
                <w:sz w:val="16"/>
              </w:rPr>
              <w:t>76.8</w:t>
            </w:r>
          </w:p>
        </w:tc>
      </w:tr>
      <w:tr>
        <w:trPr>
          <w:cantSplit/>
        </w:trPr>
        <w:tc>
          <w:tcPr>
            <w:tcW w:type="dxa" w:w="2268"/>
          </w:tcPr>
          <w:p>
            <w:pPr>
              <w:spacing w:line="240" w:lineRule="auto" w:after="0" w:before="0"/>
            </w:pPr>
            <w:r/>
            <w:r>
              <w:rPr>
                <w:sz w:val="16"/>
              </w:rPr>
              <w:t>prevalence-ranking baseline f1@k (%)</w:t>
            </w:r>
          </w:p>
        </w:tc>
        <w:tc>
          <w:tcPr>
            <w:tcW w:type="dxa" w:w="2268"/>
          </w:tcPr>
          <w:p>
            <w:pPr>
              <w:spacing w:line="240" w:lineRule="auto" w:after="0" w:before="0"/>
            </w:pPr>
            <w:r/>
            <w:r>
              <w:rPr>
                <w:sz w:val="16"/>
              </w:rPr>
              <w:t>18.7</w:t>
            </w:r>
          </w:p>
        </w:tc>
        <w:tc>
          <w:tcPr>
            <w:tcW w:type="dxa" w:w="2268"/>
          </w:tcPr>
          <w:p>
            <w:pPr>
              <w:spacing w:line="240" w:lineRule="auto" w:after="0" w:before="0"/>
            </w:pPr>
            <w:r/>
            <w:r>
              <w:rPr>
                <w:sz w:val="16"/>
              </w:rPr>
              <w:t>17.8</w:t>
            </w:r>
          </w:p>
        </w:tc>
        <w:tc>
          <w:tcPr>
            <w:tcW w:type="dxa" w:w="2268"/>
          </w:tcPr>
          <w:p>
            <w:pPr>
              <w:spacing w:line="240" w:lineRule="auto" w:after="0" w:before="0"/>
            </w:pPr>
            <w:r/>
            <w:r>
              <w:rPr>
                <w:sz w:val="16"/>
              </w:rPr>
              <w:t>14.7</w:t>
            </w:r>
          </w:p>
        </w:tc>
      </w:tr>
      <w:tr>
        <w:trPr>
          <w:cantSplit/>
        </w:trPr>
        <w:tc>
          <w:tcPr>
            <w:tcW w:type="dxa" w:w="2268"/>
          </w:tcPr>
          <w:p>
            <w:pPr>
              <w:spacing w:line="240" w:lineRule="auto" w:after="0" w:before="0"/>
            </w:pPr>
            <w:r/>
            <w:r>
              <w:rPr>
                <w:sz w:val="16"/>
              </w:rPr>
              <w:t>prevalence-ranking baseline ndcg@k (%)</w:t>
            </w:r>
          </w:p>
        </w:tc>
        <w:tc>
          <w:tcPr>
            <w:tcW w:type="dxa" w:w="2268"/>
          </w:tcPr>
          <w:p>
            <w:pPr>
              <w:spacing w:line="240" w:lineRule="auto" w:after="0" w:before="0"/>
            </w:pPr>
            <w:r/>
            <w:r>
              <w:rPr>
                <w:sz w:val="16"/>
              </w:rPr>
              <w:t>34.9</w:t>
            </w:r>
          </w:p>
        </w:tc>
        <w:tc>
          <w:tcPr>
            <w:tcW w:type="dxa" w:w="2268"/>
          </w:tcPr>
          <w:p>
            <w:pPr>
              <w:spacing w:line="240" w:lineRule="auto" w:after="0" w:before="0"/>
            </w:pPr>
            <w:r/>
            <w:r>
              <w:rPr>
                <w:sz w:val="16"/>
              </w:rPr>
              <w:t>39.0</w:t>
            </w:r>
          </w:p>
        </w:tc>
        <w:tc>
          <w:tcPr>
            <w:tcW w:type="dxa" w:w="2268"/>
          </w:tcPr>
          <w:p>
            <w:pPr>
              <w:spacing w:line="240" w:lineRule="auto" w:after="0" w:before="0"/>
            </w:pPr>
            <w:r/>
            <w:r>
              <w:rPr>
                <w:sz w:val="16"/>
              </w:rPr>
              <w:t>49.9</w:t>
            </w:r>
          </w:p>
        </w:tc>
      </w:tr>
      <w:tr>
        <w:trPr>
          <w:cantSplit/>
        </w:trPr>
        <w:tc>
          <w:tcPr>
            <w:tcW w:type="dxa" w:w="2268"/>
          </w:tcPr>
          <w:p>
            <w:pPr>
              <w:spacing w:line="240" w:lineRule="auto" w:after="0" w:before="0"/>
            </w:pPr>
            <w:r/>
            <w:r>
              <w:rPr>
                <w:sz w:val="16"/>
              </w:rPr>
              <w:t>engine: label-group assertions per stay</w:t>
            </w:r>
          </w:p>
        </w:tc>
        <w:tc>
          <w:tcPr>
            <w:tcW w:type="dxa" w:w="2268"/>
          </w:tcPr>
          <w:p>
            <w:pPr>
              <w:spacing w:line="240" w:lineRule="auto" w:after="0" w:before="0"/>
            </w:pPr>
            <w:r/>
            <w:r>
              <w:rPr>
                <w:sz w:val="16"/>
              </w:rPr>
              <w:t>3.04</w:t>
            </w:r>
          </w:p>
        </w:tc>
        <w:tc>
          <w:tcPr>
            <w:tcW w:type="dxa" w:w="2268"/>
          </w:tcPr>
          <w:p>
            <w:pPr>
              <w:spacing w:line="240" w:lineRule="auto" w:after="0" w:before="0"/>
            </w:pPr>
            <w:r/>
            <w:r>
              <w:rPr>
                <w:sz w:val="16"/>
              </w:rPr>
              <w:t>4.49</w:t>
            </w:r>
          </w:p>
        </w:tc>
        <w:tc>
          <w:tcPr>
            <w:tcW w:type="dxa" w:w="2268"/>
          </w:tcPr>
          <w:p>
            <w:pPr>
              <w:spacing w:line="240" w:lineRule="auto" w:after="0" w:before="0"/>
            </w:pPr>
            <w:r/>
            <w:r>
              <w:rPr>
                <w:sz w:val="16"/>
              </w:rPr>
              <w:t>6.57</w:t>
            </w:r>
          </w:p>
        </w:tc>
      </w:tr>
    </w:tbl>
    <w:p/>
    <w:p>
      <w:r>
        <w:t>Alert burden: mean 8.0 (median 8, IQR 5–11) label-group entries in the full flat differential (max list length 25); mean flat list carries 4.8 entries in the top-5.</w:t>
      </w:r>
    </w:p>
    <w:p>
      <w:pPr>
        <w:pStyle w:val="Heading2"/>
      </w:pPr>
      <w:r>
        <w:rPr>
          <w:rFonts w:ascii="Times New Roman" w:hAnsi="Times New Roman" w:eastAsia="Times New Roman" w:cs="Times New Roman"/>
          <w:b/>
          <w:i w:val="0"/>
          <w:color w:val="000000"/>
        </w:rPr>
        <w:t>Per-group PPV and sensitivity at k = 5 (problem-list reference)</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cantSplit/>
          <w:tblHeader/>
        </w:trPr>
        <w:tc>
          <w:tcPr>
            <w:tcW w:type="dxa" w:w="1512"/>
            <w:shd w:val="clear" w:fill="F2F2F2"/>
          </w:tcPr>
          <w:p>
            <w:pPr>
              <w:spacing w:line="240" w:lineRule="auto" w:after="0" w:before="0"/>
            </w:pPr>
            <w:r>
              <w:rPr>
                <w:b/>
              </w:rPr>
            </w:r>
            <w:r>
              <w:rPr>
                <w:b/>
                <w:sz w:val="16"/>
              </w:rPr>
              <w:t>group</w:t>
            </w:r>
          </w:p>
        </w:tc>
        <w:tc>
          <w:tcPr>
            <w:tcW w:type="dxa" w:w="1512"/>
            <w:shd w:val="clear" w:fill="F2F2F2"/>
          </w:tcPr>
          <w:p>
            <w:pPr>
              <w:spacing w:line="240" w:lineRule="auto" w:after="0" w:before="0"/>
            </w:pPr>
            <w:r>
              <w:rPr>
                <w:b/>
              </w:rPr>
            </w:r>
            <w:r>
              <w:rPr>
                <w:b/>
                <w:sz w:val="16"/>
              </w:rPr>
              <w:t>coded (evaluable)</w:t>
            </w:r>
          </w:p>
        </w:tc>
        <w:tc>
          <w:tcPr>
            <w:tcW w:type="dxa" w:w="1512"/>
            <w:shd w:val="clear" w:fill="F2F2F2"/>
          </w:tcPr>
          <w:p>
            <w:pPr>
              <w:spacing w:line="240" w:lineRule="auto" w:after="0" w:before="0"/>
            </w:pPr>
            <w:r>
              <w:rPr>
                <w:b/>
              </w:rPr>
            </w:r>
            <w:r>
              <w:rPr>
                <w:b/>
                <w:sz w:val="16"/>
              </w:rPr>
              <w:t>asserted@5</w:t>
            </w:r>
          </w:p>
        </w:tc>
        <w:tc>
          <w:tcPr>
            <w:tcW w:type="dxa" w:w="1512"/>
            <w:shd w:val="clear" w:fill="F2F2F2"/>
          </w:tcPr>
          <w:p>
            <w:pPr>
              <w:spacing w:line="240" w:lineRule="auto" w:after="0" w:before="0"/>
            </w:pPr>
            <w:r>
              <w:rPr>
                <w:b/>
              </w:rPr>
            </w:r>
            <w:r>
              <w:rPr>
                <w:b/>
                <w:sz w:val="16"/>
              </w:rPr>
              <w:t>PPV@5 (%)</w:t>
            </w:r>
          </w:p>
        </w:tc>
        <w:tc>
          <w:tcPr>
            <w:tcW w:type="dxa" w:w="1512"/>
            <w:shd w:val="clear" w:fill="F2F2F2"/>
          </w:tcPr>
          <w:p>
            <w:pPr>
              <w:spacing w:line="240" w:lineRule="auto" w:after="0" w:before="0"/>
            </w:pPr>
            <w:r>
              <w:rPr>
                <w:b/>
              </w:rPr>
            </w:r>
            <w:r>
              <w:rPr>
                <w:b/>
                <w:sz w:val="16"/>
              </w:rPr>
              <w:t>sensitivity@5 (%)</w:t>
            </w:r>
          </w:p>
        </w:tc>
        <w:tc>
          <w:tcPr>
            <w:tcW w:type="dxa" w:w="1512"/>
            <w:shd w:val="clear" w:fill="F2F2F2"/>
          </w:tcPr>
          <w:p>
            <w:pPr>
              <w:spacing w:line="240" w:lineRule="auto" w:after="0" w:before="0"/>
            </w:pPr>
            <w:r>
              <w:rPr>
                <w:b/>
              </w:rPr>
            </w:r>
            <w:r>
              <w:rPr>
                <w:b/>
                <w:sz w:val="16"/>
              </w:rPr>
              <w:t>prevalence baseline sens@5 (%)</w:t>
            </w:r>
          </w:p>
        </w:tc>
      </w:tr>
      <w:tr>
        <w:trPr>
          <w:cantSplit/>
        </w:trPr>
        <w:tc>
          <w:tcPr>
            <w:tcW w:type="dxa" w:w="1512"/>
          </w:tcPr>
          <w:p>
            <w:pPr>
              <w:spacing w:line="240" w:lineRule="auto" w:after="0" w:before="0"/>
            </w:pPr>
            <w:r/>
            <w:r>
              <w:rPr>
                <w:sz w:val="16"/>
              </w:rPr>
              <w:t>renal_impairment</w:t>
            </w:r>
          </w:p>
        </w:tc>
        <w:tc>
          <w:tcPr>
            <w:tcW w:type="dxa" w:w="1512"/>
          </w:tcPr>
          <w:p>
            <w:pPr>
              <w:spacing w:line="240" w:lineRule="auto" w:after="0" w:before="0"/>
            </w:pPr>
            <w:r/>
            <w:r>
              <w:rPr>
                <w:sz w:val="16"/>
              </w:rPr>
              <w:t>326</w:t>
            </w:r>
          </w:p>
        </w:tc>
        <w:tc>
          <w:tcPr>
            <w:tcW w:type="dxa" w:w="1512"/>
          </w:tcPr>
          <w:p>
            <w:pPr>
              <w:spacing w:line="240" w:lineRule="auto" w:after="0" w:before="0"/>
            </w:pPr>
            <w:r/>
            <w:r>
              <w:rPr>
                <w:sz w:val="16"/>
              </w:rPr>
              <w:t>1066</w:t>
            </w:r>
          </w:p>
        </w:tc>
        <w:tc>
          <w:tcPr>
            <w:tcW w:type="dxa" w:w="1512"/>
          </w:tcPr>
          <w:p>
            <w:pPr>
              <w:spacing w:line="240" w:lineRule="auto" w:after="0" w:before="0"/>
            </w:pPr>
            <w:r/>
            <w:r>
              <w:rPr>
                <w:sz w:val="16"/>
              </w:rPr>
              <w:t>25</w:t>
            </w:r>
          </w:p>
        </w:tc>
        <w:tc>
          <w:tcPr>
            <w:tcW w:type="dxa" w:w="1512"/>
          </w:tcPr>
          <w:p>
            <w:pPr>
              <w:spacing w:line="240" w:lineRule="auto" w:after="0" w:before="0"/>
            </w:pPr>
            <w:r/>
            <w:r>
              <w:rPr>
                <w:sz w:val="16"/>
              </w:rPr>
              <w:t>81</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sepsis</w:t>
            </w:r>
          </w:p>
        </w:tc>
        <w:tc>
          <w:tcPr>
            <w:tcW w:type="dxa" w:w="1512"/>
          </w:tcPr>
          <w:p>
            <w:pPr>
              <w:spacing w:line="240" w:lineRule="auto" w:after="0" w:before="0"/>
            </w:pPr>
            <w:r/>
            <w:r>
              <w:rPr>
                <w:sz w:val="16"/>
              </w:rPr>
              <w:t>289</w:t>
            </w:r>
          </w:p>
        </w:tc>
        <w:tc>
          <w:tcPr>
            <w:tcW w:type="dxa" w:w="1512"/>
          </w:tcPr>
          <w:p>
            <w:pPr>
              <w:spacing w:line="240" w:lineRule="auto" w:after="0" w:before="0"/>
            </w:pPr>
            <w:r/>
            <w:r>
              <w:rPr>
                <w:sz w:val="16"/>
              </w:rPr>
              <w:t>532</w:t>
            </w:r>
          </w:p>
        </w:tc>
        <w:tc>
          <w:tcPr>
            <w:tcW w:type="dxa" w:w="1512"/>
          </w:tcPr>
          <w:p>
            <w:pPr>
              <w:spacing w:line="240" w:lineRule="auto" w:after="0" w:before="0"/>
            </w:pPr>
            <w:r/>
            <w:r>
              <w:rPr>
                <w:sz w:val="16"/>
              </w:rPr>
              <w:t>27</w:t>
            </w:r>
          </w:p>
        </w:tc>
        <w:tc>
          <w:tcPr>
            <w:tcW w:type="dxa" w:w="1512"/>
          </w:tcPr>
          <w:p>
            <w:pPr>
              <w:spacing w:line="240" w:lineRule="auto" w:after="0" w:before="0"/>
            </w:pPr>
            <w:r/>
            <w:r>
              <w:rPr>
                <w:sz w:val="16"/>
              </w:rPr>
              <w:t>49</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diabetes</w:t>
            </w:r>
          </w:p>
        </w:tc>
        <w:tc>
          <w:tcPr>
            <w:tcW w:type="dxa" w:w="1512"/>
          </w:tcPr>
          <w:p>
            <w:pPr>
              <w:spacing w:line="240" w:lineRule="auto" w:after="0" w:before="0"/>
            </w:pPr>
            <w:r/>
            <w:r>
              <w:rPr>
                <w:sz w:val="16"/>
              </w:rPr>
              <w:t>246</w:t>
            </w:r>
          </w:p>
        </w:tc>
        <w:tc>
          <w:tcPr>
            <w:tcW w:type="dxa" w:w="1512"/>
          </w:tcPr>
          <w:p>
            <w:pPr>
              <w:spacing w:line="240" w:lineRule="auto" w:after="0" w:before="0"/>
            </w:pPr>
            <w:r/>
            <w:r>
              <w:rPr>
                <w:sz w:val="16"/>
              </w:rPr>
              <w:t>611</w:t>
            </w:r>
          </w:p>
        </w:tc>
        <w:tc>
          <w:tcPr>
            <w:tcW w:type="dxa" w:w="1512"/>
          </w:tcPr>
          <w:p>
            <w:pPr>
              <w:spacing w:line="240" w:lineRule="auto" w:after="0" w:before="0"/>
            </w:pPr>
            <w:r/>
            <w:r>
              <w:rPr>
                <w:sz w:val="16"/>
              </w:rPr>
              <w:t>18</w:t>
            </w:r>
          </w:p>
        </w:tc>
        <w:tc>
          <w:tcPr>
            <w:tcW w:type="dxa" w:w="1512"/>
          </w:tcPr>
          <w:p>
            <w:pPr>
              <w:spacing w:line="240" w:lineRule="auto" w:after="0" w:before="0"/>
            </w:pPr>
            <w:r/>
            <w:r>
              <w:rPr>
                <w:sz w:val="16"/>
              </w:rPr>
              <w:t>45</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acute_kidney_injury</w:t>
            </w:r>
          </w:p>
        </w:tc>
        <w:tc>
          <w:tcPr>
            <w:tcW w:type="dxa" w:w="1512"/>
          </w:tcPr>
          <w:p>
            <w:pPr>
              <w:spacing w:line="240" w:lineRule="auto" w:after="0" w:before="0"/>
            </w:pPr>
            <w:r/>
            <w:r>
              <w:rPr>
                <w:sz w:val="16"/>
              </w:rPr>
              <w:t>218</w:t>
            </w:r>
          </w:p>
        </w:tc>
        <w:tc>
          <w:tcPr>
            <w:tcW w:type="dxa" w:w="1512"/>
          </w:tcPr>
          <w:p>
            <w:pPr>
              <w:spacing w:line="240" w:lineRule="auto" w:after="0" w:before="0"/>
            </w:pPr>
            <w:r/>
            <w:r>
              <w:rPr>
                <w:sz w:val="16"/>
              </w:rPr>
              <w:t>947</w:t>
            </w:r>
          </w:p>
        </w:tc>
        <w:tc>
          <w:tcPr>
            <w:tcW w:type="dxa" w:w="1512"/>
          </w:tcPr>
          <w:p>
            <w:pPr>
              <w:spacing w:line="240" w:lineRule="auto" w:after="0" w:before="0"/>
            </w:pPr>
            <w:r/>
            <w:r>
              <w:rPr>
                <w:sz w:val="16"/>
              </w:rPr>
              <w:t>18</w:t>
            </w:r>
          </w:p>
        </w:tc>
        <w:tc>
          <w:tcPr>
            <w:tcW w:type="dxa" w:w="1512"/>
          </w:tcPr>
          <w:p>
            <w:pPr>
              <w:spacing w:line="240" w:lineRule="auto" w:after="0" w:before="0"/>
            </w:pPr>
            <w:r/>
            <w:r>
              <w:rPr>
                <w:sz w:val="16"/>
              </w:rPr>
              <w:t>78</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chronic_kidney_disease</w:t>
            </w:r>
          </w:p>
        </w:tc>
        <w:tc>
          <w:tcPr>
            <w:tcW w:type="dxa" w:w="1512"/>
          </w:tcPr>
          <w:p>
            <w:pPr>
              <w:spacing w:line="240" w:lineRule="auto" w:after="0" w:before="0"/>
            </w:pPr>
            <w:r/>
            <w:r>
              <w:rPr>
                <w:sz w:val="16"/>
              </w:rPr>
              <w:t>148</w:t>
            </w:r>
          </w:p>
        </w:tc>
        <w:tc>
          <w:tcPr>
            <w:tcW w:type="dxa" w:w="1512"/>
          </w:tcPr>
          <w:p>
            <w:pPr>
              <w:spacing w:line="240" w:lineRule="auto" w:after="0" w:before="0"/>
            </w:pPr>
            <w:r/>
            <w:r>
              <w:rPr>
                <w:sz w:val="16"/>
              </w:rPr>
              <w:t>239</w:t>
            </w:r>
          </w:p>
        </w:tc>
        <w:tc>
          <w:tcPr>
            <w:tcW w:type="dxa" w:w="1512"/>
          </w:tcPr>
          <w:p>
            <w:pPr>
              <w:spacing w:line="240" w:lineRule="auto" w:after="0" w:before="0"/>
            </w:pPr>
            <w:r/>
            <w:r>
              <w:rPr>
                <w:sz w:val="16"/>
              </w:rPr>
              <w:t>22</w:t>
            </w:r>
          </w:p>
        </w:tc>
        <w:tc>
          <w:tcPr>
            <w:tcW w:type="dxa" w:w="1512"/>
          </w:tcPr>
          <w:p>
            <w:pPr>
              <w:spacing w:line="240" w:lineRule="auto" w:after="0" w:before="0"/>
            </w:pPr>
            <w:r/>
            <w:r>
              <w:rPr>
                <w:sz w:val="16"/>
              </w:rPr>
              <w:t>36</w:t>
            </w:r>
          </w:p>
        </w:tc>
        <w:tc>
          <w:tcPr>
            <w:tcW w:type="dxa" w:w="1512"/>
          </w:tcPr>
          <w:p>
            <w:pPr>
              <w:spacing w:line="240" w:lineRule="auto" w:after="0" w:before="0"/>
            </w:pPr>
            <w:r/>
            <w:r>
              <w:rPr>
                <w:sz w:val="16"/>
              </w:rPr>
              <w:t>100</w:t>
            </w:r>
          </w:p>
        </w:tc>
      </w:tr>
      <w:tr>
        <w:trPr>
          <w:cantSplit/>
        </w:trPr>
        <w:tc>
          <w:tcPr>
            <w:tcW w:type="dxa" w:w="1512"/>
          </w:tcPr>
          <w:p>
            <w:pPr>
              <w:spacing w:line="240" w:lineRule="auto" w:after="0" w:before="0"/>
            </w:pPr>
            <w:r/>
            <w:r>
              <w:rPr>
                <w:sz w:val="16"/>
              </w:rPr>
              <w:t>anemia</w:t>
            </w:r>
          </w:p>
        </w:tc>
        <w:tc>
          <w:tcPr>
            <w:tcW w:type="dxa" w:w="1512"/>
          </w:tcPr>
          <w:p>
            <w:pPr>
              <w:spacing w:line="240" w:lineRule="auto" w:after="0" w:before="0"/>
            </w:pPr>
            <w:r/>
            <w:r>
              <w:rPr>
                <w:sz w:val="16"/>
              </w:rPr>
              <w:t>147</w:t>
            </w:r>
          </w:p>
        </w:tc>
        <w:tc>
          <w:tcPr>
            <w:tcW w:type="dxa" w:w="1512"/>
          </w:tcPr>
          <w:p>
            <w:pPr>
              <w:spacing w:line="240" w:lineRule="auto" w:after="0" w:before="0"/>
            </w:pPr>
            <w:r/>
            <w:r>
              <w:rPr>
                <w:sz w:val="16"/>
              </w:rPr>
              <w:t>1141</w:t>
            </w:r>
          </w:p>
        </w:tc>
        <w:tc>
          <w:tcPr>
            <w:tcW w:type="dxa" w:w="1512"/>
          </w:tcPr>
          <w:p>
            <w:pPr>
              <w:spacing w:line="240" w:lineRule="auto" w:after="0" w:before="0"/>
            </w:pPr>
            <w:r/>
            <w:r>
              <w:rPr>
                <w:sz w:val="16"/>
              </w:rPr>
              <w:t>11</w:t>
            </w:r>
          </w:p>
        </w:tc>
        <w:tc>
          <w:tcPr>
            <w:tcW w:type="dxa" w:w="1512"/>
          </w:tcPr>
          <w:p>
            <w:pPr>
              <w:spacing w:line="240" w:lineRule="auto" w:after="0" w:before="0"/>
            </w:pPr>
            <w:r/>
            <w:r>
              <w:rPr>
                <w:sz w:val="16"/>
              </w:rPr>
              <w:t>83</w:t>
            </w:r>
          </w:p>
        </w:tc>
        <w:tc>
          <w:tcPr>
            <w:tcW w:type="dxa" w:w="1512"/>
          </w:tcPr>
          <w:p>
            <w:pPr>
              <w:spacing w:line="240" w:lineRule="auto" w:after="0" w:before="0"/>
            </w:pPr>
            <w:r/>
            <w:r>
              <w:rPr>
                <w:sz w:val="16"/>
              </w:rPr>
              <w:t>7</w:t>
            </w:r>
          </w:p>
        </w:tc>
      </w:tr>
      <w:tr>
        <w:trPr>
          <w:cantSplit/>
        </w:trPr>
        <w:tc>
          <w:tcPr>
            <w:tcW w:type="dxa" w:w="1512"/>
          </w:tcPr>
          <w:p>
            <w:pPr>
              <w:spacing w:line="240" w:lineRule="auto" w:after="0" w:before="0"/>
            </w:pPr>
            <w:r/>
            <w:r>
              <w:rPr>
                <w:sz w:val="16"/>
              </w:rPr>
              <w:t>gi_bleeding</w:t>
            </w:r>
          </w:p>
        </w:tc>
        <w:tc>
          <w:tcPr>
            <w:tcW w:type="dxa" w:w="1512"/>
          </w:tcPr>
          <w:p>
            <w:pPr>
              <w:spacing w:line="240" w:lineRule="auto" w:after="0" w:before="0"/>
            </w:pPr>
            <w:r/>
            <w:r>
              <w:rPr>
                <w:sz w:val="16"/>
              </w:rPr>
              <w:t>145</w:t>
            </w:r>
          </w:p>
        </w:tc>
        <w:tc>
          <w:tcPr>
            <w:tcW w:type="dxa" w:w="1512"/>
          </w:tcPr>
          <w:p>
            <w:pPr>
              <w:spacing w:line="240" w:lineRule="auto" w:after="0" w:before="0"/>
            </w:pPr>
            <w:r/>
            <w:r>
              <w:rPr>
                <w:sz w:val="16"/>
              </w:rPr>
              <w:t>1123</w:t>
            </w:r>
          </w:p>
        </w:tc>
        <w:tc>
          <w:tcPr>
            <w:tcW w:type="dxa" w:w="1512"/>
          </w:tcPr>
          <w:p>
            <w:pPr>
              <w:spacing w:line="240" w:lineRule="auto" w:after="0" w:before="0"/>
            </w:pPr>
            <w:r/>
            <w:r>
              <w:rPr>
                <w:sz w:val="16"/>
              </w:rPr>
              <w:t>10</w:t>
            </w:r>
          </w:p>
        </w:tc>
        <w:tc>
          <w:tcPr>
            <w:tcW w:type="dxa" w:w="1512"/>
          </w:tcPr>
          <w:p>
            <w:pPr>
              <w:spacing w:line="240" w:lineRule="auto" w:after="0" w:before="0"/>
            </w:pPr>
            <w:r/>
            <w:r>
              <w:rPr>
                <w:sz w:val="16"/>
              </w:rPr>
              <w:t>78</w:t>
            </w:r>
          </w:p>
        </w:tc>
        <w:tc>
          <w:tcPr>
            <w:tcW w:type="dxa" w:w="1512"/>
          </w:tcPr>
          <w:p>
            <w:pPr>
              <w:spacing w:line="240" w:lineRule="auto" w:after="0" w:before="0"/>
            </w:pPr>
            <w:r/>
            <w:r>
              <w:rPr>
                <w:sz w:val="16"/>
              </w:rPr>
              <w:t>3</w:t>
            </w:r>
          </w:p>
        </w:tc>
      </w:tr>
      <w:tr>
        <w:trPr>
          <w:cantSplit/>
        </w:trPr>
        <w:tc>
          <w:tcPr>
            <w:tcW w:type="dxa" w:w="1512"/>
          </w:tcPr>
          <w:p>
            <w:pPr>
              <w:spacing w:line="240" w:lineRule="auto" w:after="0" w:before="0"/>
            </w:pPr>
            <w:r/>
            <w:r>
              <w:rPr>
                <w:sz w:val="16"/>
              </w:rPr>
              <w:t>diabetic_ketoacidosis</w:t>
            </w:r>
          </w:p>
        </w:tc>
        <w:tc>
          <w:tcPr>
            <w:tcW w:type="dxa" w:w="1512"/>
          </w:tcPr>
          <w:p>
            <w:pPr>
              <w:spacing w:line="240" w:lineRule="auto" w:after="0" w:before="0"/>
            </w:pPr>
            <w:r/>
            <w:r>
              <w:rPr>
                <w:sz w:val="16"/>
              </w:rPr>
              <w:t>107</w:t>
            </w:r>
          </w:p>
        </w:tc>
        <w:tc>
          <w:tcPr>
            <w:tcW w:type="dxa" w:w="1512"/>
          </w:tcPr>
          <w:p>
            <w:pPr>
              <w:spacing w:line="240" w:lineRule="auto" w:after="0" w:before="0"/>
            </w:pPr>
            <w:r/>
            <w:r>
              <w:rPr>
                <w:sz w:val="16"/>
              </w:rPr>
              <w:t>98</w:t>
            </w:r>
          </w:p>
        </w:tc>
        <w:tc>
          <w:tcPr>
            <w:tcW w:type="dxa" w:w="1512"/>
          </w:tcPr>
          <w:p>
            <w:pPr>
              <w:spacing w:line="240" w:lineRule="auto" w:after="0" w:before="0"/>
            </w:pPr>
            <w:r/>
            <w:r>
              <w:rPr>
                <w:sz w:val="16"/>
              </w:rPr>
              <w:t>69</w:t>
            </w:r>
          </w:p>
        </w:tc>
        <w:tc>
          <w:tcPr>
            <w:tcW w:type="dxa" w:w="1512"/>
          </w:tcPr>
          <w:p>
            <w:pPr>
              <w:spacing w:line="240" w:lineRule="auto" w:after="0" w:before="0"/>
            </w:pPr>
            <w:r/>
            <w:r>
              <w:rPr>
                <w:sz w:val="16"/>
              </w:rPr>
              <w:t>64</w:t>
            </w:r>
          </w:p>
        </w:tc>
        <w:tc>
          <w:tcPr>
            <w:tcW w:type="dxa" w:w="1512"/>
          </w:tcPr>
          <w:p>
            <w:pPr>
              <w:spacing w:line="240" w:lineRule="auto" w:after="0" w:before="0"/>
            </w:pPr>
            <w:r/>
            <w:r>
              <w:rPr>
                <w:sz w:val="16"/>
              </w:rPr>
              <w:t>3</w:t>
            </w:r>
          </w:p>
        </w:tc>
      </w:tr>
      <w:tr>
        <w:trPr>
          <w:cantSplit/>
        </w:trPr>
        <w:tc>
          <w:tcPr>
            <w:tcW w:type="dxa" w:w="1512"/>
          </w:tcPr>
          <w:p>
            <w:pPr>
              <w:spacing w:line="240" w:lineRule="auto" w:after="0" w:before="0"/>
            </w:pPr>
            <w:r/>
            <w:r>
              <w:rPr>
                <w:sz w:val="16"/>
              </w:rPr>
              <w:t>hyperglycemia</w:t>
            </w:r>
          </w:p>
        </w:tc>
        <w:tc>
          <w:tcPr>
            <w:tcW w:type="dxa" w:w="1512"/>
          </w:tcPr>
          <w:p>
            <w:pPr>
              <w:spacing w:line="240" w:lineRule="auto" w:after="0" w:before="0"/>
            </w:pPr>
            <w:r/>
            <w:r>
              <w:rPr>
                <w:sz w:val="16"/>
              </w:rPr>
              <w:t>96</w:t>
            </w:r>
          </w:p>
        </w:tc>
        <w:tc>
          <w:tcPr>
            <w:tcW w:type="dxa" w:w="1512"/>
          </w:tcPr>
          <w:p>
            <w:pPr>
              <w:spacing w:line="240" w:lineRule="auto" w:after="0" w:before="0"/>
            </w:pPr>
            <w:r/>
            <w:r>
              <w:rPr>
                <w:sz w:val="16"/>
              </w:rPr>
              <w:t>611</w:t>
            </w:r>
          </w:p>
        </w:tc>
        <w:tc>
          <w:tcPr>
            <w:tcW w:type="dxa" w:w="1512"/>
          </w:tcPr>
          <w:p>
            <w:pPr>
              <w:spacing w:line="240" w:lineRule="auto" w:after="0" w:before="0"/>
            </w:pPr>
            <w:r/>
            <w:r>
              <w:rPr>
                <w:sz w:val="16"/>
              </w:rPr>
              <w:t>7</w:t>
            </w:r>
          </w:p>
        </w:tc>
        <w:tc>
          <w:tcPr>
            <w:tcW w:type="dxa" w:w="1512"/>
          </w:tcPr>
          <w:p>
            <w:pPr>
              <w:spacing w:line="240" w:lineRule="auto" w:after="0" w:before="0"/>
            </w:pPr>
            <w:r/>
            <w:r>
              <w:rPr>
                <w:sz w:val="16"/>
              </w:rPr>
              <w:t>47</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acute_myocardial_infarction</w:t>
            </w:r>
          </w:p>
        </w:tc>
        <w:tc>
          <w:tcPr>
            <w:tcW w:type="dxa" w:w="1512"/>
          </w:tcPr>
          <w:p>
            <w:pPr>
              <w:spacing w:line="240" w:lineRule="auto" w:after="0" w:before="0"/>
            </w:pPr>
            <w:r/>
            <w:r>
              <w:rPr>
                <w:sz w:val="16"/>
              </w:rPr>
              <w:t>84</w:t>
            </w:r>
          </w:p>
        </w:tc>
        <w:tc>
          <w:tcPr>
            <w:tcW w:type="dxa" w:w="1512"/>
          </w:tcPr>
          <w:p>
            <w:pPr>
              <w:spacing w:line="240" w:lineRule="auto" w:after="0" w:before="0"/>
            </w:pPr>
            <w:r/>
            <w:r>
              <w:rPr>
                <w:sz w:val="16"/>
              </w:rPr>
              <w:t>436</w:t>
            </w:r>
          </w:p>
        </w:tc>
        <w:tc>
          <w:tcPr>
            <w:tcW w:type="dxa" w:w="1512"/>
          </w:tcPr>
          <w:p>
            <w:pPr>
              <w:spacing w:line="240" w:lineRule="auto" w:after="0" w:before="0"/>
            </w:pPr>
            <w:r/>
            <w:r>
              <w:rPr>
                <w:sz w:val="16"/>
              </w:rPr>
              <w:t>17</w:t>
            </w:r>
          </w:p>
        </w:tc>
        <w:tc>
          <w:tcPr>
            <w:tcW w:type="dxa" w:w="1512"/>
          </w:tcPr>
          <w:p>
            <w:pPr>
              <w:spacing w:line="240" w:lineRule="auto" w:after="0" w:before="0"/>
            </w:pPr>
            <w:r/>
            <w:r>
              <w:rPr>
                <w:sz w:val="16"/>
              </w:rPr>
              <w:t>88</w:t>
            </w:r>
          </w:p>
        </w:tc>
        <w:tc>
          <w:tcPr>
            <w:tcW w:type="dxa" w:w="1512"/>
          </w:tcPr>
          <w:p>
            <w:pPr>
              <w:spacing w:line="240" w:lineRule="auto" w:after="0" w:before="0"/>
            </w:pPr>
            <w:r/>
            <w:r>
              <w:rPr>
                <w:sz w:val="16"/>
              </w:rPr>
              <w:t>1</w:t>
            </w:r>
          </w:p>
        </w:tc>
      </w:tr>
      <w:tr>
        <w:trPr>
          <w:cantSplit/>
        </w:trPr>
        <w:tc>
          <w:tcPr>
            <w:tcW w:type="dxa" w:w="1512"/>
          </w:tcPr>
          <w:p>
            <w:pPr>
              <w:spacing w:line="240" w:lineRule="auto" w:after="0" w:before="0"/>
            </w:pPr>
            <w:r/>
            <w:r>
              <w:rPr>
                <w:sz w:val="16"/>
              </w:rPr>
              <w:t>hypokalemia</w:t>
            </w:r>
          </w:p>
        </w:tc>
        <w:tc>
          <w:tcPr>
            <w:tcW w:type="dxa" w:w="1512"/>
          </w:tcPr>
          <w:p>
            <w:pPr>
              <w:spacing w:line="240" w:lineRule="auto" w:after="0" w:before="0"/>
            </w:pPr>
            <w:r/>
            <w:r>
              <w:rPr>
                <w:sz w:val="16"/>
              </w:rPr>
              <w:t>67</w:t>
            </w:r>
          </w:p>
        </w:tc>
        <w:tc>
          <w:tcPr>
            <w:tcW w:type="dxa" w:w="1512"/>
          </w:tcPr>
          <w:p>
            <w:pPr>
              <w:spacing w:line="240" w:lineRule="auto" w:after="0" w:before="0"/>
            </w:pPr>
            <w:r/>
            <w:r>
              <w:rPr>
                <w:sz w:val="16"/>
              </w:rPr>
              <w:t>259</w:t>
            </w:r>
          </w:p>
        </w:tc>
        <w:tc>
          <w:tcPr>
            <w:tcW w:type="dxa" w:w="1512"/>
          </w:tcPr>
          <w:p>
            <w:pPr>
              <w:spacing w:line="240" w:lineRule="auto" w:after="0" w:before="0"/>
            </w:pPr>
            <w:r/>
            <w:r>
              <w:rPr>
                <w:sz w:val="16"/>
              </w:rPr>
              <w:t>13</w:t>
            </w:r>
          </w:p>
        </w:tc>
        <w:tc>
          <w:tcPr>
            <w:tcW w:type="dxa" w:w="1512"/>
          </w:tcPr>
          <w:p>
            <w:pPr>
              <w:spacing w:line="240" w:lineRule="auto" w:after="0" w:before="0"/>
            </w:pPr>
            <w:r/>
            <w:r>
              <w:rPr>
                <w:sz w:val="16"/>
              </w:rPr>
              <w:t>49</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heart_failure</w:t>
            </w:r>
          </w:p>
        </w:tc>
        <w:tc>
          <w:tcPr>
            <w:tcW w:type="dxa" w:w="1512"/>
          </w:tcPr>
          <w:p>
            <w:pPr>
              <w:spacing w:line="240" w:lineRule="auto" w:after="0" w:before="0"/>
            </w:pPr>
            <w:r/>
            <w:r>
              <w:rPr>
                <w:sz w:val="16"/>
              </w:rPr>
              <w:t>58</w:t>
            </w:r>
          </w:p>
        </w:tc>
        <w:tc>
          <w:tcPr>
            <w:tcW w:type="dxa" w:w="1512"/>
          </w:tcPr>
          <w:p>
            <w:pPr>
              <w:spacing w:line="240" w:lineRule="auto" w:after="0" w:before="0"/>
            </w:pPr>
            <w:r/>
            <w:r>
              <w:rPr>
                <w:sz w:val="16"/>
              </w:rPr>
              <w:t>168</w:t>
            </w:r>
          </w:p>
        </w:tc>
        <w:tc>
          <w:tcPr>
            <w:tcW w:type="dxa" w:w="1512"/>
          </w:tcPr>
          <w:p>
            <w:pPr>
              <w:spacing w:line="240" w:lineRule="auto" w:after="0" w:before="0"/>
            </w:pPr>
            <w:r/>
            <w:r>
              <w:rPr>
                <w:sz w:val="16"/>
              </w:rPr>
              <w:t>29</w:t>
            </w:r>
          </w:p>
        </w:tc>
        <w:tc>
          <w:tcPr>
            <w:tcW w:type="dxa" w:w="1512"/>
          </w:tcPr>
          <w:p>
            <w:pPr>
              <w:spacing w:line="240" w:lineRule="auto" w:after="0" w:before="0"/>
            </w:pPr>
            <w:r/>
            <w:r>
              <w:rPr>
                <w:sz w:val="16"/>
              </w:rPr>
              <w:t>83</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leukocytosis</w:t>
            </w:r>
          </w:p>
        </w:tc>
        <w:tc>
          <w:tcPr>
            <w:tcW w:type="dxa" w:w="1512"/>
          </w:tcPr>
          <w:p>
            <w:pPr>
              <w:spacing w:line="240" w:lineRule="auto" w:after="0" w:before="0"/>
            </w:pPr>
            <w:r/>
            <w:r>
              <w:rPr>
                <w:sz w:val="16"/>
              </w:rPr>
              <w:t>57</w:t>
            </w:r>
          </w:p>
        </w:tc>
        <w:tc>
          <w:tcPr>
            <w:tcW w:type="dxa" w:w="1512"/>
          </w:tcPr>
          <w:p>
            <w:pPr>
              <w:spacing w:line="240" w:lineRule="auto" w:after="0" w:before="0"/>
            </w:pPr>
            <w:r/>
            <w:r>
              <w:rPr>
                <w:sz w:val="16"/>
              </w:rPr>
              <w:t>597</w:t>
            </w:r>
          </w:p>
        </w:tc>
        <w:tc>
          <w:tcPr>
            <w:tcW w:type="dxa" w:w="1512"/>
          </w:tcPr>
          <w:p>
            <w:pPr>
              <w:spacing w:line="240" w:lineRule="auto" w:after="0" w:before="0"/>
            </w:pPr>
            <w:r/>
            <w:r>
              <w:rPr>
                <w:sz w:val="16"/>
              </w:rPr>
              <w:t>4</w:t>
            </w:r>
          </w:p>
        </w:tc>
        <w:tc>
          <w:tcPr>
            <w:tcW w:type="dxa" w:w="1512"/>
          </w:tcPr>
          <w:p>
            <w:pPr>
              <w:spacing w:line="240" w:lineRule="auto" w:after="0" w:before="0"/>
            </w:pPr>
            <w:r/>
            <w:r>
              <w:rPr>
                <w:sz w:val="16"/>
              </w:rPr>
              <w:t>40</w:t>
            </w:r>
          </w:p>
        </w:tc>
        <w:tc>
          <w:tcPr>
            <w:tcW w:type="dxa" w:w="1512"/>
          </w:tcPr>
          <w:p>
            <w:pPr>
              <w:spacing w:line="240" w:lineRule="auto" w:after="0" w:before="0"/>
            </w:pPr>
            <w:r/>
            <w:r>
              <w:rPr>
                <w:sz w:val="16"/>
              </w:rPr>
              <w:t>2</w:t>
            </w:r>
          </w:p>
        </w:tc>
      </w:tr>
      <w:tr>
        <w:trPr>
          <w:cantSplit/>
        </w:trPr>
        <w:tc>
          <w:tcPr>
            <w:tcW w:type="dxa" w:w="1512"/>
          </w:tcPr>
          <w:p>
            <w:pPr>
              <w:spacing w:line="240" w:lineRule="auto" w:after="0" w:before="0"/>
            </w:pPr>
            <w:r/>
            <w:r>
              <w:rPr>
                <w:sz w:val="16"/>
              </w:rPr>
              <w:t>hyponatremia</w:t>
            </w:r>
          </w:p>
        </w:tc>
        <w:tc>
          <w:tcPr>
            <w:tcW w:type="dxa" w:w="1512"/>
          </w:tcPr>
          <w:p>
            <w:pPr>
              <w:spacing w:line="240" w:lineRule="auto" w:after="0" w:before="0"/>
            </w:pPr>
            <w:r/>
            <w:r>
              <w:rPr>
                <w:sz w:val="16"/>
              </w:rPr>
              <w:t>52</w:t>
            </w:r>
          </w:p>
        </w:tc>
        <w:tc>
          <w:tcPr>
            <w:tcW w:type="dxa" w:w="1512"/>
          </w:tcPr>
          <w:p>
            <w:pPr>
              <w:spacing w:line="240" w:lineRule="auto" w:after="0" w:before="0"/>
            </w:pPr>
            <w:r/>
            <w:r>
              <w:rPr>
                <w:sz w:val="16"/>
              </w:rPr>
              <w:t>246</w:t>
            </w:r>
          </w:p>
        </w:tc>
        <w:tc>
          <w:tcPr>
            <w:tcW w:type="dxa" w:w="1512"/>
          </w:tcPr>
          <w:p>
            <w:pPr>
              <w:spacing w:line="240" w:lineRule="auto" w:after="0" w:before="0"/>
            </w:pPr>
            <w:r/>
            <w:r>
              <w:rPr>
                <w:sz w:val="16"/>
              </w:rPr>
              <w:t>13</w:t>
            </w:r>
          </w:p>
        </w:tc>
        <w:tc>
          <w:tcPr>
            <w:tcW w:type="dxa" w:w="1512"/>
          </w:tcPr>
          <w:p>
            <w:pPr>
              <w:spacing w:line="240" w:lineRule="auto" w:after="0" w:before="0"/>
            </w:pPr>
            <w:r/>
            <w:r>
              <w:rPr>
                <w:sz w:val="16"/>
              </w:rPr>
              <w:t>63</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metabolic_acidosis</w:t>
            </w:r>
          </w:p>
        </w:tc>
        <w:tc>
          <w:tcPr>
            <w:tcW w:type="dxa" w:w="1512"/>
          </w:tcPr>
          <w:p>
            <w:pPr>
              <w:spacing w:line="240" w:lineRule="auto" w:after="0" w:before="0"/>
            </w:pPr>
            <w:r/>
            <w:r>
              <w:rPr>
                <w:sz w:val="16"/>
              </w:rPr>
              <w:t>51</w:t>
            </w:r>
          </w:p>
        </w:tc>
        <w:tc>
          <w:tcPr>
            <w:tcW w:type="dxa" w:w="1512"/>
          </w:tcPr>
          <w:p>
            <w:pPr>
              <w:spacing w:line="240" w:lineRule="auto" w:after="0" w:before="0"/>
            </w:pPr>
            <w:r/>
            <w:r>
              <w:rPr>
                <w:sz w:val="16"/>
              </w:rPr>
              <w:t>444</w:t>
            </w:r>
          </w:p>
        </w:tc>
        <w:tc>
          <w:tcPr>
            <w:tcW w:type="dxa" w:w="1512"/>
          </w:tcPr>
          <w:p>
            <w:pPr>
              <w:spacing w:line="240" w:lineRule="auto" w:after="0" w:before="0"/>
            </w:pPr>
            <w:r/>
            <w:r>
              <w:rPr>
                <w:sz w:val="16"/>
              </w:rPr>
              <w:t>6</w:t>
            </w:r>
          </w:p>
        </w:tc>
        <w:tc>
          <w:tcPr>
            <w:tcW w:type="dxa" w:w="1512"/>
          </w:tcPr>
          <w:p>
            <w:pPr>
              <w:spacing w:line="240" w:lineRule="auto" w:after="0" w:before="0"/>
            </w:pPr>
            <w:r/>
            <w:r>
              <w:rPr>
                <w:sz w:val="16"/>
              </w:rPr>
              <w:t>55</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hyperkalemia</w:t>
            </w:r>
          </w:p>
        </w:tc>
        <w:tc>
          <w:tcPr>
            <w:tcW w:type="dxa" w:w="1512"/>
          </w:tcPr>
          <w:p>
            <w:pPr>
              <w:spacing w:line="240" w:lineRule="auto" w:after="0" w:before="0"/>
            </w:pPr>
            <w:r/>
            <w:r>
              <w:rPr>
                <w:sz w:val="16"/>
              </w:rPr>
              <w:t>49</w:t>
            </w:r>
          </w:p>
        </w:tc>
        <w:tc>
          <w:tcPr>
            <w:tcW w:type="dxa" w:w="1512"/>
          </w:tcPr>
          <w:p>
            <w:pPr>
              <w:spacing w:line="240" w:lineRule="auto" w:after="0" w:before="0"/>
            </w:pPr>
            <w:r/>
            <w:r>
              <w:rPr>
                <w:sz w:val="16"/>
              </w:rPr>
              <w:t>77</w:t>
            </w:r>
          </w:p>
        </w:tc>
        <w:tc>
          <w:tcPr>
            <w:tcW w:type="dxa" w:w="1512"/>
          </w:tcPr>
          <w:p>
            <w:pPr>
              <w:spacing w:line="240" w:lineRule="auto" w:after="0" w:before="0"/>
            </w:pPr>
            <w:r/>
            <w:r>
              <w:rPr>
                <w:sz w:val="16"/>
              </w:rPr>
              <w:t>31</w:t>
            </w:r>
          </w:p>
        </w:tc>
        <w:tc>
          <w:tcPr>
            <w:tcW w:type="dxa" w:w="1512"/>
          </w:tcPr>
          <w:p>
            <w:pPr>
              <w:spacing w:line="240" w:lineRule="auto" w:after="0" w:before="0"/>
            </w:pPr>
            <w:r/>
            <w:r>
              <w:rPr>
                <w:sz w:val="16"/>
              </w:rPr>
              <w:t>49</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thrombocytopenia</w:t>
            </w:r>
          </w:p>
        </w:tc>
        <w:tc>
          <w:tcPr>
            <w:tcW w:type="dxa" w:w="1512"/>
          </w:tcPr>
          <w:p>
            <w:pPr>
              <w:spacing w:line="240" w:lineRule="auto" w:after="0" w:before="0"/>
            </w:pPr>
            <w:r/>
            <w:r>
              <w:rPr>
                <w:sz w:val="16"/>
              </w:rPr>
              <w:t>40</w:t>
            </w:r>
          </w:p>
        </w:tc>
        <w:tc>
          <w:tcPr>
            <w:tcW w:type="dxa" w:w="1512"/>
          </w:tcPr>
          <w:p>
            <w:pPr>
              <w:spacing w:line="240" w:lineRule="auto" w:after="0" w:before="0"/>
            </w:pPr>
            <w:r/>
            <w:r>
              <w:rPr>
                <w:sz w:val="16"/>
              </w:rPr>
              <w:t>300</w:t>
            </w:r>
          </w:p>
        </w:tc>
        <w:tc>
          <w:tcPr>
            <w:tcW w:type="dxa" w:w="1512"/>
          </w:tcPr>
          <w:p>
            <w:pPr>
              <w:spacing w:line="240" w:lineRule="auto" w:after="0" w:before="0"/>
            </w:pPr>
            <w:r/>
            <w:r>
              <w:rPr>
                <w:sz w:val="16"/>
              </w:rPr>
              <w:t>9</w:t>
            </w:r>
          </w:p>
        </w:tc>
        <w:tc>
          <w:tcPr>
            <w:tcW w:type="dxa" w:w="1512"/>
          </w:tcPr>
          <w:p>
            <w:pPr>
              <w:spacing w:line="240" w:lineRule="auto" w:after="0" w:before="0"/>
            </w:pPr>
            <w:r/>
            <w:r>
              <w:rPr>
                <w:sz w:val="16"/>
              </w:rPr>
              <w:t>65</w:t>
            </w:r>
          </w:p>
        </w:tc>
        <w:tc>
          <w:tcPr>
            <w:tcW w:type="dxa" w:w="1512"/>
          </w:tcPr>
          <w:p>
            <w:pPr>
              <w:spacing w:line="240" w:lineRule="auto" w:after="0" w:before="0"/>
            </w:pPr>
            <w:r/>
            <w:r>
              <w:rPr>
                <w:sz w:val="16"/>
              </w:rPr>
              <w:t>2</w:t>
            </w:r>
          </w:p>
        </w:tc>
      </w:tr>
      <w:tr>
        <w:trPr>
          <w:cantSplit/>
        </w:trPr>
        <w:tc>
          <w:tcPr>
            <w:tcW w:type="dxa" w:w="1512"/>
          </w:tcPr>
          <w:p>
            <w:pPr>
              <w:spacing w:line="240" w:lineRule="auto" w:after="0" w:before="0"/>
            </w:pPr>
            <w:r/>
            <w:r>
              <w:rPr>
                <w:sz w:val="16"/>
              </w:rPr>
              <w:t>hypomagnesemia</w:t>
            </w:r>
          </w:p>
        </w:tc>
        <w:tc>
          <w:tcPr>
            <w:tcW w:type="dxa" w:w="1512"/>
          </w:tcPr>
          <w:p>
            <w:pPr>
              <w:spacing w:line="240" w:lineRule="auto" w:after="0" w:before="0"/>
            </w:pPr>
            <w:r/>
            <w:r>
              <w:rPr>
                <w:sz w:val="16"/>
              </w:rPr>
              <w:t>37</w:t>
            </w:r>
          </w:p>
        </w:tc>
        <w:tc>
          <w:tcPr>
            <w:tcW w:type="dxa" w:w="1512"/>
          </w:tcPr>
          <w:p>
            <w:pPr>
              <w:spacing w:line="240" w:lineRule="auto" w:after="0" w:before="0"/>
            </w:pPr>
            <w:r/>
            <w:r>
              <w:rPr>
                <w:sz w:val="16"/>
              </w:rPr>
              <w:t>161</w:t>
            </w:r>
          </w:p>
        </w:tc>
        <w:tc>
          <w:tcPr>
            <w:tcW w:type="dxa" w:w="1512"/>
          </w:tcPr>
          <w:p>
            <w:pPr>
              <w:spacing w:line="240" w:lineRule="auto" w:after="0" w:before="0"/>
            </w:pPr>
            <w:r/>
            <w:r>
              <w:rPr>
                <w:sz w:val="16"/>
              </w:rPr>
              <w:t>8</w:t>
            </w:r>
          </w:p>
        </w:tc>
        <w:tc>
          <w:tcPr>
            <w:tcW w:type="dxa" w:w="1512"/>
          </w:tcPr>
          <w:p>
            <w:pPr>
              <w:spacing w:line="240" w:lineRule="auto" w:after="0" w:before="0"/>
            </w:pPr>
            <w:r/>
            <w:r>
              <w:rPr>
                <w:sz w:val="16"/>
              </w:rPr>
              <w:t>35</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alcohol_withdrawal</w:t>
            </w:r>
          </w:p>
        </w:tc>
        <w:tc>
          <w:tcPr>
            <w:tcW w:type="dxa" w:w="1512"/>
          </w:tcPr>
          <w:p>
            <w:pPr>
              <w:spacing w:line="240" w:lineRule="auto" w:after="0" w:before="0"/>
            </w:pPr>
            <w:r/>
            <w:r>
              <w:rPr>
                <w:sz w:val="16"/>
              </w:rPr>
              <w:t>33</w:t>
            </w:r>
          </w:p>
        </w:tc>
        <w:tc>
          <w:tcPr>
            <w:tcW w:type="dxa" w:w="1512"/>
          </w:tcPr>
          <w:p>
            <w:pPr>
              <w:spacing w:line="240" w:lineRule="auto" w:after="0" w:before="0"/>
            </w:pPr>
            <w:r/>
            <w:r>
              <w:rPr>
                <w:sz w:val="16"/>
              </w:rPr>
              <w:t>90</w:t>
            </w:r>
          </w:p>
        </w:tc>
        <w:tc>
          <w:tcPr>
            <w:tcW w:type="dxa" w:w="1512"/>
          </w:tcPr>
          <w:p>
            <w:pPr>
              <w:spacing w:line="240" w:lineRule="auto" w:after="0" w:before="0"/>
            </w:pPr>
            <w:r/>
            <w:r>
              <w:rPr>
                <w:sz w:val="16"/>
              </w:rPr>
              <w:t>12</w:t>
            </w:r>
          </w:p>
        </w:tc>
        <w:tc>
          <w:tcPr>
            <w:tcW w:type="dxa" w:w="1512"/>
          </w:tcPr>
          <w:p>
            <w:pPr>
              <w:spacing w:line="240" w:lineRule="auto" w:after="0" w:before="0"/>
            </w:pPr>
            <w:r/>
            <w:r>
              <w:rPr>
                <w:sz w:val="16"/>
              </w:rPr>
              <w:t>33</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coagulopathy</w:t>
            </w:r>
          </w:p>
        </w:tc>
        <w:tc>
          <w:tcPr>
            <w:tcW w:type="dxa" w:w="1512"/>
          </w:tcPr>
          <w:p>
            <w:pPr>
              <w:spacing w:line="240" w:lineRule="auto" w:after="0" w:before="0"/>
            </w:pPr>
            <w:r/>
            <w:r>
              <w:rPr>
                <w:sz w:val="16"/>
              </w:rPr>
              <w:t>28</w:t>
            </w:r>
          </w:p>
        </w:tc>
        <w:tc>
          <w:tcPr>
            <w:tcW w:type="dxa" w:w="1512"/>
          </w:tcPr>
          <w:p>
            <w:pPr>
              <w:spacing w:line="240" w:lineRule="auto" w:after="0" w:before="0"/>
            </w:pPr>
            <w:r/>
            <w:r>
              <w:rPr>
                <w:sz w:val="16"/>
              </w:rPr>
              <w:t>119</w:t>
            </w:r>
          </w:p>
        </w:tc>
        <w:tc>
          <w:tcPr>
            <w:tcW w:type="dxa" w:w="1512"/>
          </w:tcPr>
          <w:p>
            <w:pPr>
              <w:spacing w:line="240" w:lineRule="auto" w:after="0" w:before="0"/>
            </w:pPr>
            <w:r/>
            <w:r>
              <w:rPr>
                <w:sz w:val="16"/>
              </w:rPr>
              <w:t>11</w:t>
            </w:r>
          </w:p>
        </w:tc>
        <w:tc>
          <w:tcPr>
            <w:tcW w:type="dxa" w:w="1512"/>
          </w:tcPr>
          <w:p>
            <w:pPr>
              <w:spacing w:line="240" w:lineRule="auto" w:after="0" w:before="0"/>
            </w:pPr>
            <w:r/>
            <w:r>
              <w:rPr>
                <w:sz w:val="16"/>
              </w:rPr>
              <w:t>46</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cirrhosis_liver_failure</w:t>
            </w:r>
          </w:p>
        </w:tc>
        <w:tc>
          <w:tcPr>
            <w:tcW w:type="dxa" w:w="1512"/>
          </w:tcPr>
          <w:p>
            <w:pPr>
              <w:spacing w:line="240" w:lineRule="auto" w:after="0" w:before="0"/>
            </w:pPr>
            <w:r/>
            <w:r>
              <w:rPr>
                <w:sz w:val="16"/>
              </w:rPr>
              <w:t>25</w:t>
            </w:r>
          </w:p>
        </w:tc>
        <w:tc>
          <w:tcPr>
            <w:tcW w:type="dxa" w:w="1512"/>
          </w:tcPr>
          <w:p>
            <w:pPr>
              <w:spacing w:line="240" w:lineRule="auto" w:after="0" w:before="0"/>
            </w:pPr>
            <w:r/>
            <w:r>
              <w:rPr>
                <w:sz w:val="16"/>
              </w:rPr>
              <w:t>187</w:t>
            </w:r>
          </w:p>
        </w:tc>
        <w:tc>
          <w:tcPr>
            <w:tcW w:type="dxa" w:w="1512"/>
          </w:tcPr>
          <w:p>
            <w:pPr>
              <w:spacing w:line="240" w:lineRule="auto" w:after="0" w:before="0"/>
            </w:pPr>
            <w:r/>
            <w:r>
              <w:rPr>
                <w:sz w:val="16"/>
              </w:rPr>
              <w:t>8</w:t>
            </w:r>
          </w:p>
        </w:tc>
        <w:tc>
          <w:tcPr>
            <w:tcW w:type="dxa" w:w="1512"/>
          </w:tcPr>
          <w:p>
            <w:pPr>
              <w:spacing w:line="240" w:lineRule="auto" w:after="0" w:before="0"/>
            </w:pPr>
            <w:r/>
            <w:r>
              <w:rPr>
                <w:sz w:val="16"/>
              </w:rPr>
              <w:t>60</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hypoglycemia</w:t>
            </w:r>
          </w:p>
        </w:tc>
        <w:tc>
          <w:tcPr>
            <w:tcW w:type="dxa" w:w="1512"/>
          </w:tcPr>
          <w:p>
            <w:pPr>
              <w:spacing w:line="240" w:lineRule="auto" w:after="0" w:before="0"/>
            </w:pPr>
            <w:r/>
            <w:r>
              <w:rPr>
                <w:sz w:val="16"/>
              </w:rPr>
              <w:t>21</w:t>
            </w:r>
          </w:p>
        </w:tc>
        <w:tc>
          <w:tcPr>
            <w:tcW w:type="dxa" w:w="1512"/>
          </w:tcPr>
          <w:p>
            <w:pPr>
              <w:spacing w:line="240" w:lineRule="auto" w:after="0" w:before="0"/>
            </w:pPr>
            <w:r/>
            <w:r>
              <w:rPr>
                <w:sz w:val="16"/>
              </w:rPr>
              <w:t>13</w:t>
            </w:r>
          </w:p>
        </w:tc>
        <w:tc>
          <w:tcPr>
            <w:tcW w:type="dxa" w:w="1512"/>
          </w:tcPr>
          <w:p>
            <w:pPr>
              <w:spacing w:line="240" w:lineRule="auto" w:after="0" w:before="0"/>
            </w:pPr>
            <w:r/>
            <w:r>
              <w:rPr>
                <w:sz w:val="16"/>
              </w:rPr>
              <w:t>38</w:t>
            </w:r>
          </w:p>
        </w:tc>
        <w:tc>
          <w:tcPr>
            <w:tcW w:type="dxa" w:w="1512"/>
          </w:tcPr>
          <w:p>
            <w:pPr>
              <w:spacing w:line="240" w:lineRule="auto" w:after="0" w:before="0"/>
            </w:pPr>
            <w:r/>
            <w:r>
              <w:rPr>
                <w:sz w:val="16"/>
              </w:rPr>
              <w:t>24</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lactic_acidosis</w:t>
            </w:r>
          </w:p>
        </w:tc>
        <w:tc>
          <w:tcPr>
            <w:tcW w:type="dxa" w:w="1512"/>
          </w:tcPr>
          <w:p>
            <w:pPr>
              <w:spacing w:line="240" w:lineRule="auto" w:after="0" w:before="0"/>
            </w:pPr>
            <w:r/>
            <w:r>
              <w:rPr>
                <w:sz w:val="16"/>
              </w:rPr>
              <w:t>19</w:t>
            </w:r>
          </w:p>
        </w:tc>
        <w:tc>
          <w:tcPr>
            <w:tcW w:type="dxa" w:w="1512"/>
          </w:tcPr>
          <w:p>
            <w:pPr>
              <w:spacing w:line="240" w:lineRule="auto" w:after="0" w:before="0"/>
            </w:pPr>
            <w:r/>
            <w:r>
              <w:rPr>
                <w:sz w:val="16"/>
              </w:rPr>
              <w:t>154</w:t>
            </w:r>
          </w:p>
        </w:tc>
        <w:tc>
          <w:tcPr>
            <w:tcW w:type="dxa" w:w="1512"/>
          </w:tcPr>
          <w:p>
            <w:pPr>
              <w:spacing w:line="240" w:lineRule="auto" w:after="0" w:before="0"/>
            </w:pPr>
            <w:r/>
            <w:r>
              <w:rPr>
                <w:sz w:val="16"/>
              </w:rPr>
              <w:t>8</w:t>
            </w:r>
          </w:p>
        </w:tc>
        <w:tc>
          <w:tcPr>
            <w:tcW w:type="dxa" w:w="1512"/>
          </w:tcPr>
          <w:p>
            <w:pPr>
              <w:spacing w:line="240" w:lineRule="auto" w:after="0" w:before="0"/>
            </w:pPr>
            <w:r/>
            <w:r>
              <w:rPr>
                <w:sz w:val="16"/>
              </w:rPr>
              <w:t>63</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acute_pancreatitis</w:t>
            </w:r>
          </w:p>
        </w:tc>
        <w:tc>
          <w:tcPr>
            <w:tcW w:type="dxa" w:w="1512"/>
          </w:tcPr>
          <w:p>
            <w:pPr>
              <w:spacing w:line="240" w:lineRule="auto" w:after="0" w:before="0"/>
            </w:pPr>
            <w:r/>
            <w:r>
              <w:rPr>
                <w:sz w:val="16"/>
              </w:rPr>
              <w:t>18</w:t>
            </w:r>
          </w:p>
        </w:tc>
        <w:tc>
          <w:tcPr>
            <w:tcW w:type="dxa" w:w="1512"/>
          </w:tcPr>
          <w:p>
            <w:pPr>
              <w:spacing w:line="240" w:lineRule="auto" w:after="0" w:before="0"/>
            </w:pPr>
            <w:r/>
            <w:r>
              <w:rPr>
                <w:sz w:val="16"/>
              </w:rPr>
              <w:t>54</w:t>
            </w:r>
          </w:p>
        </w:tc>
        <w:tc>
          <w:tcPr>
            <w:tcW w:type="dxa" w:w="1512"/>
          </w:tcPr>
          <w:p>
            <w:pPr>
              <w:spacing w:line="240" w:lineRule="auto" w:after="0" w:before="0"/>
            </w:pPr>
            <w:r/>
            <w:r>
              <w:rPr>
                <w:sz w:val="16"/>
              </w:rPr>
              <w:t>22</w:t>
            </w:r>
          </w:p>
        </w:tc>
        <w:tc>
          <w:tcPr>
            <w:tcW w:type="dxa" w:w="1512"/>
          </w:tcPr>
          <w:p>
            <w:pPr>
              <w:spacing w:line="240" w:lineRule="auto" w:after="0" w:before="0"/>
            </w:pPr>
            <w:r/>
            <w:r>
              <w:rPr>
                <w:sz w:val="16"/>
              </w:rPr>
              <w:t>67</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malnutrition</w:t>
            </w:r>
          </w:p>
        </w:tc>
        <w:tc>
          <w:tcPr>
            <w:tcW w:type="dxa" w:w="1512"/>
          </w:tcPr>
          <w:p>
            <w:pPr>
              <w:spacing w:line="240" w:lineRule="auto" w:after="0" w:before="0"/>
            </w:pPr>
            <w:r/>
            <w:r>
              <w:rPr>
                <w:sz w:val="16"/>
              </w:rPr>
              <w:t>16</w:t>
            </w:r>
          </w:p>
        </w:tc>
        <w:tc>
          <w:tcPr>
            <w:tcW w:type="dxa" w:w="1512"/>
          </w:tcPr>
          <w:p>
            <w:pPr>
              <w:spacing w:line="240" w:lineRule="auto" w:after="0" w:before="0"/>
            </w:pPr>
            <w:r/>
            <w:r>
              <w:rPr>
                <w:sz w:val="16"/>
              </w:rPr>
              <w:t>150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hypernatremia</w:t>
            </w:r>
          </w:p>
        </w:tc>
        <w:tc>
          <w:tcPr>
            <w:tcW w:type="dxa" w:w="1512"/>
          </w:tcPr>
          <w:p>
            <w:pPr>
              <w:spacing w:line="240" w:lineRule="auto" w:after="0" w:before="0"/>
            </w:pPr>
            <w:r/>
            <w:r>
              <w:rPr>
                <w:sz w:val="16"/>
              </w:rPr>
              <w:t>14</w:t>
            </w:r>
          </w:p>
        </w:tc>
        <w:tc>
          <w:tcPr>
            <w:tcW w:type="dxa" w:w="1512"/>
          </w:tcPr>
          <w:p>
            <w:pPr>
              <w:spacing w:line="240" w:lineRule="auto" w:after="0" w:before="0"/>
            </w:pPr>
            <w:r/>
            <w:r>
              <w:rPr>
                <w:sz w:val="16"/>
              </w:rPr>
              <w:t>49</w:t>
            </w:r>
          </w:p>
        </w:tc>
        <w:tc>
          <w:tcPr>
            <w:tcW w:type="dxa" w:w="1512"/>
          </w:tcPr>
          <w:p>
            <w:pPr>
              <w:spacing w:line="240" w:lineRule="auto" w:after="0" w:before="0"/>
            </w:pPr>
            <w:r/>
            <w:r>
              <w:rPr>
                <w:sz w:val="16"/>
              </w:rPr>
              <w:t>16</w:t>
            </w:r>
          </w:p>
        </w:tc>
        <w:tc>
          <w:tcPr>
            <w:tcW w:type="dxa" w:w="1512"/>
          </w:tcPr>
          <w:p>
            <w:pPr>
              <w:spacing w:line="240" w:lineRule="auto" w:after="0" w:before="0"/>
            </w:pPr>
            <w:r/>
            <w:r>
              <w:rPr>
                <w:sz w:val="16"/>
              </w:rPr>
              <w:t>57</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rhabdomyolysis</w:t>
            </w:r>
          </w:p>
        </w:tc>
        <w:tc>
          <w:tcPr>
            <w:tcW w:type="dxa" w:w="1512"/>
          </w:tcPr>
          <w:p>
            <w:pPr>
              <w:spacing w:line="240" w:lineRule="auto" w:after="0" w:before="0"/>
            </w:pPr>
            <w:r/>
            <w:r>
              <w:rPr>
                <w:sz w:val="16"/>
              </w:rPr>
              <w:t>11</w:t>
            </w:r>
          </w:p>
        </w:tc>
        <w:tc>
          <w:tcPr>
            <w:tcW w:type="dxa" w:w="1512"/>
          </w:tcPr>
          <w:p>
            <w:pPr>
              <w:spacing w:line="240" w:lineRule="auto" w:after="0" w:before="0"/>
            </w:pPr>
            <w:r/>
            <w:r>
              <w:rPr>
                <w:sz w:val="16"/>
              </w:rPr>
              <w:t>43</w:t>
            </w:r>
          </w:p>
        </w:tc>
        <w:tc>
          <w:tcPr>
            <w:tcW w:type="dxa" w:w="1512"/>
          </w:tcPr>
          <w:p>
            <w:pPr>
              <w:spacing w:line="240" w:lineRule="auto" w:after="0" w:before="0"/>
            </w:pPr>
            <w:r/>
            <w:r>
              <w:rPr>
                <w:sz w:val="16"/>
              </w:rPr>
              <w:t>14</w:t>
            </w:r>
          </w:p>
        </w:tc>
        <w:tc>
          <w:tcPr>
            <w:tcW w:type="dxa" w:w="1512"/>
          </w:tcPr>
          <w:p>
            <w:pPr>
              <w:spacing w:line="240" w:lineRule="auto" w:after="0" w:before="0"/>
            </w:pPr>
            <w:r/>
            <w:r>
              <w:rPr>
                <w:sz w:val="16"/>
              </w:rPr>
              <w:t>55</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hypocalcemia</w:t>
            </w:r>
          </w:p>
        </w:tc>
        <w:tc>
          <w:tcPr>
            <w:tcW w:type="dxa" w:w="1512"/>
          </w:tcPr>
          <w:p>
            <w:pPr>
              <w:spacing w:line="240" w:lineRule="auto" w:after="0" w:before="0"/>
            </w:pPr>
            <w:r/>
            <w:r>
              <w:rPr>
                <w:sz w:val="16"/>
              </w:rPr>
              <w:t>10</w:t>
            </w:r>
          </w:p>
        </w:tc>
        <w:tc>
          <w:tcPr>
            <w:tcW w:type="dxa" w:w="1512"/>
          </w:tcPr>
          <w:p>
            <w:pPr>
              <w:spacing w:line="240" w:lineRule="auto" w:after="0" w:before="0"/>
            </w:pPr>
            <w:r/>
            <w:r>
              <w:rPr>
                <w:sz w:val="16"/>
              </w:rPr>
              <w:t>359</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hypothyroidism</w:t>
            </w:r>
          </w:p>
        </w:tc>
        <w:tc>
          <w:tcPr>
            <w:tcW w:type="dxa" w:w="1512"/>
          </w:tcPr>
          <w:p>
            <w:pPr>
              <w:spacing w:line="240" w:lineRule="auto" w:after="0" w:before="0"/>
            </w:pPr>
            <w:r/>
            <w:r>
              <w:rPr>
                <w:sz w:val="16"/>
              </w:rPr>
              <w:t>10</w:t>
            </w:r>
          </w:p>
        </w:tc>
        <w:tc>
          <w:tcPr>
            <w:tcW w:type="dxa" w:w="1512"/>
          </w:tcPr>
          <w:p>
            <w:pPr>
              <w:spacing w:line="240" w:lineRule="auto" w:after="0" w:before="0"/>
            </w:pPr>
            <w:r/>
            <w:r>
              <w:rPr>
                <w:sz w:val="16"/>
              </w:rPr>
              <w:t>26</w:t>
            </w:r>
          </w:p>
        </w:tc>
        <w:tc>
          <w:tcPr>
            <w:tcW w:type="dxa" w:w="1512"/>
          </w:tcPr>
          <w:p>
            <w:pPr>
              <w:spacing w:line="240" w:lineRule="auto" w:after="0" w:before="0"/>
            </w:pPr>
            <w:r/>
            <w:r>
              <w:rPr>
                <w:sz w:val="16"/>
              </w:rPr>
              <w:t>12</w:t>
            </w:r>
          </w:p>
        </w:tc>
        <w:tc>
          <w:tcPr>
            <w:tcW w:type="dxa" w:w="1512"/>
          </w:tcPr>
          <w:p>
            <w:pPr>
              <w:spacing w:line="240" w:lineRule="auto" w:after="0" w:before="0"/>
            </w:pPr>
            <w:r/>
            <w:r>
              <w:rPr>
                <w:sz w:val="16"/>
              </w:rPr>
              <w:t>30</w:t>
            </w:r>
          </w:p>
        </w:tc>
        <w:tc>
          <w:tcPr>
            <w:tcW w:type="dxa" w:w="1512"/>
          </w:tcPr>
          <w:p>
            <w:pPr>
              <w:spacing w:line="240" w:lineRule="auto" w:after="0" w:before="0"/>
            </w:pPr>
            <w:r/>
            <w:r>
              <w:rPr>
                <w:sz w:val="16"/>
              </w:rPr>
              <w:t>0</w:t>
            </w:r>
          </w:p>
        </w:tc>
      </w:tr>
    </w:tbl>
    <w:p/>
    <w:p>
      <w:r>
        <w:t>Interpretation: PPV against an admission problem list is a lower bound (uncoded but present conditions count as false positives); it is reported to quantify alert burden, not accuracy.</w:t>
      </w:r>
    </w:p>
    <w:p>
      <w:pPr>
        <w:pStyle w:val="Heading2"/>
      </w:pPr>
      <w:r>
        <w:rPr>
          <w:rFonts w:ascii="Times New Roman" w:hAnsi="Times New Roman" w:eastAsia="Times New Roman" w:cs="Times New Roman"/>
          <w:b/>
          <w:i w:val="0"/>
          <w:color w:val="000000"/>
        </w:rPr>
        <w:t>Criterion-supported precision at k = 5 (addendum 2026-10-26)</w:t>
      </w:r>
    </w:p>
    <w:p>
      <w:r>
        <w:t>Of 10,380 label-group assertions in the top-5, 1,479 (14.2%) are on the problem list (= precision@5). Of the remaining 8,901: 5,684 (54.8% of all assertions) satisfy the group's fixed laboratory criterion in the same panel (laboratory-supported but uncoded), 1,309 (12.6%) do not satisfy it (criterion-negative: the closest thing to a verified false positive without a clinician), and 1,908 (18.4%) belong to groups without a single-analyte criterion or lack the criterion analyte.</w:t>
      </w:r>
    </w:p>
    <w:p>
      <w:r>
        <w:t>Upper-bound precision (coded OR criterion-positive) = 69.0%; lower bound = 14.2%; criterion-negative share = 12.6%.</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cantSplit/>
          <w:tblHeader/>
        </w:trPr>
        <w:tc>
          <w:tcPr>
            <w:tcW w:type="dxa" w:w="1512"/>
            <w:shd w:val="clear" w:fill="F2F2F2"/>
          </w:tcPr>
          <w:p>
            <w:pPr>
              <w:spacing w:line="240" w:lineRule="auto" w:after="0" w:before="0"/>
            </w:pPr>
            <w:r>
              <w:rPr>
                <w:b/>
              </w:rPr>
            </w:r>
            <w:r>
              <w:rPr>
                <w:b/>
                <w:sz w:val="16"/>
              </w:rPr>
              <w:t>group</w:t>
            </w:r>
          </w:p>
        </w:tc>
        <w:tc>
          <w:tcPr>
            <w:tcW w:type="dxa" w:w="1512"/>
            <w:shd w:val="clear" w:fill="F2F2F2"/>
          </w:tcPr>
          <w:p>
            <w:pPr>
              <w:spacing w:line="240" w:lineRule="auto" w:after="0" w:before="0"/>
            </w:pPr>
            <w:r>
              <w:rPr>
                <w:b/>
              </w:rPr>
            </w:r>
            <w:r>
              <w:rPr>
                <w:b/>
                <w:sz w:val="16"/>
              </w:rPr>
              <w:t>asserted@5</w:t>
            </w:r>
          </w:p>
        </w:tc>
        <w:tc>
          <w:tcPr>
            <w:tcW w:type="dxa" w:w="1512"/>
            <w:shd w:val="clear" w:fill="F2F2F2"/>
          </w:tcPr>
          <w:p>
            <w:pPr>
              <w:spacing w:line="240" w:lineRule="auto" w:after="0" w:before="0"/>
            </w:pPr>
            <w:r>
              <w:rPr>
                <w:b/>
              </w:rPr>
            </w:r>
            <w:r>
              <w:rPr>
                <w:b/>
                <w:sz w:val="16"/>
              </w:rPr>
              <w:t>coded</w:t>
            </w:r>
          </w:p>
        </w:tc>
        <w:tc>
          <w:tcPr>
            <w:tcW w:type="dxa" w:w="1512"/>
            <w:shd w:val="clear" w:fill="F2F2F2"/>
          </w:tcPr>
          <w:p>
            <w:pPr>
              <w:spacing w:line="240" w:lineRule="auto" w:after="0" w:before="0"/>
            </w:pPr>
            <w:r>
              <w:rPr>
                <w:b/>
              </w:rPr>
            </w:r>
            <w:r>
              <w:rPr>
                <w:b/>
                <w:sz w:val="16"/>
              </w:rPr>
              <w:t>uncoded, criterion-positive</w:t>
            </w:r>
          </w:p>
        </w:tc>
        <w:tc>
          <w:tcPr>
            <w:tcW w:type="dxa" w:w="1512"/>
            <w:shd w:val="clear" w:fill="F2F2F2"/>
          </w:tcPr>
          <w:p>
            <w:pPr>
              <w:spacing w:line="240" w:lineRule="auto" w:after="0" w:before="0"/>
            </w:pPr>
            <w:r>
              <w:rPr>
                <w:b/>
              </w:rPr>
            </w:r>
            <w:r>
              <w:rPr>
                <w:b/>
                <w:sz w:val="16"/>
              </w:rPr>
              <w:t>uncoded, criterion-negative</w:t>
            </w:r>
          </w:p>
        </w:tc>
        <w:tc>
          <w:tcPr>
            <w:tcW w:type="dxa" w:w="1512"/>
            <w:shd w:val="clear" w:fill="F2F2F2"/>
          </w:tcPr>
          <w:p>
            <w:pPr>
              <w:spacing w:line="240" w:lineRule="auto" w:after="0" w:before="0"/>
            </w:pPr>
            <w:r>
              <w:rPr>
                <w:b/>
              </w:rPr>
            </w:r>
            <w:r>
              <w:rPr>
                <w:b/>
                <w:sz w:val="16"/>
              </w:rPr>
              <w:t>no criterion / analyte</w:t>
            </w:r>
          </w:p>
        </w:tc>
      </w:tr>
      <w:tr>
        <w:trPr>
          <w:cantSplit/>
        </w:trPr>
        <w:tc>
          <w:tcPr>
            <w:tcW w:type="dxa" w:w="1512"/>
          </w:tcPr>
          <w:p>
            <w:pPr>
              <w:spacing w:line="240" w:lineRule="auto" w:after="0" w:before="0"/>
            </w:pPr>
            <w:r/>
            <w:r>
              <w:rPr>
                <w:sz w:val="16"/>
              </w:rPr>
              <w:t>anemia</w:t>
            </w:r>
          </w:p>
        </w:tc>
        <w:tc>
          <w:tcPr>
            <w:tcW w:type="dxa" w:w="1512"/>
          </w:tcPr>
          <w:p>
            <w:pPr>
              <w:spacing w:line="240" w:lineRule="auto" w:after="0" w:before="0"/>
            </w:pPr>
            <w:r/>
            <w:r>
              <w:rPr>
                <w:sz w:val="16"/>
              </w:rPr>
              <w:t>1141</w:t>
            </w:r>
          </w:p>
        </w:tc>
        <w:tc>
          <w:tcPr>
            <w:tcW w:type="dxa" w:w="1512"/>
          </w:tcPr>
          <w:p>
            <w:pPr>
              <w:spacing w:line="240" w:lineRule="auto" w:after="0" w:before="0"/>
            </w:pPr>
            <w:r/>
            <w:r>
              <w:rPr>
                <w:sz w:val="16"/>
              </w:rPr>
              <w:t>122</w:t>
            </w:r>
          </w:p>
        </w:tc>
        <w:tc>
          <w:tcPr>
            <w:tcW w:type="dxa" w:w="1512"/>
          </w:tcPr>
          <w:p>
            <w:pPr>
              <w:spacing w:line="240" w:lineRule="auto" w:after="0" w:before="0"/>
            </w:pPr>
            <w:r/>
            <w:r>
              <w:rPr>
                <w:sz w:val="16"/>
              </w:rPr>
              <w:t>961</w:t>
            </w:r>
          </w:p>
        </w:tc>
        <w:tc>
          <w:tcPr>
            <w:tcW w:type="dxa" w:w="1512"/>
          </w:tcPr>
          <w:p>
            <w:pPr>
              <w:spacing w:line="240" w:lineRule="auto" w:after="0" w:before="0"/>
            </w:pPr>
            <w:r/>
            <w:r>
              <w:rPr>
                <w:sz w:val="16"/>
              </w:rPr>
              <w:t>58</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gi_bleeding</w:t>
            </w:r>
          </w:p>
        </w:tc>
        <w:tc>
          <w:tcPr>
            <w:tcW w:type="dxa" w:w="1512"/>
          </w:tcPr>
          <w:p>
            <w:pPr>
              <w:spacing w:line="240" w:lineRule="auto" w:after="0" w:before="0"/>
            </w:pPr>
            <w:r/>
            <w:r>
              <w:rPr>
                <w:sz w:val="16"/>
              </w:rPr>
              <w:t>1123</w:t>
            </w:r>
          </w:p>
        </w:tc>
        <w:tc>
          <w:tcPr>
            <w:tcW w:type="dxa" w:w="1512"/>
          </w:tcPr>
          <w:p>
            <w:pPr>
              <w:spacing w:line="240" w:lineRule="auto" w:after="0" w:before="0"/>
            </w:pPr>
            <w:r/>
            <w:r>
              <w:rPr>
                <w:sz w:val="16"/>
              </w:rPr>
              <w:t>113</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1010</w:t>
            </w:r>
          </w:p>
        </w:tc>
      </w:tr>
      <w:tr>
        <w:trPr>
          <w:cantSplit/>
        </w:trPr>
        <w:tc>
          <w:tcPr>
            <w:tcW w:type="dxa" w:w="1512"/>
          </w:tcPr>
          <w:p>
            <w:pPr>
              <w:spacing w:line="240" w:lineRule="auto" w:after="0" w:before="0"/>
            </w:pPr>
            <w:r/>
            <w:r>
              <w:rPr>
                <w:sz w:val="16"/>
              </w:rPr>
              <w:t>renal_impairment</w:t>
            </w:r>
          </w:p>
        </w:tc>
        <w:tc>
          <w:tcPr>
            <w:tcW w:type="dxa" w:w="1512"/>
          </w:tcPr>
          <w:p>
            <w:pPr>
              <w:spacing w:line="240" w:lineRule="auto" w:after="0" w:before="0"/>
            </w:pPr>
            <w:r/>
            <w:r>
              <w:rPr>
                <w:sz w:val="16"/>
              </w:rPr>
              <w:t>1066</w:t>
            </w:r>
          </w:p>
        </w:tc>
        <w:tc>
          <w:tcPr>
            <w:tcW w:type="dxa" w:w="1512"/>
          </w:tcPr>
          <w:p>
            <w:pPr>
              <w:spacing w:line="240" w:lineRule="auto" w:after="0" w:before="0"/>
            </w:pPr>
            <w:r/>
            <w:r>
              <w:rPr>
                <w:sz w:val="16"/>
              </w:rPr>
              <w:t>265</w:t>
            </w:r>
          </w:p>
        </w:tc>
        <w:tc>
          <w:tcPr>
            <w:tcW w:type="dxa" w:w="1512"/>
          </w:tcPr>
          <w:p>
            <w:pPr>
              <w:spacing w:line="240" w:lineRule="auto" w:after="0" w:before="0"/>
            </w:pPr>
            <w:r/>
            <w:r>
              <w:rPr>
                <w:sz w:val="16"/>
              </w:rPr>
              <w:t>541</w:t>
            </w:r>
          </w:p>
        </w:tc>
        <w:tc>
          <w:tcPr>
            <w:tcW w:type="dxa" w:w="1512"/>
          </w:tcPr>
          <w:p>
            <w:pPr>
              <w:spacing w:line="240" w:lineRule="auto" w:after="0" w:before="0"/>
            </w:pPr>
            <w:r/>
            <w:r>
              <w:rPr>
                <w:sz w:val="16"/>
              </w:rPr>
              <w:t>260</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acute_kidney_injury</w:t>
            </w:r>
          </w:p>
        </w:tc>
        <w:tc>
          <w:tcPr>
            <w:tcW w:type="dxa" w:w="1512"/>
          </w:tcPr>
          <w:p>
            <w:pPr>
              <w:spacing w:line="240" w:lineRule="auto" w:after="0" w:before="0"/>
            </w:pPr>
            <w:r/>
            <w:r>
              <w:rPr>
                <w:sz w:val="16"/>
              </w:rPr>
              <w:t>947</w:t>
            </w:r>
          </w:p>
        </w:tc>
        <w:tc>
          <w:tcPr>
            <w:tcW w:type="dxa" w:w="1512"/>
          </w:tcPr>
          <w:p>
            <w:pPr>
              <w:spacing w:line="240" w:lineRule="auto" w:after="0" w:before="0"/>
            </w:pPr>
            <w:r/>
            <w:r>
              <w:rPr>
                <w:sz w:val="16"/>
              </w:rPr>
              <w:t>169</w:t>
            </w:r>
          </w:p>
        </w:tc>
        <w:tc>
          <w:tcPr>
            <w:tcW w:type="dxa" w:w="1512"/>
          </w:tcPr>
          <w:p>
            <w:pPr>
              <w:spacing w:line="240" w:lineRule="auto" w:after="0" w:before="0"/>
            </w:pPr>
            <w:r/>
            <w:r>
              <w:rPr>
                <w:sz w:val="16"/>
              </w:rPr>
              <w:t>556</w:t>
            </w:r>
          </w:p>
        </w:tc>
        <w:tc>
          <w:tcPr>
            <w:tcW w:type="dxa" w:w="1512"/>
          </w:tcPr>
          <w:p>
            <w:pPr>
              <w:spacing w:line="240" w:lineRule="auto" w:after="0" w:before="0"/>
            </w:pPr>
            <w:r/>
            <w:r>
              <w:rPr>
                <w:sz w:val="16"/>
              </w:rPr>
              <w:t>222</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diabetes</w:t>
            </w:r>
          </w:p>
        </w:tc>
        <w:tc>
          <w:tcPr>
            <w:tcW w:type="dxa" w:w="1512"/>
          </w:tcPr>
          <w:p>
            <w:pPr>
              <w:spacing w:line="240" w:lineRule="auto" w:after="0" w:before="0"/>
            </w:pPr>
            <w:r/>
            <w:r>
              <w:rPr>
                <w:sz w:val="16"/>
              </w:rPr>
              <w:t>611</w:t>
            </w:r>
          </w:p>
        </w:tc>
        <w:tc>
          <w:tcPr>
            <w:tcW w:type="dxa" w:w="1512"/>
          </w:tcPr>
          <w:p>
            <w:pPr>
              <w:spacing w:line="240" w:lineRule="auto" w:after="0" w:before="0"/>
            </w:pPr>
            <w:r/>
            <w:r>
              <w:rPr>
                <w:sz w:val="16"/>
              </w:rPr>
              <w:t>111</w:t>
            </w:r>
          </w:p>
        </w:tc>
        <w:tc>
          <w:tcPr>
            <w:tcW w:type="dxa" w:w="1512"/>
          </w:tcPr>
          <w:p>
            <w:pPr>
              <w:spacing w:line="240" w:lineRule="auto" w:after="0" w:before="0"/>
            </w:pPr>
            <w:r/>
            <w:r>
              <w:rPr>
                <w:sz w:val="16"/>
              </w:rPr>
              <w:t>201</w:t>
            </w:r>
          </w:p>
        </w:tc>
        <w:tc>
          <w:tcPr>
            <w:tcW w:type="dxa" w:w="1512"/>
          </w:tcPr>
          <w:p>
            <w:pPr>
              <w:spacing w:line="240" w:lineRule="auto" w:after="0" w:before="0"/>
            </w:pPr>
            <w:r/>
            <w:r>
              <w:rPr>
                <w:sz w:val="16"/>
              </w:rPr>
              <w:t>299</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hyperglycemia</w:t>
            </w:r>
          </w:p>
        </w:tc>
        <w:tc>
          <w:tcPr>
            <w:tcW w:type="dxa" w:w="1512"/>
          </w:tcPr>
          <w:p>
            <w:pPr>
              <w:spacing w:line="240" w:lineRule="auto" w:after="0" w:before="0"/>
            </w:pPr>
            <w:r/>
            <w:r>
              <w:rPr>
                <w:sz w:val="16"/>
              </w:rPr>
              <w:t>611</w:t>
            </w:r>
          </w:p>
        </w:tc>
        <w:tc>
          <w:tcPr>
            <w:tcW w:type="dxa" w:w="1512"/>
          </w:tcPr>
          <w:p>
            <w:pPr>
              <w:spacing w:line="240" w:lineRule="auto" w:after="0" w:before="0"/>
            </w:pPr>
            <w:r/>
            <w:r>
              <w:rPr>
                <w:sz w:val="16"/>
              </w:rPr>
              <w:t>45</w:t>
            </w:r>
          </w:p>
        </w:tc>
        <w:tc>
          <w:tcPr>
            <w:tcW w:type="dxa" w:w="1512"/>
          </w:tcPr>
          <w:p>
            <w:pPr>
              <w:spacing w:line="240" w:lineRule="auto" w:after="0" w:before="0"/>
            </w:pPr>
            <w:r/>
            <w:r>
              <w:rPr>
                <w:sz w:val="16"/>
              </w:rPr>
              <w:t>397</w:t>
            </w:r>
          </w:p>
        </w:tc>
        <w:tc>
          <w:tcPr>
            <w:tcW w:type="dxa" w:w="1512"/>
          </w:tcPr>
          <w:p>
            <w:pPr>
              <w:spacing w:line="240" w:lineRule="auto" w:after="0" w:before="0"/>
            </w:pPr>
            <w:r/>
            <w:r>
              <w:rPr>
                <w:sz w:val="16"/>
              </w:rPr>
              <w:t>169</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leukocytosis</w:t>
            </w:r>
          </w:p>
        </w:tc>
        <w:tc>
          <w:tcPr>
            <w:tcW w:type="dxa" w:w="1512"/>
          </w:tcPr>
          <w:p>
            <w:pPr>
              <w:spacing w:line="240" w:lineRule="auto" w:after="0" w:before="0"/>
            </w:pPr>
            <w:r/>
            <w:r>
              <w:rPr>
                <w:sz w:val="16"/>
              </w:rPr>
              <w:t>597</w:t>
            </w:r>
          </w:p>
        </w:tc>
        <w:tc>
          <w:tcPr>
            <w:tcW w:type="dxa" w:w="1512"/>
          </w:tcPr>
          <w:p>
            <w:pPr>
              <w:spacing w:line="240" w:lineRule="auto" w:after="0" w:before="0"/>
            </w:pPr>
            <w:r/>
            <w:r>
              <w:rPr>
                <w:sz w:val="16"/>
              </w:rPr>
              <w:t>23</w:t>
            </w:r>
          </w:p>
        </w:tc>
        <w:tc>
          <w:tcPr>
            <w:tcW w:type="dxa" w:w="1512"/>
          </w:tcPr>
          <w:p>
            <w:pPr>
              <w:spacing w:line="240" w:lineRule="auto" w:after="0" w:before="0"/>
            </w:pPr>
            <w:r/>
            <w:r>
              <w:rPr>
                <w:sz w:val="16"/>
              </w:rPr>
              <w:t>574</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sepsis</w:t>
            </w:r>
          </w:p>
        </w:tc>
        <w:tc>
          <w:tcPr>
            <w:tcW w:type="dxa" w:w="1512"/>
          </w:tcPr>
          <w:p>
            <w:pPr>
              <w:spacing w:line="240" w:lineRule="auto" w:after="0" w:before="0"/>
            </w:pPr>
            <w:r/>
            <w:r>
              <w:rPr>
                <w:sz w:val="16"/>
              </w:rPr>
              <w:t>532</w:t>
            </w:r>
          </w:p>
        </w:tc>
        <w:tc>
          <w:tcPr>
            <w:tcW w:type="dxa" w:w="1512"/>
          </w:tcPr>
          <w:p>
            <w:pPr>
              <w:spacing w:line="240" w:lineRule="auto" w:after="0" w:before="0"/>
            </w:pPr>
            <w:r/>
            <w:r>
              <w:rPr>
                <w:sz w:val="16"/>
              </w:rPr>
              <w:t>142</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390</w:t>
            </w:r>
          </w:p>
        </w:tc>
      </w:tr>
      <w:tr>
        <w:trPr>
          <w:cantSplit/>
        </w:trPr>
        <w:tc>
          <w:tcPr>
            <w:tcW w:type="dxa" w:w="1512"/>
          </w:tcPr>
          <w:p>
            <w:pPr>
              <w:spacing w:line="240" w:lineRule="auto" w:after="0" w:before="0"/>
            </w:pPr>
            <w:r/>
            <w:r>
              <w:rPr>
                <w:sz w:val="16"/>
              </w:rPr>
              <w:t>metabolic_acidosis</w:t>
            </w:r>
          </w:p>
        </w:tc>
        <w:tc>
          <w:tcPr>
            <w:tcW w:type="dxa" w:w="1512"/>
          </w:tcPr>
          <w:p>
            <w:pPr>
              <w:spacing w:line="240" w:lineRule="auto" w:after="0" w:before="0"/>
            </w:pPr>
            <w:r/>
            <w:r>
              <w:rPr>
                <w:sz w:val="16"/>
              </w:rPr>
              <w:t>444</w:t>
            </w:r>
          </w:p>
        </w:tc>
        <w:tc>
          <w:tcPr>
            <w:tcW w:type="dxa" w:w="1512"/>
          </w:tcPr>
          <w:p>
            <w:pPr>
              <w:spacing w:line="240" w:lineRule="auto" w:after="0" w:before="0"/>
            </w:pPr>
            <w:r/>
            <w:r>
              <w:rPr>
                <w:sz w:val="16"/>
              </w:rPr>
              <w:t>28</w:t>
            </w:r>
          </w:p>
        </w:tc>
        <w:tc>
          <w:tcPr>
            <w:tcW w:type="dxa" w:w="1512"/>
          </w:tcPr>
          <w:p>
            <w:pPr>
              <w:spacing w:line="240" w:lineRule="auto" w:after="0" w:before="0"/>
            </w:pPr>
            <w:r/>
            <w:r>
              <w:rPr>
                <w:sz w:val="16"/>
              </w:rPr>
              <w:t>345</w:t>
            </w:r>
          </w:p>
        </w:tc>
        <w:tc>
          <w:tcPr>
            <w:tcW w:type="dxa" w:w="1512"/>
          </w:tcPr>
          <w:p>
            <w:pPr>
              <w:spacing w:line="240" w:lineRule="auto" w:after="0" w:before="0"/>
            </w:pPr>
            <w:r/>
            <w:r>
              <w:rPr>
                <w:sz w:val="16"/>
              </w:rPr>
              <w:t>71</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acute_myocardial_infarction</w:t>
            </w:r>
          </w:p>
        </w:tc>
        <w:tc>
          <w:tcPr>
            <w:tcW w:type="dxa" w:w="1512"/>
          </w:tcPr>
          <w:p>
            <w:pPr>
              <w:spacing w:line="240" w:lineRule="auto" w:after="0" w:before="0"/>
            </w:pPr>
            <w:r/>
            <w:r>
              <w:rPr>
                <w:sz w:val="16"/>
              </w:rPr>
              <w:t>436</w:t>
            </w:r>
          </w:p>
        </w:tc>
        <w:tc>
          <w:tcPr>
            <w:tcW w:type="dxa" w:w="1512"/>
          </w:tcPr>
          <w:p>
            <w:pPr>
              <w:spacing w:line="240" w:lineRule="auto" w:after="0" w:before="0"/>
            </w:pPr>
            <w:r/>
            <w:r>
              <w:rPr>
                <w:sz w:val="16"/>
              </w:rPr>
              <w:t>74</w:t>
            </w:r>
          </w:p>
        </w:tc>
        <w:tc>
          <w:tcPr>
            <w:tcW w:type="dxa" w:w="1512"/>
          </w:tcPr>
          <w:p>
            <w:pPr>
              <w:spacing w:line="240" w:lineRule="auto" w:after="0" w:before="0"/>
            </w:pPr>
            <w:r/>
            <w:r>
              <w:rPr>
                <w:sz w:val="16"/>
              </w:rPr>
              <w:t>310</w:t>
            </w:r>
          </w:p>
        </w:tc>
        <w:tc>
          <w:tcPr>
            <w:tcW w:type="dxa" w:w="1512"/>
          </w:tcPr>
          <w:p>
            <w:pPr>
              <w:spacing w:line="240" w:lineRule="auto" w:after="0" w:before="0"/>
            </w:pPr>
            <w:r/>
            <w:r>
              <w:rPr>
                <w:sz w:val="16"/>
              </w:rPr>
              <w:t>52</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hypocalcemia</w:t>
            </w:r>
          </w:p>
        </w:tc>
        <w:tc>
          <w:tcPr>
            <w:tcW w:type="dxa" w:w="1512"/>
          </w:tcPr>
          <w:p>
            <w:pPr>
              <w:spacing w:line="240" w:lineRule="auto" w:after="0" w:before="0"/>
            </w:pPr>
            <w:r/>
            <w:r>
              <w:rPr>
                <w:sz w:val="16"/>
              </w:rPr>
              <w:t>359</w:t>
            </w:r>
          </w:p>
        </w:tc>
        <w:tc>
          <w:tcPr>
            <w:tcW w:type="dxa" w:w="1512"/>
          </w:tcPr>
          <w:p>
            <w:pPr>
              <w:spacing w:line="240" w:lineRule="auto" w:after="0" w:before="0"/>
            </w:pPr>
            <w:r/>
            <w:r>
              <w:rPr>
                <w:sz w:val="16"/>
              </w:rPr>
              <w:t>1</w:t>
            </w:r>
          </w:p>
        </w:tc>
        <w:tc>
          <w:tcPr>
            <w:tcW w:type="dxa" w:w="1512"/>
          </w:tcPr>
          <w:p>
            <w:pPr>
              <w:spacing w:line="240" w:lineRule="auto" w:after="0" w:before="0"/>
            </w:pPr>
            <w:r/>
            <w:r>
              <w:rPr>
                <w:sz w:val="16"/>
              </w:rPr>
              <w:t>250</w:t>
            </w:r>
          </w:p>
        </w:tc>
        <w:tc>
          <w:tcPr>
            <w:tcW w:type="dxa" w:w="1512"/>
          </w:tcPr>
          <w:p>
            <w:pPr>
              <w:spacing w:line="240" w:lineRule="auto" w:after="0" w:before="0"/>
            </w:pPr>
            <w:r/>
            <w:r>
              <w:rPr>
                <w:sz w:val="16"/>
              </w:rPr>
              <w:t>108</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thrombocytopenia</w:t>
            </w:r>
          </w:p>
        </w:tc>
        <w:tc>
          <w:tcPr>
            <w:tcW w:type="dxa" w:w="1512"/>
          </w:tcPr>
          <w:p>
            <w:pPr>
              <w:spacing w:line="240" w:lineRule="auto" w:after="0" w:before="0"/>
            </w:pPr>
            <w:r/>
            <w:r>
              <w:rPr>
                <w:sz w:val="16"/>
              </w:rPr>
              <w:t>300</w:t>
            </w:r>
          </w:p>
        </w:tc>
        <w:tc>
          <w:tcPr>
            <w:tcW w:type="dxa" w:w="1512"/>
          </w:tcPr>
          <w:p>
            <w:pPr>
              <w:spacing w:line="240" w:lineRule="auto" w:after="0" w:before="0"/>
            </w:pPr>
            <w:r/>
            <w:r>
              <w:rPr>
                <w:sz w:val="16"/>
              </w:rPr>
              <w:t>26</w:t>
            </w:r>
          </w:p>
        </w:tc>
        <w:tc>
          <w:tcPr>
            <w:tcW w:type="dxa" w:w="1512"/>
          </w:tcPr>
          <w:p>
            <w:pPr>
              <w:spacing w:line="240" w:lineRule="auto" w:after="0" w:before="0"/>
            </w:pPr>
            <w:r/>
            <w:r>
              <w:rPr>
                <w:sz w:val="16"/>
              </w:rPr>
              <w:t>274</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hypokalemia</w:t>
            </w:r>
          </w:p>
        </w:tc>
        <w:tc>
          <w:tcPr>
            <w:tcW w:type="dxa" w:w="1512"/>
          </w:tcPr>
          <w:p>
            <w:pPr>
              <w:spacing w:line="240" w:lineRule="auto" w:after="0" w:before="0"/>
            </w:pPr>
            <w:r/>
            <w:r>
              <w:rPr>
                <w:sz w:val="16"/>
              </w:rPr>
              <w:t>259</w:t>
            </w:r>
          </w:p>
        </w:tc>
        <w:tc>
          <w:tcPr>
            <w:tcW w:type="dxa" w:w="1512"/>
          </w:tcPr>
          <w:p>
            <w:pPr>
              <w:spacing w:line="240" w:lineRule="auto" w:after="0" w:before="0"/>
            </w:pPr>
            <w:r/>
            <w:r>
              <w:rPr>
                <w:sz w:val="16"/>
              </w:rPr>
              <w:t>33</w:t>
            </w:r>
          </w:p>
        </w:tc>
        <w:tc>
          <w:tcPr>
            <w:tcW w:type="dxa" w:w="1512"/>
          </w:tcPr>
          <w:p>
            <w:pPr>
              <w:spacing w:line="240" w:lineRule="auto" w:after="0" w:before="0"/>
            </w:pPr>
            <w:r/>
            <w:r>
              <w:rPr>
                <w:sz w:val="16"/>
              </w:rPr>
              <w:t>226</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hyponatremia</w:t>
            </w:r>
          </w:p>
        </w:tc>
        <w:tc>
          <w:tcPr>
            <w:tcW w:type="dxa" w:w="1512"/>
          </w:tcPr>
          <w:p>
            <w:pPr>
              <w:spacing w:line="240" w:lineRule="auto" w:after="0" w:before="0"/>
            </w:pPr>
            <w:r/>
            <w:r>
              <w:rPr>
                <w:sz w:val="16"/>
              </w:rPr>
              <w:t>246</w:t>
            </w:r>
          </w:p>
        </w:tc>
        <w:tc>
          <w:tcPr>
            <w:tcW w:type="dxa" w:w="1512"/>
          </w:tcPr>
          <w:p>
            <w:pPr>
              <w:spacing w:line="240" w:lineRule="auto" w:after="0" w:before="0"/>
            </w:pPr>
            <w:r/>
            <w:r>
              <w:rPr>
                <w:sz w:val="16"/>
              </w:rPr>
              <w:t>33</w:t>
            </w:r>
          </w:p>
        </w:tc>
        <w:tc>
          <w:tcPr>
            <w:tcW w:type="dxa" w:w="1512"/>
          </w:tcPr>
          <w:p>
            <w:pPr>
              <w:spacing w:line="240" w:lineRule="auto" w:after="0" w:before="0"/>
            </w:pPr>
            <w:r/>
            <w:r>
              <w:rPr>
                <w:sz w:val="16"/>
              </w:rPr>
              <w:t>213</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chronic_kidney_disease</w:t>
            </w:r>
          </w:p>
        </w:tc>
        <w:tc>
          <w:tcPr>
            <w:tcW w:type="dxa" w:w="1512"/>
          </w:tcPr>
          <w:p>
            <w:pPr>
              <w:spacing w:line="240" w:lineRule="auto" w:after="0" w:before="0"/>
            </w:pPr>
            <w:r/>
            <w:r>
              <w:rPr>
                <w:sz w:val="16"/>
              </w:rPr>
              <w:t>239</w:t>
            </w:r>
          </w:p>
        </w:tc>
        <w:tc>
          <w:tcPr>
            <w:tcW w:type="dxa" w:w="1512"/>
          </w:tcPr>
          <w:p>
            <w:pPr>
              <w:spacing w:line="240" w:lineRule="auto" w:after="0" w:before="0"/>
            </w:pPr>
            <w:r/>
            <w:r>
              <w:rPr>
                <w:sz w:val="16"/>
              </w:rPr>
              <w:t>53</w:t>
            </w:r>
          </w:p>
        </w:tc>
        <w:tc>
          <w:tcPr>
            <w:tcW w:type="dxa" w:w="1512"/>
          </w:tcPr>
          <w:p>
            <w:pPr>
              <w:spacing w:line="240" w:lineRule="auto" w:after="0" w:before="0"/>
            </w:pPr>
            <w:r/>
            <w:r>
              <w:rPr>
                <w:sz w:val="16"/>
              </w:rPr>
              <w:t>163</w:t>
            </w:r>
          </w:p>
        </w:tc>
        <w:tc>
          <w:tcPr>
            <w:tcW w:type="dxa" w:w="1512"/>
          </w:tcPr>
          <w:p>
            <w:pPr>
              <w:spacing w:line="240" w:lineRule="auto" w:after="0" w:before="0"/>
            </w:pPr>
            <w:r/>
            <w:r>
              <w:rPr>
                <w:sz w:val="16"/>
              </w:rPr>
              <w:t>23</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cirrhosis_liver_failure</w:t>
            </w:r>
          </w:p>
        </w:tc>
        <w:tc>
          <w:tcPr>
            <w:tcW w:type="dxa" w:w="1512"/>
          </w:tcPr>
          <w:p>
            <w:pPr>
              <w:spacing w:line="240" w:lineRule="auto" w:after="0" w:before="0"/>
            </w:pPr>
            <w:r/>
            <w:r>
              <w:rPr>
                <w:sz w:val="16"/>
              </w:rPr>
              <w:t>187</w:t>
            </w:r>
          </w:p>
        </w:tc>
        <w:tc>
          <w:tcPr>
            <w:tcW w:type="dxa" w:w="1512"/>
          </w:tcPr>
          <w:p>
            <w:pPr>
              <w:spacing w:line="240" w:lineRule="auto" w:after="0" w:before="0"/>
            </w:pPr>
            <w:r/>
            <w:r>
              <w:rPr>
                <w:sz w:val="16"/>
              </w:rPr>
              <w:t>15</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172</w:t>
            </w:r>
          </w:p>
        </w:tc>
      </w:tr>
      <w:tr>
        <w:trPr>
          <w:cantSplit/>
        </w:trPr>
        <w:tc>
          <w:tcPr>
            <w:tcW w:type="dxa" w:w="1512"/>
          </w:tcPr>
          <w:p>
            <w:pPr>
              <w:spacing w:line="240" w:lineRule="auto" w:after="0" w:before="0"/>
            </w:pPr>
            <w:r/>
            <w:r>
              <w:rPr>
                <w:sz w:val="16"/>
              </w:rPr>
              <w:t>heart_failure</w:t>
            </w:r>
          </w:p>
        </w:tc>
        <w:tc>
          <w:tcPr>
            <w:tcW w:type="dxa" w:w="1512"/>
          </w:tcPr>
          <w:p>
            <w:pPr>
              <w:spacing w:line="240" w:lineRule="auto" w:after="0" w:before="0"/>
            </w:pPr>
            <w:r/>
            <w:r>
              <w:rPr>
                <w:sz w:val="16"/>
              </w:rPr>
              <w:t>168</w:t>
            </w:r>
          </w:p>
        </w:tc>
        <w:tc>
          <w:tcPr>
            <w:tcW w:type="dxa" w:w="1512"/>
          </w:tcPr>
          <w:p>
            <w:pPr>
              <w:spacing w:line="240" w:lineRule="auto" w:after="0" w:before="0"/>
            </w:pPr>
            <w:r/>
            <w:r>
              <w:rPr>
                <w:sz w:val="16"/>
              </w:rPr>
              <w:t>48</w:t>
            </w:r>
          </w:p>
        </w:tc>
        <w:tc>
          <w:tcPr>
            <w:tcW w:type="dxa" w:w="1512"/>
          </w:tcPr>
          <w:p>
            <w:pPr>
              <w:spacing w:line="240" w:lineRule="auto" w:after="0" w:before="0"/>
            </w:pPr>
            <w:r/>
            <w:r>
              <w:rPr>
                <w:sz w:val="16"/>
              </w:rPr>
              <w:t>112</w:t>
            </w:r>
          </w:p>
        </w:tc>
        <w:tc>
          <w:tcPr>
            <w:tcW w:type="dxa" w:w="1512"/>
          </w:tcPr>
          <w:p>
            <w:pPr>
              <w:spacing w:line="240" w:lineRule="auto" w:after="0" w:before="0"/>
            </w:pPr>
            <w:r/>
            <w:r>
              <w:rPr>
                <w:sz w:val="16"/>
              </w:rPr>
              <w:t>8</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hypomagnesemia</w:t>
            </w:r>
          </w:p>
        </w:tc>
        <w:tc>
          <w:tcPr>
            <w:tcW w:type="dxa" w:w="1512"/>
          </w:tcPr>
          <w:p>
            <w:pPr>
              <w:spacing w:line="240" w:lineRule="auto" w:after="0" w:before="0"/>
            </w:pPr>
            <w:r/>
            <w:r>
              <w:rPr>
                <w:sz w:val="16"/>
              </w:rPr>
              <w:t>161</w:t>
            </w:r>
          </w:p>
        </w:tc>
        <w:tc>
          <w:tcPr>
            <w:tcW w:type="dxa" w:w="1512"/>
          </w:tcPr>
          <w:p>
            <w:pPr>
              <w:spacing w:line="240" w:lineRule="auto" w:after="0" w:before="0"/>
            </w:pPr>
            <w:r/>
            <w:r>
              <w:rPr>
                <w:sz w:val="16"/>
              </w:rPr>
              <w:t>13</w:t>
            </w:r>
          </w:p>
        </w:tc>
        <w:tc>
          <w:tcPr>
            <w:tcW w:type="dxa" w:w="1512"/>
          </w:tcPr>
          <w:p>
            <w:pPr>
              <w:spacing w:line="240" w:lineRule="auto" w:after="0" w:before="0"/>
            </w:pPr>
            <w:r/>
            <w:r>
              <w:rPr>
                <w:sz w:val="16"/>
              </w:rPr>
              <w:t>148</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lactic_acidosis</w:t>
            </w:r>
          </w:p>
        </w:tc>
        <w:tc>
          <w:tcPr>
            <w:tcW w:type="dxa" w:w="1512"/>
          </w:tcPr>
          <w:p>
            <w:pPr>
              <w:spacing w:line="240" w:lineRule="auto" w:after="0" w:before="0"/>
            </w:pPr>
            <w:r/>
            <w:r>
              <w:rPr>
                <w:sz w:val="16"/>
              </w:rPr>
              <w:t>154</w:t>
            </w:r>
          </w:p>
        </w:tc>
        <w:tc>
          <w:tcPr>
            <w:tcW w:type="dxa" w:w="1512"/>
          </w:tcPr>
          <w:p>
            <w:pPr>
              <w:spacing w:line="240" w:lineRule="auto" w:after="0" w:before="0"/>
            </w:pPr>
            <w:r/>
            <w:r>
              <w:rPr>
                <w:sz w:val="16"/>
              </w:rPr>
              <w:t>12</w:t>
            </w:r>
          </w:p>
        </w:tc>
        <w:tc>
          <w:tcPr>
            <w:tcW w:type="dxa" w:w="1512"/>
          </w:tcPr>
          <w:p>
            <w:pPr>
              <w:spacing w:line="240" w:lineRule="auto" w:after="0" w:before="0"/>
            </w:pPr>
            <w:r/>
            <w:r>
              <w:rPr>
                <w:sz w:val="16"/>
              </w:rPr>
              <w:t>139</w:t>
            </w:r>
          </w:p>
        </w:tc>
        <w:tc>
          <w:tcPr>
            <w:tcW w:type="dxa" w:w="1512"/>
          </w:tcPr>
          <w:p>
            <w:pPr>
              <w:spacing w:line="240" w:lineRule="auto" w:after="0" w:before="0"/>
            </w:pPr>
            <w:r/>
            <w:r>
              <w:rPr>
                <w:sz w:val="16"/>
              </w:rPr>
              <w:t>3</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malnutrition</w:t>
            </w:r>
          </w:p>
        </w:tc>
        <w:tc>
          <w:tcPr>
            <w:tcW w:type="dxa" w:w="1512"/>
          </w:tcPr>
          <w:p>
            <w:pPr>
              <w:spacing w:line="240" w:lineRule="auto" w:after="0" w:before="0"/>
            </w:pPr>
            <w:r/>
            <w:r>
              <w:rPr>
                <w:sz w:val="16"/>
              </w:rPr>
              <w:t>150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150</w:t>
            </w:r>
          </w:p>
        </w:tc>
      </w:tr>
      <w:tr>
        <w:trPr>
          <w:cantSplit/>
        </w:trPr>
        <w:tc>
          <w:tcPr>
            <w:tcW w:type="dxa" w:w="1512"/>
          </w:tcPr>
          <w:p>
            <w:pPr>
              <w:spacing w:line="240" w:lineRule="auto" w:after="0" w:before="0"/>
            </w:pPr>
            <w:r/>
            <w:r>
              <w:rPr>
                <w:sz w:val="16"/>
              </w:rPr>
              <w:t>coagulopathy</w:t>
            </w:r>
          </w:p>
        </w:tc>
        <w:tc>
          <w:tcPr>
            <w:tcW w:type="dxa" w:w="1512"/>
          </w:tcPr>
          <w:p>
            <w:pPr>
              <w:spacing w:line="240" w:lineRule="auto" w:after="0" w:before="0"/>
            </w:pPr>
            <w:r/>
            <w:r>
              <w:rPr>
                <w:sz w:val="16"/>
              </w:rPr>
              <w:t>119</w:t>
            </w:r>
          </w:p>
        </w:tc>
        <w:tc>
          <w:tcPr>
            <w:tcW w:type="dxa" w:w="1512"/>
          </w:tcPr>
          <w:p>
            <w:pPr>
              <w:spacing w:line="240" w:lineRule="auto" w:after="0" w:before="0"/>
            </w:pPr>
            <w:r/>
            <w:r>
              <w:rPr>
                <w:sz w:val="16"/>
              </w:rPr>
              <w:t>13</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106</w:t>
            </w:r>
          </w:p>
        </w:tc>
      </w:tr>
      <w:tr>
        <w:trPr>
          <w:cantSplit/>
        </w:trPr>
        <w:tc>
          <w:tcPr>
            <w:tcW w:type="dxa" w:w="1512"/>
          </w:tcPr>
          <w:p>
            <w:pPr>
              <w:spacing w:line="240" w:lineRule="auto" w:after="0" w:before="0"/>
            </w:pPr>
            <w:r/>
            <w:r>
              <w:rPr>
                <w:sz w:val="16"/>
              </w:rPr>
              <w:t>diabetic_ketoacidosis</w:t>
            </w:r>
          </w:p>
        </w:tc>
        <w:tc>
          <w:tcPr>
            <w:tcW w:type="dxa" w:w="1512"/>
          </w:tcPr>
          <w:p>
            <w:pPr>
              <w:spacing w:line="240" w:lineRule="auto" w:after="0" w:before="0"/>
            </w:pPr>
            <w:r/>
            <w:r>
              <w:rPr>
                <w:sz w:val="16"/>
              </w:rPr>
              <w:t>98</w:t>
            </w:r>
          </w:p>
        </w:tc>
        <w:tc>
          <w:tcPr>
            <w:tcW w:type="dxa" w:w="1512"/>
          </w:tcPr>
          <w:p>
            <w:pPr>
              <w:spacing w:line="240" w:lineRule="auto" w:after="0" w:before="0"/>
            </w:pPr>
            <w:r/>
            <w:r>
              <w:rPr>
                <w:sz w:val="16"/>
              </w:rPr>
              <w:t>68</w:t>
            </w:r>
          </w:p>
        </w:tc>
        <w:tc>
          <w:tcPr>
            <w:tcW w:type="dxa" w:w="1512"/>
          </w:tcPr>
          <w:p>
            <w:pPr>
              <w:spacing w:line="240" w:lineRule="auto" w:after="0" w:before="0"/>
            </w:pPr>
            <w:r/>
            <w:r>
              <w:rPr>
                <w:sz w:val="16"/>
              </w:rPr>
              <w:t>13</w:t>
            </w:r>
          </w:p>
        </w:tc>
        <w:tc>
          <w:tcPr>
            <w:tcW w:type="dxa" w:w="1512"/>
          </w:tcPr>
          <w:p>
            <w:pPr>
              <w:spacing w:line="240" w:lineRule="auto" w:after="0" w:before="0"/>
            </w:pPr>
            <w:r/>
            <w:r>
              <w:rPr>
                <w:sz w:val="16"/>
              </w:rPr>
              <w:t>16</w:t>
            </w:r>
          </w:p>
        </w:tc>
        <w:tc>
          <w:tcPr>
            <w:tcW w:type="dxa" w:w="1512"/>
          </w:tcPr>
          <w:p>
            <w:pPr>
              <w:spacing w:line="240" w:lineRule="auto" w:after="0" w:before="0"/>
            </w:pPr>
            <w:r/>
            <w:r>
              <w:rPr>
                <w:sz w:val="16"/>
              </w:rPr>
              <w:t>1</w:t>
            </w:r>
          </w:p>
        </w:tc>
      </w:tr>
      <w:tr>
        <w:trPr>
          <w:cantSplit/>
        </w:trPr>
        <w:tc>
          <w:tcPr>
            <w:tcW w:type="dxa" w:w="1512"/>
          </w:tcPr>
          <w:p>
            <w:pPr>
              <w:spacing w:line="240" w:lineRule="auto" w:after="0" w:before="0"/>
            </w:pPr>
            <w:r/>
            <w:r>
              <w:rPr>
                <w:sz w:val="16"/>
              </w:rPr>
              <w:t>alcohol_withdrawal</w:t>
            </w:r>
          </w:p>
        </w:tc>
        <w:tc>
          <w:tcPr>
            <w:tcW w:type="dxa" w:w="1512"/>
          </w:tcPr>
          <w:p>
            <w:pPr>
              <w:spacing w:line="240" w:lineRule="auto" w:after="0" w:before="0"/>
            </w:pPr>
            <w:r/>
            <w:r>
              <w:rPr>
                <w:sz w:val="16"/>
              </w:rPr>
              <w:t>90</w:t>
            </w:r>
          </w:p>
        </w:tc>
        <w:tc>
          <w:tcPr>
            <w:tcW w:type="dxa" w:w="1512"/>
          </w:tcPr>
          <w:p>
            <w:pPr>
              <w:spacing w:line="240" w:lineRule="auto" w:after="0" w:before="0"/>
            </w:pPr>
            <w:r/>
            <w:r>
              <w:rPr>
                <w:sz w:val="16"/>
              </w:rPr>
              <w:t>11</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79</w:t>
            </w:r>
          </w:p>
        </w:tc>
      </w:tr>
      <w:tr>
        <w:trPr>
          <w:cantSplit/>
        </w:trPr>
        <w:tc>
          <w:tcPr>
            <w:tcW w:type="dxa" w:w="1512"/>
          </w:tcPr>
          <w:p>
            <w:pPr>
              <w:spacing w:line="240" w:lineRule="auto" w:after="0" w:before="0"/>
            </w:pPr>
            <w:r/>
            <w:r>
              <w:rPr>
                <w:sz w:val="16"/>
              </w:rPr>
              <w:t>hyperkalemia</w:t>
            </w:r>
          </w:p>
        </w:tc>
        <w:tc>
          <w:tcPr>
            <w:tcW w:type="dxa" w:w="1512"/>
          </w:tcPr>
          <w:p>
            <w:pPr>
              <w:spacing w:line="240" w:lineRule="auto" w:after="0" w:before="0"/>
            </w:pPr>
            <w:r/>
            <w:r>
              <w:rPr>
                <w:sz w:val="16"/>
              </w:rPr>
              <w:t>77</w:t>
            </w:r>
          </w:p>
        </w:tc>
        <w:tc>
          <w:tcPr>
            <w:tcW w:type="dxa" w:w="1512"/>
          </w:tcPr>
          <w:p>
            <w:pPr>
              <w:spacing w:line="240" w:lineRule="auto" w:after="0" w:before="0"/>
            </w:pPr>
            <w:r/>
            <w:r>
              <w:rPr>
                <w:sz w:val="16"/>
              </w:rPr>
              <w:t>24</w:t>
            </w:r>
          </w:p>
        </w:tc>
        <w:tc>
          <w:tcPr>
            <w:tcW w:type="dxa" w:w="1512"/>
          </w:tcPr>
          <w:p>
            <w:pPr>
              <w:spacing w:line="240" w:lineRule="auto" w:after="0" w:before="0"/>
            </w:pPr>
            <w:r/>
            <w:r>
              <w:rPr>
                <w:sz w:val="16"/>
              </w:rPr>
              <w:t>53</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hypophosphatemia</w:t>
            </w:r>
          </w:p>
        </w:tc>
        <w:tc>
          <w:tcPr>
            <w:tcW w:type="dxa" w:w="1512"/>
          </w:tcPr>
          <w:p>
            <w:pPr>
              <w:spacing w:line="240" w:lineRule="auto" w:after="0" w:before="0"/>
            </w:pPr>
            <w:r/>
            <w:r>
              <w:rPr>
                <w:sz w:val="16"/>
              </w:rPr>
              <w:t>62</w:t>
            </w:r>
          </w:p>
        </w:tc>
        <w:tc>
          <w:tcPr>
            <w:tcW w:type="dxa" w:w="1512"/>
          </w:tcPr>
          <w:p>
            <w:pPr>
              <w:spacing w:line="240" w:lineRule="auto" w:after="0" w:before="0"/>
            </w:pPr>
            <w:r/>
            <w:r>
              <w:rPr>
                <w:sz w:val="16"/>
              </w:rPr>
              <w:t>2</w:t>
            </w:r>
          </w:p>
        </w:tc>
        <w:tc>
          <w:tcPr>
            <w:tcW w:type="dxa" w:w="1512"/>
          </w:tcPr>
          <w:p>
            <w:pPr>
              <w:spacing w:line="240" w:lineRule="auto" w:after="0" w:before="0"/>
            </w:pPr>
            <w:r/>
            <w:r>
              <w:rPr>
                <w:sz w:val="16"/>
              </w:rPr>
              <w:t>60</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acute_pancreatitis</w:t>
            </w:r>
          </w:p>
        </w:tc>
        <w:tc>
          <w:tcPr>
            <w:tcW w:type="dxa" w:w="1512"/>
          </w:tcPr>
          <w:p>
            <w:pPr>
              <w:spacing w:line="240" w:lineRule="auto" w:after="0" w:before="0"/>
            </w:pPr>
            <w:r/>
            <w:r>
              <w:rPr>
                <w:sz w:val="16"/>
              </w:rPr>
              <w:t>54</w:t>
            </w:r>
          </w:p>
        </w:tc>
        <w:tc>
          <w:tcPr>
            <w:tcW w:type="dxa" w:w="1512"/>
          </w:tcPr>
          <w:p>
            <w:pPr>
              <w:spacing w:line="240" w:lineRule="auto" w:after="0" w:before="0"/>
            </w:pPr>
            <w:r/>
            <w:r>
              <w:rPr>
                <w:sz w:val="16"/>
              </w:rPr>
              <w:t>12</w:t>
            </w:r>
          </w:p>
        </w:tc>
        <w:tc>
          <w:tcPr>
            <w:tcW w:type="dxa" w:w="1512"/>
          </w:tcPr>
          <w:p>
            <w:pPr>
              <w:spacing w:line="240" w:lineRule="auto" w:after="0" w:before="0"/>
            </w:pPr>
            <w:r/>
            <w:r>
              <w:rPr>
                <w:sz w:val="16"/>
              </w:rPr>
              <w:t>41</w:t>
            </w:r>
          </w:p>
        </w:tc>
        <w:tc>
          <w:tcPr>
            <w:tcW w:type="dxa" w:w="1512"/>
          </w:tcPr>
          <w:p>
            <w:pPr>
              <w:spacing w:line="240" w:lineRule="auto" w:after="0" w:before="0"/>
            </w:pPr>
            <w:r/>
            <w:r>
              <w:rPr>
                <w:sz w:val="16"/>
              </w:rPr>
              <w:t>1</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hypernatremia</w:t>
            </w:r>
          </w:p>
        </w:tc>
        <w:tc>
          <w:tcPr>
            <w:tcW w:type="dxa" w:w="1512"/>
          </w:tcPr>
          <w:p>
            <w:pPr>
              <w:spacing w:line="240" w:lineRule="auto" w:after="0" w:before="0"/>
            </w:pPr>
            <w:r/>
            <w:r>
              <w:rPr>
                <w:sz w:val="16"/>
              </w:rPr>
              <w:t>49</w:t>
            </w:r>
          </w:p>
        </w:tc>
        <w:tc>
          <w:tcPr>
            <w:tcW w:type="dxa" w:w="1512"/>
          </w:tcPr>
          <w:p>
            <w:pPr>
              <w:spacing w:line="240" w:lineRule="auto" w:after="0" w:before="0"/>
            </w:pPr>
            <w:r/>
            <w:r>
              <w:rPr>
                <w:sz w:val="16"/>
              </w:rPr>
              <w:t>8</w:t>
            </w:r>
          </w:p>
        </w:tc>
        <w:tc>
          <w:tcPr>
            <w:tcW w:type="dxa" w:w="1512"/>
          </w:tcPr>
          <w:p>
            <w:pPr>
              <w:spacing w:line="240" w:lineRule="auto" w:after="0" w:before="0"/>
            </w:pPr>
            <w:r/>
            <w:r>
              <w:rPr>
                <w:sz w:val="16"/>
              </w:rPr>
              <w:t>41</w:t>
            </w:r>
          </w:p>
        </w:tc>
        <w:tc>
          <w:tcPr>
            <w:tcW w:type="dxa" w:w="1512"/>
          </w:tcPr>
          <w:p>
            <w:pPr>
              <w:spacing w:line="240" w:lineRule="auto" w:after="0" w:before="0"/>
            </w:pPr>
            <w:r/>
            <w:r>
              <w:rPr>
                <w:sz w:val="16"/>
              </w:rPr>
              <w:t>0</w:t>
            </w:r>
          </w:p>
        </w:tc>
        <w:tc>
          <w:tcPr>
            <w:tcW w:type="dxa" w:w="1512"/>
          </w:tcPr>
          <w:p>
            <w:pPr>
              <w:spacing w:line="240" w:lineRule="auto" w:after="0" w:before="0"/>
            </w:pPr>
            <w:r/>
            <w:r>
              <w:rPr>
                <w:sz w:val="16"/>
              </w:rPr>
              <w:t>0</w:t>
            </w:r>
          </w:p>
        </w:tc>
      </w:tr>
      <w:tr>
        <w:trPr>
          <w:cantSplit/>
        </w:trPr>
        <w:tc>
          <w:tcPr>
            <w:tcW w:type="dxa" w:w="1512"/>
          </w:tcPr>
          <w:p>
            <w:pPr>
              <w:spacing w:line="240" w:lineRule="auto" w:after="0" w:before="0"/>
            </w:pPr>
            <w:r/>
            <w:r>
              <w:rPr>
                <w:sz w:val="16"/>
              </w:rPr>
              <w:t>rhabdomyolysis</w:t>
            </w:r>
          </w:p>
        </w:tc>
        <w:tc>
          <w:tcPr>
            <w:tcW w:type="dxa" w:w="1512"/>
          </w:tcPr>
          <w:p>
            <w:pPr>
              <w:spacing w:line="240" w:lineRule="auto" w:after="0" w:before="0"/>
            </w:pPr>
            <w:r/>
            <w:r>
              <w:rPr>
                <w:sz w:val="16"/>
              </w:rPr>
              <w:t>43</w:t>
            </w:r>
          </w:p>
        </w:tc>
        <w:tc>
          <w:tcPr>
            <w:tcW w:type="dxa" w:w="1512"/>
          </w:tcPr>
          <w:p>
            <w:pPr>
              <w:spacing w:line="240" w:lineRule="auto" w:after="0" w:before="0"/>
            </w:pPr>
            <w:r/>
            <w:r>
              <w:rPr>
                <w:sz w:val="16"/>
              </w:rPr>
              <w:t>6</w:t>
            </w:r>
          </w:p>
        </w:tc>
        <w:tc>
          <w:tcPr>
            <w:tcW w:type="dxa" w:w="1512"/>
          </w:tcPr>
          <w:p>
            <w:pPr>
              <w:spacing w:line="240" w:lineRule="auto" w:after="0" w:before="0"/>
            </w:pPr>
            <w:r/>
            <w:r>
              <w:rPr>
                <w:sz w:val="16"/>
              </w:rPr>
              <w:t>31</w:t>
            </w:r>
          </w:p>
        </w:tc>
        <w:tc>
          <w:tcPr>
            <w:tcW w:type="dxa" w:w="1512"/>
          </w:tcPr>
          <w:p>
            <w:pPr>
              <w:spacing w:line="240" w:lineRule="auto" w:after="0" w:before="0"/>
            </w:pPr>
            <w:r/>
            <w:r>
              <w:rPr>
                <w:sz w:val="16"/>
              </w:rPr>
              <w:t>6</w:t>
            </w:r>
          </w:p>
        </w:tc>
        <w:tc>
          <w:tcPr>
            <w:tcW w:type="dxa" w:w="1512"/>
          </w:tcPr>
          <w:p>
            <w:pPr>
              <w:spacing w:line="240" w:lineRule="auto" w:after="0" w:before="0"/>
            </w:pPr>
            <w:r/>
            <w:r>
              <w:rPr>
                <w:sz w:val="16"/>
              </w:rPr>
              <w:t>0</w:t>
            </w:r>
          </w:p>
        </w:tc>
      </w:tr>
    </w:tbl>
    <w:p/>
    <w:p>
      <w:pPr>
        <w:pStyle w:val="Heading1"/>
      </w:pPr>
      <w:r>
        <w:rPr>
          <w:rFonts w:ascii="Times New Roman" w:hAnsi="Times New Roman" w:eastAsia="Times New Roman" w:cs="Times New Roman"/>
          <w:b/>
          <w:i w:val="0"/>
          <w:color w:val="000000"/>
        </w:rPr>
        <w:t>Supplementary Table S12 — Fusion-weight sensitivity</w:t>
      </w:r>
    </w:p>
    <w:p>
      <w:r>
        <w:t xml:space="preserve">Arms </w:t>
      </w:r>
      <w:r>
        <w:rPr>
          <w:rFonts w:ascii="Courier New" w:hAnsi="Courier New" w:eastAsia="Courier New" w:cs="Courier New"/>
          <w:color w:val="000000"/>
          <w:sz w:val="22"/>
        </w:rPr>
        <w:t>uniform_w</w:t>
      </w:r>
      <w:r>
        <w:t xml:space="preserve"> (all five weights 0.20, all profiles), </w:t>
      </w:r>
      <w:r>
        <w:rPr>
          <w:rFonts w:ascii="Courier New" w:hAnsi="Courier New" w:eastAsia="Courier New" w:cs="Courier New"/>
          <w:color w:val="000000"/>
          <w:sz w:val="22"/>
        </w:rPr>
        <w:t>w_rule_heavy</w:t>
      </w:r>
      <w:r>
        <w:t xml:space="preserve"> (0.55/0.15/0.15/0.075/0.075) and </w:t>
      </w:r>
      <w:r>
        <w:rPr>
          <w:rFonts w:ascii="Courier New" w:hAnsi="Courier New" w:eastAsia="Courier New" w:cs="Courier New"/>
          <w:color w:val="000000"/>
          <w:sz w:val="22"/>
        </w:rPr>
        <w:t>w_rule_light</w:t>
      </w:r>
      <w:r>
        <w:t xml:space="preserve"> (0.20/0.30/0.25/0.125/0.125), run on the same 2,314 stays with the frozen engine file and environment switches only (</w:t>
      </w:r>
      <w:r>
        <w:rPr>
          <w:rFonts w:ascii="Courier New" w:hAnsi="Courier New" w:eastAsia="Courier New" w:cs="Courier New"/>
          <w:color w:val="000000"/>
          <w:sz w:val="22"/>
        </w:rPr>
        <w:t>eval/ablation/run_ablation.py</w:t>
      </w:r>
      <w:r>
        <w:t>). Stay-cluster bootstrap CIs (B = 4,000, seed 20261025).</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rPr>
          <w:cantSplit/>
          <w:tblHeader/>
        </w:trPr>
        <w:tc>
          <w:tcPr>
            <w:tcW w:type="dxa" w:w="1008"/>
            <w:shd w:val="clear" w:fill="F2F2F2"/>
          </w:tcPr>
          <w:p>
            <w:pPr>
              <w:spacing w:line="240" w:lineRule="auto" w:after="0" w:before="0"/>
            </w:pPr>
            <w:r>
              <w:rPr>
                <w:b/>
              </w:rPr>
            </w:r>
            <w:r>
              <w:rPr>
                <w:b/>
                <w:sz w:val="16"/>
              </w:rPr>
              <w:t>arm</w:t>
            </w:r>
          </w:p>
        </w:tc>
        <w:tc>
          <w:tcPr>
            <w:tcW w:type="dxa" w:w="1008"/>
            <w:shd w:val="clear" w:fill="F2F2F2"/>
          </w:tcPr>
          <w:p>
            <w:pPr>
              <w:spacing w:line="240" w:lineRule="auto" w:after="0" w:before="0"/>
            </w:pPr>
            <w:r>
              <w:rPr>
                <w:b/>
              </w:rPr>
            </w:r>
            <w:r>
              <w:rPr>
                <w:b/>
                <w:sz w:val="16"/>
              </w:rPr>
              <w:t>weights (rule / Bayesian / fuzzy / graph / risk)</w:t>
            </w:r>
          </w:p>
        </w:tc>
        <w:tc>
          <w:tcPr>
            <w:tcW w:type="dxa" w:w="1008"/>
            <w:shd w:val="clear" w:fill="F2F2F2"/>
          </w:tcPr>
          <w:p>
            <w:pPr>
              <w:spacing w:line="240" w:lineRule="auto" w:after="0" w:before="0"/>
            </w:pPr>
            <w:r>
              <w:rPr>
                <w:b/>
              </w:rPr>
            </w:r>
            <w:r>
              <w:rPr>
                <w:b/>
                <w:sz w:val="16"/>
              </w:rPr>
              <w:t>flat @3</w:t>
            </w:r>
          </w:p>
        </w:tc>
        <w:tc>
          <w:tcPr>
            <w:tcW w:type="dxa" w:w="1008"/>
            <w:shd w:val="clear" w:fill="F2F2F2"/>
          </w:tcPr>
          <w:p>
            <w:pPr>
              <w:spacing w:line="240" w:lineRule="auto" w:after="0" w:before="0"/>
            </w:pPr>
            <w:r>
              <w:rPr>
                <w:b/>
              </w:rPr>
            </w:r>
            <w:r>
              <w:rPr>
                <w:b/>
                <w:sz w:val="16"/>
              </w:rPr>
              <w:t>flat @5</w:t>
            </w:r>
          </w:p>
        </w:tc>
        <w:tc>
          <w:tcPr>
            <w:tcW w:type="dxa" w:w="1008"/>
            <w:shd w:val="clear" w:fill="F2F2F2"/>
          </w:tcPr>
          <w:p>
            <w:pPr>
              <w:spacing w:line="240" w:lineRule="auto" w:after="0" w:before="0"/>
            </w:pPr>
            <w:r>
              <w:rPr>
                <w:b/>
              </w:rPr>
            </w:r>
            <w:r>
              <w:rPr>
                <w:b/>
                <w:sz w:val="16"/>
              </w:rPr>
              <w:t>flat @10</w:t>
            </w:r>
          </w:p>
        </w:tc>
        <w:tc>
          <w:tcPr>
            <w:tcW w:type="dxa" w:w="1008"/>
            <w:shd w:val="clear" w:fill="F2F2F2"/>
          </w:tcPr>
          <w:p>
            <w:pPr>
              <w:spacing w:line="240" w:lineRule="auto" w:after="0" w:before="0"/>
            </w:pPr>
            <w:r>
              <w:rPr>
                <w:b/>
              </w:rPr>
            </w:r>
            <w:r>
              <w:rPr>
                <w:b/>
                <w:sz w:val="16"/>
              </w:rPr>
              <w:t>Δ@5 vs full (95% CI)</w:t>
            </w:r>
          </w:p>
        </w:tc>
        <w:tc>
          <w:tcPr>
            <w:tcW w:type="dxa" w:w="1008"/>
            <w:shd w:val="clear" w:fill="F2F2F2"/>
          </w:tcPr>
          <w:p>
            <w:pPr>
              <w:spacing w:line="240" w:lineRule="auto" w:after="0" w:before="0"/>
            </w:pPr>
            <w:r>
              <w:rPr>
                <w:b/>
              </w:rPr>
            </w:r>
            <w:r>
              <w:rPr>
                <w:b/>
                <w:sz w:val="16"/>
              </w:rPr>
              <w:t>two-tier @5</w:t>
            </w:r>
          </w:p>
        </w:tc>
        <w:tc>
          <w:tcPr>
            <w:tcW w:type="dxa" w:w="1008"/>
            <w:shd w:val="clear" w:fill="F2F2F2"/>
          </w:tcPr>
          <w:p>
            <w:pPr>
              <w:spacing w:line="240" w:lineRule="auto" w:after="0" w:before="0"/>
            </w:pPr>
            <w:r>
              <w:rPr>
                <w:b/>
              </w:rPr>
            </w:r>
            <w:r>
              <w:rPr>
                <w:b/>
                <w:sz w:val="16"/>
              </w:rPr>
              <w:t>panel-supported @5 / @10</w:t>
            </w:r>
          </w:p>
        </w:tc>
        <w:tc>
          <w:tcPr>
            <w:tcW w:type="dxa" w:w="1008"/>
            <w:shd w:val="clear" w:fill="F2F2F2"/>
          </w:tcPr>
          <w:p>
            <w:pPr>
              <w:spacing w:line="240" w:lineRule="auto" w:after="0" w:before="0"/>
            </w:pPr>
            <w:r>
              <w:rPr>
                <w:b/>
              </w:rPr>
            </w:r>
            <w:r>
              <w:rPr>
                <w:b/>
                <w:sz w:val="16"/>
              </w:rPr>
              <w:t>stays with identical top-5</w:t>
            </w:r>
          </w:p>
        </w:tc>
      </w:tr>
      <w:tr>
        <w:trPr>
          <w:cantSplit/>
        </w:trPr>
        <w:tc>
          <w:tcPr>
            <w:tcW w:type="dxa" w:w="1008"/>
          </w:tcPr>
          <w:p>
            <w:pPr>
              <w:spacing w:line="240" w:lineRule="auto" w:after="0" w:before="0"/>
            </w:pPr>
            <w:r/>
            <w:r>
              <w:rPr>
                <w:sz w:val="16"/>
              </w:rPr>
              <w:t>full (default profiles)</w:t>
            </w:r>
          </w:p>
        </w:tc>
        <w:tc>
          <w:tcPr>
            <w:tcW w:type="dxa" w:w="1008"/>
          </w:tcPr>
          <w:p>
            <w:pPr>
              <w:spacing w:line="240" w:lineRule="auto" w:after="0" w:before="0"/>
            </w:pPr>
            <w:r/>
            <w:r>
              <w:rPr>
                <w:sz w:val="16"/>
              </w:rPr>
              <w:t>0.35 / 0.25 / 0.20 / 0.10 / 0.10 + 6 domain profiles</w:t>
            </w:r>
          </w:p>
        </w:tc>
        <w:tc>
          <w:tcPr>
            <w:tcW w:type="dxa" w:w="1008"/>
          </w:tcPr>
          <w:p>
            <w:pPr>
              <w:spacing w:line="240" w:lineRule="auto" w:after="0" w:before="0"/>
            </w:pPr>
            <w:r/>
            <w:r>
              <w:rPr>
                <w:sz w:val="16"/>
              </w:rPr>
              <w:t>47.9</w:t>
            </w:r>
          </w:p>
        </w:tc>
        <w:tc>
          <w:tcPr>
            <w:tcW w:type="dxa" w:w="1008"/>
          </w:tcPr>
          <w:p>
            <w:pPr>
              <w:spacing w:line="240" w:lineRule="auto" w:after="0" w:before="0"/>
            </w:pPr>
            <w:r/>
            <w:r>
              <w:rPr>
                <w:sz w:val="16"/>
              </w:rPr>
              <w:t>60.8</w:t>
            </w:r>
          </w:p>
        </w:tc>
        <w:tc>
          <w:tcPr>
            <w:tcW w:type="dxa" w:w="1008"/>
          </w:tcPr>
          <w:p>
            <w:pPr>
              <w:spacing w:line="240" w:lineRule="auto" w:after="0" w:before="0"/>
            </w:pPr>
            <w:r/>
            <w:r>
              <w:rPr>
                <w:sz w:val="16"/>
              </w:rPr>
              <w:t>74.1</w:t>
            </w:r>
          </w:p>
        </w:tc>
        <w:tc>
          <w:tcPr>
            <w:tcW w:type="dxa" w:w="1008"/>
          </w:tcPr>
          <w:p>
            <w:pPr>
              <w:spacing w:line="240" w:lineRule="auto" w:after="0" w:before="0"/>
            </w:pPr>
            <w:r/>
            <w:r>
              <w:rPr>
                <w:sz w:val="16"/>
              </w:rPr>
              <w:t>—</w:t>
            </w:r>
          </w:p>
        </w:tc>
        <w:tc>
          <w:tcPr>
            <w:tcW w:type="dxa" w:w="1008"/>
          </w:tcPr>
          <w:p>
            <w:pPr>
              <w:spacing w:line="240" w:lineRule="auto" w:after="0" w:before="0"/>
            </w:pPr>
            <w:r/>
            <w:r>
              <w:rPr>
                <w:sz w:val="16"/>
              </w:rPr>
              <w:t>71.9</w:t>
            </w:r>
          </w:p>
        </w:tc>
        <w:tc>
          <w:tcPr>
            <w:tcW w:type="dxa" w:w="1008"/>
          </w:tcPr>
          <w:p>
            <w:pPr>
              <w:spacing w:line="240" w:lineRule="auto" w:after="0" w:before="0"/>
            </w:pPr>
            <w:r/>
            <w:r>
              <w:rPr>
                <w:sz w:val="16"/>
              </w:rPr>
              <w:t>78.0 / 91.8</w:t>
            </w:r>
          </w:p>
        </w:tc>
        <w:tc>
          <w:tcPr>
            <w:tcW w:type="dxa" w:w="1008"/>
          </w:tcPr>
          <w:p>
            <w:pPr>
              <w:spacing w:line="240" w:lineRule="auto" w:after="0" w:before="0"/>
            </w:pPr>
            <w:r/>
            <w:r>
              <w:rPr>
                <w:sz w:val="16"/>
              </w:rPr>
              <w:t>100%</w:t>
            </w:r>
          </w:p>
        </w:tc>
      </w:tr>
      <w:tr>
        <w:trPr>
          <w:cantSplit/>
        </w:trPr>
        <w:tc>
          <w:tcPr>
            <w:tcW w:type="dxa" w:w="1008"/>
          </w:tcPr>
          <w:p>
            <w:pPr>
              <w:spacing w:line="240" w:lineRule="auto" w:after="0" w:before="0"/>
            </w:pPr>
            <w:r/>
            <w:r>
              <w:rPr>
                <w:sz w:val="16"/>
              </w:rPr>
              <w:t>uniform_w</w:t>
            </w:r>
          </w:p>
        </w:tc>
        <w:tc>
          <w:tcPr>
            <w:tcW w:type="dxa" w:w="1008"/>
          </w:tcPr>
          <w:p>
            <w:pPr>
              <w:spacing w:line="240" w:lineRule="auto" w:after="0" w:before="0"/>
            </w:pPr>
            <w:r/>
            <w:r>
              <w:rPr>
                <w:sz w:val="16"/>
              </w:rPr>
              <w:t>0.20 × 5, all profiles</w:t>
            </w:r>
          </w:p>
        </w:tc>
        <w:tc>
          <w:tcPr>
            <w:tcW w:type="dxa" w:w="1008"/>
          </w:tcPr>
          <w:p>
            <w:pPr>
              <w:spacing w:line="240" w:lineRule="auto" w:after="0" w:before="0"/>
            </w:pPr>
            <w:r/>
            <w:r>
              <w:rPr>
                <w:sz w:val="16"/>
              </w:rPr>
              <w:t>47.5</w:t>
            </w:r>
          </w:p>
        </w:tc>
        <w:tc>
          <w:tcPr>
            <w:tcW w:type="dxa" w:w="1008"/>
          </w:tcPr>
          <w:p>
            <w:pPr>
              <w:spacing w:line="240" w:lineRule="auto" w:after="0" w:before="0"/>
            </w:pPr>
            <w:r/>
            <w:r>
              <w:rPr>
                <w:sz w:val="16"/>
              </w:rPr>
              <w:t>59.4</w:t>
            </w:r>
          </w:p>
        </w:tc>
        <w:tc>
          <w:tcPr>
            <w:tcW w:type="dxa" w:w="1008"/>
          </w:tcPr>
          <w:p>
            <w:pPr>
              <w:spacing w:line="240" w:lineRule="auto" w:after="0" w:before="0"/>
            </w:pPr>
            <w:r/>
            <w:r>
              <w:rPr>
                <w:sz w:val="16"/>
              </w:rPr>
              <w:t>73.1</w:t>
            </w:r>
          </w:p>
        </w:tc>
        <w:tc>
          <w:tcPr>
            <w:tcW w:type="dxa" w:w="1008"/>
          </w:tcPr>
          <w:p>
            <w:pPr>
              <w:spacing w:line="240" w:lineRule="auto" w:after="0" w:before="0"/>
            </w:pPr>
            <w:r/>
            <w:r>
              <w:rPr>
                <w:sz w:val="16"/>
              </w:rPr>
              <w:t>−1.4 (−2.1 to −0.7)</w:t>
            </w:r>
          </w:p>
        </w:tc>
        <w:tc>
          <w:tcPr>
            <w:tcW w:type="dxa" w:w="1008"/>
          </w:tcPr>
          <w:p>
            <w:pPr>
              <w:spacing w:line="240" w:lineRule="auto" w:after="0" w:before="0"/>
            </w:pPr>
            <w:r/>
            <w:r>
              <w:rPr>
                <w:sz w:val="16"/>
              </w:rPr>
              <w:t>72.2</w:t>
            </w:r>
          </w:p>
        </w:tc>
        <w:tc>
          <w:tcPr>
            <w:tcW w:type="dxa" w:w="1008"/>
          </w:tcPr>
          <w:p>
            <w:pPr>
              <w:spacing w:line="240" w:lineRule="auto" w:after="0" w:before="0"/>
            </w:pPr>
            <w:r/>
            <w:r>
              <w:rPr>
                <w:sz w:val="16"/>
              </w:rPr>
              <w:t>75.7 / 89.9</w:t>
            </w:r>
          </w:p>
        </w:tc>
        <w:tc>
          <w:tcPr>
            <w:tcW w:type="dxa" w:w="1008"/>
          </w:tcPr>
          <w:p>
            <w:pPr>
              <w:spacing w:line="240" w:lineRule="auto" w:after="0" w:before="0"/>
            </w:pPr>
            <w:r/>
            <w:r>
              <w:rPr>
                <w:sz w:val="16"/>
              </w:rPr>
              <w:t>61%</w:t>
            </w:r>
          </w:p>
        </w:tc>
      </w:tr>
      <w:tr>
        <w:trPr>
          <w:cantSplit/>
        </w:trPr>
        <w:tc>
          <w:tcPr>
            <w:tcW w:type="dxa" w:w="1008"/>
          </w:tcPr>
          <w:p>
            <w:pPr>
              <w:spacing w:line="240" w:lineRule="auto" w:after="0" w:before="0"/>
            </w:pPr>
            <w:r/>
            <w:r>
              <w:rPr>
                <w:sz w:val="16"/>
              </w:rPr>
              <w:t>w_rule_heavy</w:t>
            </w:r>
          </w:p>
        </w:tc>
        <w:tc>
          <w:tcPr>
            <w:tcW w:type="dxa" w:w="1008"/>
          </w:tcPr>
          <w:p>
            <w:pPr>
              <w:spacing w:line="240" w:lineRule="auto" w:after="0" w:before="0"/>
            </w:pPr>
            <w:r/>
            <w:r>
              <w:rPr>
                <w:sz w:val="16"/>
              </w:rPr>
              <w:t>0.55 / 0.15 / 0.15 / 0.075 / 0.075, all profiles</w:t>
            </w:r>
          </w:p>
        </w:tc>
        <w:tc>
          <w:tcPr>
            <w:tcW w:type="dxa" w:w="1008"/>
          </w:tcPr>
          <w:p>
            <w:pPr>
              <w:spacing w:line="240" w:lineRule="auto" w:after="0" w:before="0"/>
            </w:pPr>
            <w:r/>
            <w:r>
              <w:rPr>
                <w:sz w:val="16"/>
              </w:rPr>
              <w:t>48.2</w:t>
            </w:r>
          </w:p>
        </w:tc>
        <w:tc>
          <w:tcPr>
            <w:tcW w:type="dxa" w:w="1008"/>
          </w:tcPr>
          <w:p>
            <w:pPr>
              <w:spacing w:line="240" w:lineRule="auto" w:after="0" w:before="0"/>
            </w:pPr>
            <w:r/>
            <w:r>
              <w:rPr>
                <w:sz w:val="16"/>
              </w:rPr>
              <w:t>60.8</w:t>
            </w:r>
          </w:p>
        </w:tc>
        <w:tc>
          <w:tcPr>
            <w:tcW w:type="dxa" w:w="1008"/>
          </w:tcPr>
          <w:p>
            <w:pPr>
              <w:spacing w:line="240" w:lineRule="auto" w:after="0" w:before="0"/>
            </w:pPr>
            <w:r/>
            <w:r>
              <w:rPr>
                <w:sz w:val="16"/>
              </w:rPr>
              <w:t>74.0</w:t>
            </w:r>
          </w:p>
        </w:tc>
        <w:tc>
          <w:tcPr>
            <w:tcW w:type="dxa" w:w="1008"/>
          </w:tcPr>
          <w:p>
            <w:pPr>
              <w:spacing w:line="240" w:lineRule="auto" w:after="0" w:before="0"/>
            </w:pPr>
            <w:r/>
            <w:r>
              <w:rPr>
                <w:sz w:val="16"/>
              </w:rPr>
              <w:t>−0.0 (−0.6 to +0.5)</w:t>
            </w:r>
          </w:p>
        </w:tc>
        <w:tc>
          <w:tcPr>
            <w:tcW w:type="dxa" w:w="1008"/>
          </w:tcPr>
          <w:p>
            <w:pPr>
              <w:spacing w:line="240" w:lineRule="auto" w:after="0" w:before="0"/>
            </w:pPr>
            <w:r/>
            <w:r>
              <w:rPr>
                <w:sz w:val="16"/>
              </w:rPr>
              <w:t>71.8</w:t>
            </w:r>
          </w:p>
        </w:tc>
        <w:tc>
          <w:tcPr>
            <w:tcW w:type="dxa" w:w="1008"/>
          </w:tcPr>
          <w:p>
            <w:pPr>
              <w:spacing w:line="240" w:lineRule="auto" w:after="0" w:before="0"/>
            </w:pPr>
            <w:r/>
            <w:r>
              <w:rPr>
                <w:sz w:val="16"/>
              </w:rPr>
              <w:t>77.9 / 91.8</w:t>
            </w:r>
          </w:p>
        </w:tc>
        <w:tc>
          <w:tcPr>
            <w:tcW w:type="dxa" w:w="1008"/>
          </w:tcPr>
          <w:p>
            <w:pPr>
              <w:spacing w:line="240" w:lineRule="auto" w:after="0" w:before="0"/>
            </w:pPr>
            <w:r/>
            <w:r>
              <w:rPr>
                <w:sz w:val="16"/>
              </w:rPr>
              <w:t>65%</w:t>
            </w:r>
          </w:p>
        </w:tc>
      </w:tr>
      <w:tr>
        <w:trPr>
          <w:cantSplit/>
        </w:trPr>
        <w:tc>
          <w:tcPr>
            <w:tcW w:type="dxa" w:w="1008"/>
          </w:tcPr>
          <w:p>
            <w:pPr>
              <w:spacing w:line="240" w:lineRule="auto" w:after="0" w:before="0"/>
            </w:pPr>
            <w:r/>
            <w:r>
              <w:rPr>
                <w:sz w:val="16"/>
              </w:rPr>
              <w:t>w_rule_light</w:t>
            </w:r>
          </w:p>
        </w:tc>
        <w:tc>
          <w:tcPr>
            <w:tcW w:type="dxa" w:w="1008"/>
          </w:tcPr>
          <w:p>
            <w:pPr>
              <w:spacing w:line="240" w:lineRule="auto" w:after="0" w:before="0"/>
            </w:pPr>
            <w:r/>
            <w:r>
              <w:rPr>
                <w:sz w:val="16"/>
              </w:rPr>
              <w:t>0.20 / 0.30 / 0.25 / 0.125 / 0.125, all profiles</w:t>
            </w:r>
          </w:p>
        </w:tc>
        <w:tc>
          <w:tcPr>
            <w:tcW w:type="dxa" w:w="1008"/>
          </w:tcPr>
          <w:p>
            <w:pPr>
              <w:spacing w:line="240" w:lineRule="auto" w:after="0" w:before="0"/>
            </w:pPr>
            <w:r/>
            <w:r>
              <w:rPr>
                <w:sz w:val="16"/>
              </w:rPr>
              <w:t>47.6</w:t>
            </w:r>
          </w:p>
        </w:tc>
        <w:tc>
          <w:tcPr>
            <w:tcW w:type="dxa" w:w="1008"/>
          </w:tcPr>
          <w:p>
            <w:pPr>
              <w:spacing w:line="240" w:lineRule="auto" w:after="0" w:before="0"/>
            </w:pPr>
            <w:r/>
            <w:r>
              <w:rPr>
                <w:sz w:val="16"/>
              </w:rPr>
              <w:t>59.7</w:t>
            </w:r>
          </w:p>
        </w:tc>
        <w:tc>
          <w:tcPr>
            <w:tcW w:type="dxa" w:w="1008"/>
          </w:tcPr>
          <w:p>
            <w:pPr>
              <w:spacing w:line="240" w:lineRule="auto" w:after="0" w:before="0"/>
            </w:pPr>
            <w:r/>
            <w:r>
              <w:rPr>
                <w:sz w:val="16"/>
              </w:rPr>
              <w:t>73.3</w:t>
            </w:r>
          </w:p>
        </w:tc>
        <w:tc>
          <w:tcPr>
            <w:tcW w:type="dxa" w:w="1008"/>
          </w:tcPr>
          <w:p>
            <w:pPr>
              <w:spacing w:line="240" w:lineRule="auto" w:after="0" w:before="0"/>
            </w:pPr>
            <w:r/>
            <w:r>
              <w:rPr>
                <w:sz w:val="16"/>
              </w:rPr>
              <w:t>−1.1 (−1.8 to −0.3)</w:t>
            </w:r>
          </w:p>
        </w:tc>
        <w:tc>
          <w:tcPr>
            <w:tcW w:type="dxa" w:w="1008"/>
          </w:tcPr>
          <w:p>
            <w:pPr>
              <w:spacing w:line="240" w:lineRule="auto" w:after="0" w:before="0"/>
            </w:pPr>
            <w:r/>
            <w:r>
              <w:rPr>
                <w:sz w:val="16"/>
              </w:rPr>
              <w:t>72.2</w:t>
            </w:r>
          </w:p>
        </w:tc>
        <w:tc>
          <w:tcPr>
            <w:tcW w:type="dxa" w:w="1008"/>
          </w:tcPr>
          <w:p>
            <w:pPr>
              <w:spacing w:line="240" w:lineRule="auto" w:after="0" w:before="0"/>
            </w:pPr>
            <w:r/>
            <w:r>
              <w:rPr>
                <w:sz w:val="16"/>
              </w:rPr>
              <w:t>76.0 / 90.1</w:t>
            </w:r>
          </w:p>
        </w:tc>
        <w:tc>
          <w:tcPr>
            <w:tcW w:type="dxa" w:w="1008"/>
          </w:tcPr>
          <w:p>
            <w:pPr>
              <w:spacing w:line="240" w:lineRule="auto" w:after="0" w:before="0"/>
            </w:pPr>
            <w:r/>
            <w:r>
              <w:rPr>
                <w:sz w:val="16"/>
              </w:rPr>
              <w:t>61%</w:t>
            </w:r>
          </w:p>
        </w:tc>
      </w:tr>
    </w:tbl>
    <w:p/>
    <w:p>
      <w:r>
        <w:t xml:space="preserve">Reading: moving weight toward the rule layer changes nothing measurable; moving it away costs about one point of flat recall@5 while leaving two-tier recall unchanged. The headline is insensitive to the hand-set weights within this range, which is consistent with the layer ablation (rule vote −12.1, syndrome layer −9.5, every other layer ≤ 1.3 points). Files: </w:t>
      </w:r>
      <w:r>
        <w:rPr>
          <w:rFonts w:ascii="Courier New" w:hAnsi="Courier New" w:eastAsia="Courier New" w:cs="Courier New"/>
          <w:color w:val="000000"/>
          <w:sz w:val="22"/>
        </w:rPr>
        <w:t>eval/results/eicu_demo/{report_abl_w_rule_heavy.md, report_abl_w_rule_light.md, ABLATION_v7_ci.md, ABLATION_v7_full.md}</w:t>
      </w:r>
      <w:r>
        <w:t>; chain completed 2026-10-26 01:07 UTC.</w:t>
      </w:r>
    </w:p>
    <w:p>
      <w:pPr>
        <w:pStyle w:val="Heading1"/>
      </w:pPr>
      <w:r>
        <w:rPr>
          <w:rFonts w:ascii="Times New Roman" w:hAnsi="Times New Roman" w:eastAsia="Times New Roman" w:cs="Times New Roman"/>
          <w:b/>
          <w:i w:val="0"/>
          <w:color w:val="000000"/>
        </w:rPr>
        <w:t>Supplementary Table S12b addendum — Historical LLM comparison against the superseded engine v5.1 (text only; superseded)</w:t>
      </w:r>
    </w:p>
    <w:p>
      <w:r>
        <w:t>(figure withdrawn in R8: the superseded numbers are in Table S12b)</w:t>
      </w:r>
    </w:p>
    <w:p>
      <w:r>
        <w:t>Same 400 stays and LLM outputs as the main-text comparison, scored against engine v5.1 (the release current when the LLM was run): recall@5 64.4% (engine) vs 59.6% (LLM). The main text reports the re-score against the frozen v7 (60.7% vs 59.6%), because v7 is the evaluated release; the historical figure is kept so that the change in the engine's number is visible.</w:t>
      </w:r>
    </w:p>
    <w:p>
      <w:pPr>
        <w:pStyle w:val="Heading1"/>
      </w:pPr>
      <w:r>
        <w:rPr>
          <w:rFonts w:ascii="Times New Roman" w:hAnsi="Times New Roman" w:eastAsia="Times New Roman" w:cs="Times New Roman"/>
          <w:b/>
          <w:i w:val="0"/>
          <w:color w:val="000000"/>
        </w:rPr>
        <w:t>Supplementary Table S13 — Participant flow, UCI thyroid0387 and UCI HCV cohorts</w:t>
      </w:r>
    </w:p>
    <w:tbl>
      <w:tblPr>
        <w:tblStyle w:val="TableGrid"/>
        <w:tblW w:type="auto" w:w="0"/>
        <w:jc w:val="center"/>
        <w:tblLook w:firstColumn="1" w:firstRow="1" w:lastColumn="0" w:lastRow="0" w:noHBand="0" w:noVBand="1" w:val="04A0"/>
      </w:tblPr>
      <w:tblGrid>
        <w:gridCol w:w="3024"/>
        <w:gridCol w:w="3024"/>
        <w:gridCol w:w="3024"/>
      </w:tblGrid>
      <w:tr>
        <w:trPr>
          <w:cantSplit/>
          <w:tblHeader/>
        </w:trPr>
        <w:tc>
          <w:tcPr>
            <w:tcW w:type="dxa" w:w="3024"/>
            <w:shd w:val="clear" w:fill="F2F2F2"/>
          </w:tcPr>
          <w:p>
            <w:pPr>
              <w:spacing w:line="240" w:lineRule="auto" w:after="0" w:before="0"/>
            </w:pPr>
            <w:r>
              <w:rPr>
                <w:b/>
              </w:rPr>
            </w:r>
            <w:r>
              <w:rPr>
                <w:b/>
                <w:sz w:val="16"/>
              </w:rPr>
              <w:t>cohort</w:t>
            </w:r>
          </w:p>
        </w:tc>
        <w:tc>
          <w:tcPr>
            <w:tcW w:type="dxa" w:w="3024"/>
            <w:shd w:val="clear" w:fill="F2F2F2"/>
          </w:tcPr>
          <w:p>
            <w:pPr>
              <w:spacing w:line="240" w:lineRule="auto" w:after="0" w:before="0"/>
            </w:pPr>
            <w:r>
              <w:rPr>
                <w:b/>
              </w:rPr>
            </w:r>
            <w:r>
              <w:rPr>
                <w:b/>
                <w:sz w:val="16"/>
              </w:rPr>
              <w:t>step</w:t>
            </w:r>
          </w:p>
        </w:tc>
        <w:tc>
          <w:tcPr>
            <w:tcW w:type="dxa" w:w="3024"/>
            <w:shd w:val="clear" w:fill="F2F2F2"/>
          </w:tcPr>
          <w:p>
            <w:pPr>
              <w:spacing w:line="240" w:lineRule="auto" w:after="0" w:before="0"/>
            </w:pPr>
            <w:r>
              <w:rPr>
                <w:b/>
              </w:rPr>
            </w:r>
            <w:r>
              <w:rPr>
                <w:b/>
                <w:sz w:val="16"/>
              </w:rPr>
              <w:t>n</w:t>
            </w:r>
          </w:p>
        </w:tc>
      </w:tr>
      <w:tr>
        <w:trPr>
          <w:cantSplit/>
        </w:trPr>
        <w:tc>
          <w:tcPr>
            <w:tcW w:type="dxa" w:w="3024"/>
          </w:tcPr>
          <w:p>
            <w:pPr>
              <w:spacing w:line="240" w:lineRule="auto" w:after="0" w:before="0"/>
            </w:pPr>
            <w:r/>
            <w:r>
              <w:rPr>
                <w:sz w:val="16"/>
              </w:rPr>
              <w:t>UCI thyroid0387</w:t>
            </w:r>
          </w:p>
        </w:tc>
        <w:tc>
          <w:tcPr>
            <w:tcW w:type="dxa" w:w="3024"/>
          </w:tcPr>
          <w:p>
            <w:pPr>
              <w:spacing w:line="240" w:lineRule="auto" w:after="0" w:before="0"/>
            </w:pPr>
            <w:r/>
            <w:r>
              <w:rPr>
                <w:sz w:val="16"/>
              </w:rPr>
              <w:t>records with a clinician diagnosis string</w:t>
            </w:r>
          </w:p>
        </w:tc>
        <w:tc>
          <w:tcPr>
            <w:tcW w:type="dxa" w:w="3024"/>
          </w:tcPr>
          <w:p>
            <w:pPr>
              <w:spacing w:line="240" w:lineRule="auto" w:after="0" w:before="0"/>
            </w:pPr>
            <w:r/>
            <w:r>
              <w:rPr>
                <w:sz w:val="16"/>
              </w:rPr>
              <w:t>9,172</w:t>
            </w:r>
          </w:p>
        </w:tc>
      </w:tr>
      <w:tr>
        <w:trPr>
          <w:cantSplit/>
        </w:trPr>
        <w:tc>
          <w:tcPr>
            <w:tcW w:type="dxa" w:w="3024"/>
          </w:tcPr>
          <w:p>
            <w:pPr>
              <w:spacing w:line="240" w:lineRule="auto" w:after="0" w:before="0"/>
            </w:pPr>
            <w:r/>
          </w:p>
        </w:tc>
        <w:tc>
          <w:tcPr>
            <w:tcW w:type="dxa" w:w="3024"/>
          </w:tcPr>
          <w:p>
            <w:pPr>
              <w:spacing w:line="240" w:lineRule="auto" w:after="0" w:before="0"/>
            </w:pPr>
            <w:r/>
            <w:r>
              <w:rPr>
                <w:sz w:val="16"/>
              </w:rPr>
              <w:t>excluded: TSH not measured</w:t>
            </w:r>
          </w:p>
        </w:tc>
        <w:tc>
          <w:tcPr>
            <w:tcW w:type="dxa" w:w="3024"/>
          </w:tcPr>
          <w:p>
            <w:pPr>
              <w:spacing w:line="240" w:lineRule="auto" w:after="0" w:before="0"/>
            </w:pPr>
            <w:r/>
            <w:r>
              <w:rPr>
                <w:sz w:val="16"/>
              </w:rPr>
              <w:t>−842</w:t>
            </w:r>
          </w:p>
        </w:tc>
      </w:tr>
      <w:tr>
        <w:trPr>
          <w:cantSplit/>
        </w:trPr>
        <w:tc>
          <w:tcPr>
            <w:tcW w:type="dxa" w:w="3024"/>
          </w:tcPr>
          <w:p>
            <w:pPr>
              <w:spacing w:line="240" w:lineRule="auto" w:after="0" w:before="0"/>
            </w:pPr>
            <w:r/>
          </w:p>
        </w:tc>
        <w:tc>
          <w:tcPr>
            <w:tcW w:type="dxa" w:w="3024"/>
          </w:tcPr>
          <w:p>
            <w:pPr>
              <w:spacing w:line="240" w:lineRule="auto" w:after="0" w:before="0"/>
            </w:pPr>
            <w:r/>
            <w:r>
              <w:rPr>
                <w:sz w:val="16"/>
              </w:rPr>
              <w:t>excluded: classes R (discordant assay) and I/J/S (binding-protein abnormalities, not interpretable from TSH/T4 alone)</w:t>
            </w:r>
          </w:p>
        </w:tc>
        <w:tc>
          <w:tcPr>
            <w:tcW w:type="dxa" w:w="3024"/>
          </w:tcPr>
          <w:p>
            <w:pPr>
              <w:spacing w:line="240" w:lineRule="auto" w:after="0" w:before="0"/>
            </w:pPr>
            <w:r/>
            <w:r>
              <w:rPr>
                <w:sz w:val="16"/>
              </w:rPr>
              <w:t>−587</w:t>
            </w:r>
          </w:p>
        </w:tc>
      </w:tr>
      <w:tr>
        <w:trPr>
          <w:cantSplit/>
        </w:trPr>
        <w:tc>
          <w:tcPr>
            <w:tcW w:type="dxa" w:w="3024"/>
          </w:tcPr>
          <w:p>
            <w:pPr>
              <w:spacing w:line="240" w:lineRule="auto" w:after="0" w:before="0"/>
            </w:pPr>
            <w:r/>
          </w:p>
        </w:tc>
        <w:tc>
          <w:tcPr>
            <w:tcW w:type="dxa" w:w="3024"/>
          </w:tcPr>
          <w:p>
            <w:pPr>
              <w:spacing w:line="240" w:lineRule="auto" w:after="0" w:before="0"/>
            </w:pPr>
            <w:r/>
            <w:r>
              <w:rPr>
                <w:b/>
                <w:sz w:val="16"/>
              </w:rPr>
              <w:t>scorable records</w:t>
            </w:r>
          </w:p>
        </w:tc>
        <w:tc>
          <w:tcPr>
            <w:tcW w:type="dxa" w:w="3024"/>
          </w:tcPr>
          <w:p>
            <w:pPr>
              <w:spacing w:line="240" w:lineRule="auto" w:after="0" w:before="0"/>
            </w:pPr>
            <w:r/>
            <w:r>
              <w:rPr>
                <w:b/>
                <w:sz w:val="16"/>
              </w:rPr>
              <w:t>7,743</w:t>
            </w:r>
          </w:p>
        </w:tc>
      </w:tr>
      <w:tr>
        <w:trPr>
          <w:cantSplit/>
        </w:trPr>
        <w:tc>
          <w:tcPr>
            <w:tcW w:type="dxa" w:w="3024"/>
          </w:tcPr>
          <w:p>
            <w:pPr>
              <w:spacing w:line="240" w:lineRule="auto" w:after="0" w:before="0"/>
            </w:pPr>
            <w:r/>
          </w:p>
        </w:tc>
        <w:tc>
          <w:tcPr>
            <w:tcW w:type="dxa" w:w="3024"/>
          </w:tcPr>
          <w:p>
            <w:pPr>
              <w:spacing w:line="240" w:lineRule="auto" w:after="0" w:before="0"/>
            </w:pPr>
            <w:r/>
            <w:r>
              <w:rPr>
                <w:sz w:val="16"/>
              </w:rPr>
              <w:t>→ no-comment controls (negative set for every task)</w:t>
            </w:r>
          </w:p>
        </w:tc>
        <w:tc>
          <w:tcPr>
            <w:tcW w:type="dxa" w:w="3024"/>
          </w:tcPr>
          <w:p>
            <w:pPr>
              <w:spacing w:line="240" w:lineRule="auto" w:after="0" w:before="0"/>
            </w:pPr>
            <w:r/>
            <w:r>
              <w:rPr>
                <w:sz w:val="16"/>
              </w:rPr>
              <w:t>6,082</w:t>
            </w:r>
          </w:p>
        </w:tc>
      </w:tr>
      <w:tr>
        <w:trPr>
          <w:cantSplit/>
        </w:trPr>
        <w:tc>
          <w:tcPr>
            <w:tcW w:type="dxa" w:w="3024"/>
          </w:tcPr>
          <w:p>
            <w:pPr>
              <w:spacing w:line="240" w:lineRule="auto" w:after="0" w:before="0"/>
            </w:pPr>
            <w:r/>
          </w:p>
        </w:tc>
        <w:tc>
          <w:tcPr>
            <w:tcW w:type="dxa" w:w="3024"/>
          </w:tcPr>
          <w:p>
            <w:pPr>
              <w:spacing w:line="240" w:lineRule="auto" w:after="0" w:before="0"/>
            </w:pPr>
            <w:r/>
            <w:r>
              <w:rPr>
                <w:sz w:val="16"/>
              </w:rPr>
              <w:t>→ hypothyroid classes E/F/G/H (task H1 positives)</w:t>
            </w:r>
          </w:p>
        </w:tc>
        <w:tc>
          <w:tcPr>
            <w:tcW w:type="dxa" w:w="3024"/>
          </w:tcPr>
          <w:p>
            <w:pPr>
              <w:spacing w:line="240" w:lineRule="auto" w:after="0" w:before="0"/>
            </w:pPr>
            <w:r/>
            <w:r>
              <w:rPr>
                <w:sz w:val="16"/>
              </w:rPr>
              <w:t>655</w:t>
            </w:r>
          </w:p>
        </w:tc>
      </w:tr>
      <w:tr>
        <w:trPr>
          <w:cantSplit/>
        </w:trPr>
        <w:tc>
          <w:tcPr>
            <w:tcW w:type="dxa" w:w="3024"/>
          </w:tcPr>
          <w:p>
            <w:pPr>
              <w:spacing w:line="240" w:lineRule="auto" w:after="0" w:before="0"/>
            </w:pPr>
            <w:r/>
          </w:p>
        </w:tc>
        <w:tc>
          <w:tcPr>
            <w:tcW w:type="dxa" w:w="3024"/>
          </w:tcPr>
          <w:p>
            <w:pPr>
              <w:spacing w:line="240" w:lineRule="auto" w:after="0" w:before="0"/>
            </w:pPr>
            <w:r/>
            <w:r>
              <w:rPr>
                <w:sz w:val="16"/>
              </w:rPr>
              <w:t>→ hyperthyroid classes A/B/C/D (task H2 positives)</w:t>
            </w:r>
          </w:p>
        </w:tc>
        <w:tc>
          <w:tcPr>
            <w:tcW w:type="dxa" w:w="3024"/>
          </w:tcPr>
          <w:p>
            <w:pPr>
              <w:spacing w:line="240" w:lineRule="auto" w:after="0" w:before="0"/>
            </w:pPr>
            <w:r/>
            <w:r>
              <w:rPr>
                <w:sz w:val="16"/>
              </w:rPr>
              <w:t>195</w:t>
            </w:r>
          </w:p>
        </w:tc>
      </w:tr>
      <w:tr>
        <w:trPr>
          <w:cantSplit/>
        </w:trPr>
        <w:tc>
          <w:tcPr>
            <w:tcW w:type="dxa" w:w="3024"/>
          </w:tcPr>
          <w:p>
            <w:pPr>
              <w:spacing w:line="240" w:lineRule="auto" w:after="0" w:before="0"/>
            </w:pPr>
            <w:r/>
          </w:p>
        </w:tc>
        <w:tc>
          <w:tcPr>
            <w:tcW w:type="dxa" w:w="3024"/>
          </w:tcPr>
          <w:p>
            <w:pPr>
              <w:spacing w:line="240" w:lineRule="auto" w:after="0" w:before="0"/>
            </w:pPr>
            <w:r/>
            <w:r>
              <w:rPr>
                <w:sz w:val="16"/>
              </w:rPr>
              <w:t>→ other classes, not positives or negatives of any task: K concurrent non-thyroidal illness 433; L/M/N replacement therapy 329; O/P/Q antithyroid treatment / miscellaneous 33; mixed MK 16</w:t>
            </w:r>
          </w:p>
        </w:tc>
        <w:tc>
          <w:tcPr>
            <w:tcW w:type="dxa" w:w="3024"/>
          </w:tcPr>
          <w:p>
            <w:pPr>
              <w:spacing w:line="240" w:lineRule="auto" w:after="0" w:before="0"/>
            </w:pPr>
            <w:r/>
            <w:r>
              <w:rPr>
                <w:sz w:val="16"/>
              </w:rPr>
              <w:t>811</w:t>
            </w:r>
          </w:p>
        </w:tc>
      </w:tr>
      <w:tr>
        <w:trPr>
          <w:cantSplit/>
        </w:trPr>
        <w:tc>
          <w:tcPr>
            <w:tcW w:type="dxa" w:w="3024"/>
          </w:tcPr>
          <w:p>
            <w:pPr>
              <w:spacing w:line="240" w:lineRule="auto" w:after="0" w:before="0"/>
            </w:pPr>
            <w:r/>
            <w:r>
              <w:rPr>
                <w:sz w:val="16"/>
              </w:rPr>
              <w:t>UCI HCV (Hoffmann 2018)</w:t>
            </w:r>
          </w:p>
        </w:tc>
        <w:tc>
          <w:tcPr>
            <w:tcW w:type="dxa" w:w="3024"/>
          </w:tcPr>
          <w:p>
            <w:pPr>
              <w:spacing w:line="240" w:lineRule="auto" w:after="0" w:before="0"/>
            </w:pPr>
            <w:r/>
            <w:r>
              <w:rPr>
                <w:sz w:val="16"/>
              </w:rPr>
              <w:t>records</w:t>
            </w:r>
          </w:p>
        </w:tc>
        <w:tc>
          <w:tcPr>
            <w:tcW w:type="dxa" w:w="3024"/>
          </w:tcPr>
          <w:p>
            <w:pPr>
              <w:spacing w:line="240" w:lineRule="auto" w:after="0" w:before="0"/>
            </w:pPr>
            <w:r/>
            <w:r>
              <w:rPr>
                <w:sz w:val="16"/>
              </w:rPr>
              <w:t>615</w:t>
            </w:r>
          </w:p>
        </w:tc>
      </w:tr>
      <w:tr>
        <w:trPr>
          <w:cantSplit/>
        </w:trPr>
        <w:tc>
          <w:tcPr>
            <w:tcW w:type="dxa" w:w="3024"/>
          </w:tcPr>
          <w:p>
            <w:pPr>
              <w:spacing w:line="240" w:lineRule="auto" w:after="0" w:before="0"/>
            </w:pPr>
            <w:r/>
          </w:p>
        </w:tc>
        <w:tc>
          <w:tcPr>
            <w:tcW w:type="dxa" w:w="3024"/>
          </w:tcPr>
          <w:p>
            <w:pPr>
              <w:spacing w:line="240" w:lineRule="auto" w:after="0" w:before="0"/>
            </w:pPr>
            <w:r/>
            <w:r>
              <w:rPr>
                <w:sz w:val="16"/>
              </w:rPr>
              <w:t>blood donors (negative set)</w:t>
            </w:r>
          </w:p>
        </w:tc>
        <w:tc>
          <w:tcPr>
            <w:tcW w:type="dxa" w:w="3024"/>
          </w:tcPr>
          <w:p>
            <w:pPr>
              <w:spacing w:line="240" w:lineRule="auto" w:after="0" w:before="0"/>
            </w:pPr>
            <w:r/>
            <w:r>
              <w:rPr>
                <w:sz w:val="16"/>
              </w:rPr>
              <w:t>533</w:t>
            </w:r>
          </w:p>
        </w:tc>
      </w:tr>
      <w:tr>
        <w:trPr>
          <w:cantSplit/>
        </w:trPr>
        <w:tc>
          <w:tcPr>
            <w:tcW w:type="dxa" w:w="3024"/>
          </w:tcPr>
          <w:p>
            <w:pPr>
              <w:spacing w:line="240" w:lineRule="auto" w:after="0" w:before="0"/>
            </w:pPr>
            <w:r/>
          </w:p>
        </w:tc>
        <w:tc>
          <w:tcPr>
            <w:tcW w:type="dxa" w:w="3024"/>
          </w:tcPr>
          <w:p>
            <w:pPr>
              <w:spacing w:line="240" w:lineRule="auto" w:after="0" w:before="0"/>
            </w:pPr>
            <w:r/>
            <w:r>
              <w:rPr>
                <w:sz w:val="16"/>
              </w:rPr>
              <w:t>suspect blood donors — ambiguous label, excluded from both tasks</w:t>
            </w:r>
          </w:p>
        </w:tc>
        <w:tc>
          <w:tcPr>
            <w:tcW w:type="dxa" w:w="3024"/>
          </w:tcPr>
          <w:p>
            <w:pPr>
              <w:spacing w:line="240" w:lineRule="auto" w:after="0" w:before="0"/>
            </w:pPr>
            <w:r/>
            <w:r>
              <w:rPr>
                <w:sz w:val="16"/>
              </w:rPr>
              <w:t>7</w:t>
            </w:r>
          </w:p>
        </w:tc>
      </w:tr>
      <w:tr>
        <w:trPr>
          <w:cantSplit/>
        </w:trPr>
        <w:tc>
          <w:tcPr>
            <w:tcW w:type="dxa" w:w="3024"/>
          </w:tcPr>
          <w:p>
            <w:pPr>
              <w:spacing w:line="240" w:lineRule="auto" w:after="0" w:before="0"/>
            </w:pPr>
            <w:r/>
          </w:p>
        </w:tc>
        <w:tc>
          <w:tcPr>
            <w:tcW w:type="dxa" w:w="3024"/>
          </w:tcPr>
          <w:p>
            <w:pPr>
              <w:spacing w:line="240" w:lineRule="auto" w:after="0" w:before="0"/>
            </w:pPr>
            <w:r/>
            <w:r>
              <w:rPr>
                <w:sz w:val="16"/>
              </w:rPr>
              <w:t>hepatitis / fibrosis / cirrhosis (task A positives, 24 + 21 + 30)</w:t>
            </w:r>
          </w:p>
        </w:tc>
        <w:tc>
          <w:tcPr>
            <w:tcW w:type="dxa" w:w="3024"/>
          </w:tcPr>
          <w:p>
            <w:pPr>
              <w:spacing w:line="240" w:lineRule="auto" w:after="0" w:before="0"/>
            </w:pPr>
            <w:r/>
            <w:r>
              <w:rPr>
                <w:sz w:val="16"/>
              </w:rPr>
              <w:t>75</w:t>
            </w:r>
          </w:p>
        </w:tc>
      </w:tr>
      <w:tr>
        <w:trPr>
          <w:cantSplit/>
        </w:trPr>
        <w:tc>
          <w:tcPr>
            <w:tcW w:type="dxa" w:w="3024"/>
          </w:tcPr>
          <w:p>
            <w:pPr>
              <w:spacing w:line="240" w:lineRule="auto" w:after="0" w:before="0"/>
            </w:pPr>
            <w:r/>
          </w:p>
        </w:tc>
        <w:tc>
          <w:tcPr>
            <w:tcW w:type="dxa" w:w="3024"/>
          </w:tcPr>
          <w:p>
            <w:pPr>
              <w:spacing w:line="240" w:lineRule="auto" w:after="0" w:before="0"/>
            </w:pPr>
            <w:r/>
            <w:r>
              <w:rPr>
                <w:sz w:val="16"/>
              </w:rPr>
              <w:t>task B cirrhosis: positives 30; negatives = donors + hepatitis + fibrosis</w:t>
            </w:r>
          </w:p>
        </w:tc>
        <w:tc>
          <w:tcPr>
            <w:tcW w:type="dxa" w:w="3024"/>
          </w:tcPr>
          <w:p>
            <w:pPr>
              <w:spacing w:line="240" w:lineRule="auto" w:after="0" w:before="0"/>
            </w:pPr>
            <w:r/>
            <w:r>
              <w:rPr>
                <w:sz w:val="16"/>
              </w:rPr>
              <w:t>30 vs 578</w:t>
            </w:r>
          </w:p>
        </w:tc>
      </w:tr>
      <w:tr>
        <w:trPr>
          <w:cantSplit/>
        </w:trPr>
        <w:tc>
          <w:tcPr>
            <w:tcW w:type="dxa" w:w="3024"/>
          </w:tcPr>
          <w:p>
            <w:pPr>
              <w:spacing w:line="240" w:lineRule="auto" w:after="0" w:before="0"/>
            </w:pPr>
            <w:r/>
            <w:r>
              <w:rPr>
                <w:sz w:val="16"/>
              </w:rPr>
              <w:t>ILPD</w:t>
            </w:r>
          </w:p>
        </w:tc>
        <w:tc>
          <w:tcPr>
            <w:tcW w:type="dxa" w:w="3024"/>
          </w:tcPr>
          <w:p>
            <w:pPr>
              <w:spacing w:line="240" w:lineRule="auto" w:after="0" w:before="0"/>
            </w:pPr>
            <w:r/>
            <w:r>
              <w:rPr>
                <w:sz w:val="16"/>
              </w:rPr>
              <w:t>liver patients / non-patients (no exclusions)</w:t>
            </w:r>
          </w:p>
        </w:tc>
        <w:tc>
          <w:tcPr>
            <w:tcW w:type="dxa" w:w="3024"/>
          </w:tcPr>
          <w:p>
            <w:pPr>
              <w:spacing w:line="240" w:lineRule="auto" w:after="0" w:before="0"/>
            </w:pPr>
            <w:r/>
            <w:r>
              <w:rPr>
                <w:sz w:val="16"/>
              </w:rPr>
              <w:t>416 / 167</w:t>
            </w:r>
          </w:p>
        </w:tc>
      </w:tr>
    </w:tbl>
    <w:p/>
    <w:p>
      <w:pPr>
        <w:pStyle w:val="Heading1"/>
      </w:pPr>
      <w:r>
        <w:rPr>
          <w:rFonts w:ascii="Times New Roman" w:hAnsi="Times New Roman" w:eastAsia="Times New Roman" w:cs="Times New Roman"/>
          <w:b/>
          <w:i w:val="0"/>
          <w:color w:val="000000"/>
        </w:rPr>
        <w:t>Supplementary Note 4 — Regression gate: definition and residual failures</w:t>
      </w:r>
    </w:p>
    <w:p>
      <w:r>
        <w:rPr>
          <w:b/>
        </w:rPr>
        <w:t>Definition (unchanged since release 13.4.1).</w:t>
      </w:r>
      <w:r>
        <w:t xml:space="preserve"> A candidate engine/registry pair may be used for any real-data run only if (i) all unit tests pass; (ii) in the three adversarial vignette batteries (151, 124, 78 cases; expected diagnosis must appear at or above a per-case maximum rank) no case that passed in the previous shipped release fails; (iii) in the perturbation battery (151 cases × 5 replicates of 3% multiplicative noise = 755 pairs) no new pair fails and no case becomes "brittle" (&lt; 4/5 replicates) that was not already brittle; (iv) the 1,000-panel healthy sweep produces zero syndrome fires and zero diagnoses ≥ 0.5; (v) the SI/conventional unit-twin battery produces identical rankings. The gate is non-regression, not perfection; it was chosen so that a correctness change can never be accepted at the price of a previously correct case.</w:t>
      </w:r>
    </w:p>
    <w:p>
      <w:r>
        <w:rPr>
          <w:b/>
        </w:rPr>
        <w:t>Residual failures in the frozen v7 (both pre-date v7 and are deliberately unpatched).</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cantSplit/>
          <w:tblHeader/>
        </w:trPr>
        <w:tc>
          <w:tcPr>
            <w:tcW w:type="dxa" w:w="1814"/>
            <w:shd w:val="clear" w:fill="F2F2F2"/>
          </w:tcPr>
          <w:p>
            <w:pPr>
              <w:spacing w:line="240" w:lineRule="auto" w:after="0" w:before="0"/>
            </w:pPr>
            <w:r>
              <w:rPr>
                <w:b/>
              </w:rPr>
            </w:r>
            <w:r>
              <w:rPr>
                <w:b/>
                <w:sz w:val="16"/>
              </w:rPr>
              <w:t>battery</w:t>
            </w:r>
          </w:p>
        </w:tc>
        <w:tc>
          <w:tcPr>
            <w:tcW w:type="dxa" w:w="1814"/>
            <w:shd w:val="clear" w:fill="F2F2F2"/>
          </w:tcPr>
          <w:p>
            <w:pPr>
              <w:spacing w:line="240" w:lineRule="auto" w:after="0" w:before="0"/>
            </w:pPr>
            <w:r>
              <w:rPr>
                <w:b/>
              </w:rPr>
            </w:r>
            <w:r>
              <w:rPr>
                <w:b/>
                <w:sz w:val="16"/>
              </w:rPr>
              <w:t>case</w:t>
            </w:r>
          </w:p>
        </w:tc>
        <w:tc>
          <w:tcPr>
            <w:tcW w:type="dxa" w:w="1814"/>
            <w:shd w:val="clear" w:fill="F2F2F2"/>
          </w:tcPr>
          <w:p>
            <w:pPr>
              <w:spacing w:line="240" w:lineRule="auto" w:after="0" w:before="0"/>
            </w:pPr>
            <w:r>
              <w:rPr>
                <w:b/>
              </w:rPr>
            </w:r>
            <w:r>
              <w:rPr>
                <w:b/>
                <w:sz w:val="16"/>
              </w:rPr>
              <w:t>v7</w:t>
            </w:r>
          </w:p>
        </w:tc>
        <w:tc>
          <w:tcPr>
            <w:tcW w:type="dxa" w:w="1814"/>
            <w:shd w:val="clear" w:fill="F2F2F2"/>
          </w:tcPr>
          <w:p>
            <w:pPr>
              <w:spacing w:line="240" w:lineRule="auto" w:after="0" w:before="0"/>
            </w:pPr>
            <w:r>
              <w:rPr>
                <w:b/>
              </w:rPr>
            </w:r>
            <w:r>
              <w:rPr>
                <w:b/>
                <w:sz w:val="16"/>
              </w:rPr>
              <w:t>14.1</w:t>
            </w:r>
          </w:p>
        </w:tc>
        <w:tc>
          <w:tcPr>
            <w:tcW w:type="dxa" w:w="1814"/>
            <w:shd w:val="clear" w:fill="F2F2F2"/>
          </w:tcPr>
          <w:p>
            <w:pPr>
              <w:spacing w:line="240" w:lineRule="auto" w:after="0" w:before="0"/>
            </w:pPr>
            <w:r>
              <w:rPr>
                <w:b/>
              </w:rPr>
            </w:r>
            <w:r>
              <w:rPr>
                <w:b/>
                <w:sz w:val="16"/>
              </w:rPr>
              <w:t>reason not patched</w:t>
            </w:r>
          </w:p>
        </w:tc>
      </w:tr>
      <w:tr>
        <w:trPr>
          <w:cantSplit/>
        </w:trPr>
        <w:tc>
          <w:tcPr>
            <w:tcW w:type="dxa" w:w="1814"/>
          </w:tcPr>
          <w:p>
            <w:pPr>
              <w:spacing w:line="240" w:lineRule="auto" w:after="0" w:before="0"/>
            </w:pPr>
            <w:r/>
            <w:r>
              <w:rPr>
                <w:sz w:val="16"/>
              </w:rPr>
              <w:t>vignettes 3 (78)</w:t>
            </w:r>
          </w:p>
        </w:tc>
        <w:tc>
          <w:tcPr>
            <w:tcW w:type="dxa" w:w="1814"/>
          </w:tcPr>
          <w:p>
            <w:pPr>
              <w:spacing w:line="240" w:lineRule="auto" w:after="0" w:before="0"/>
            </w:pPr>
            <w:r/>
            <w:r>
              <w:rPr>
                <w:sz w:val="16"/>
              </w:rPr>
              <w:t xml:space="preserve">alcoholic pancreatitis vignette — expected rank 1, obtained rank 2 behind </w:t>
            </w:r>
            <w:r>
              <w:rPr>
                <w:i/>
                <w:sz w:val="16"/>
              </w:rPr>
              <w:t>alcohol-use disorder</w:t>
            </w:r>
            <w:r>
              <w:rPr>
                <w:sz w:val="16"/>
              </w:rPr>
              <w:t xml:space="preserve"> (both "supported", 0.79)</w:t>
            </w:r>
          </w:p>
        </w:tc>
        <w:tc>
          <w:tcPr>
            <w:tcW w:type="dxa" w:w="1814"/>
          </w:tcPr>
          <w:p>
            <w:pPr>
              <w:spacing w:line="240" w:lineRule="auto" w:after="0" w:before="0"/>
            </w:pPr>
            <w:r/>
            <w:r>
              <w:rPr>
                <w:sz w:val="16"/>
              </w:rPr>
              <w:t>77/78</w:t>
            </w:r>
          </w:p>
        </w:tc>
        <w:tc>
          <w:tcPr>
            <w:tcW w:type="dxa" w:w="1814"/>
          </w:tcPr>
          <w:p>
            <w:pPr>
              <w:spacing w:line="240" w:lineRule="auto" w:after="0" w:before="0"/>
            </w:pPr>
            <w:r/>
            <w:r>
              <w:rPr>
                <w:sz w:val="16"/>
              </w:rPr>
              <w:t>77/78</w:t>
            </w:r>
          </w:p>
        </w:tc>
        <w:tc>
          <w:tcPr>
            <w:tcW w:type="dxa" w:w="1814"/>
          </w:tcPr>
          <w:p>
            <w:pPr>
              <w:spacing w:line="240" w:lineRule="auto" w:after="0" w:before="0"/>
            </w:pPr>
            <w:r/>
            <w:r>
              <w:rPr>
                <w:sz w:val="16"/>
              </w:rPr>
              <w:t>a rule written for this vignette would be outcome-fitting; the ranking is clinically defensible</w:t>
            </w:r>
          </w:p>
        </w:tc>
      </w:tr>
      <w:tr>
        <w:trPr>
          <w:cantSplit/>
        </w:trPr>
        <w:tc>
          <w:tcPr>
            <w:tcW w:type="dxa" w:w="1814"/>
          </w:tcPr>
          <w:p>
            <w:pPr>
              <w:spacing w:line="240" w:lineRule="auto" w:after="0" w:before="0"/>
            </w:pPr>
            <w:r/>
            <w:r>
              <w:rPr>
                <w:sz w:val="16"/>
              </w:rPr>
              <w:t>perturbation (755)</w:t>
            </w:r>
          </w:p>
        </w:tc>
        <w:tc>
          <w:tcPr>
            <w:tcW w:type="dxa" w:w="1814"/>
          </w:tcPr>
          <w:p>
            <w:pPr>
              <w:spacing w:line="240" w:lineRule="auto" w:after="0" w:before="0"/>
            </w:pPr>
            <w:r/>
            <w:r>
              <w:rPr>
                <w:sz w:val="16"/>
              </w:rPr>
              <w:t>thiazide-associated hypovolaemic hyponatraemia (five noisy replicates of one vignette): 3/5 replicates keep the expected rank in v7, 2/5 in release 14.1 — i.e. v7 recovered one replicate; the two residual failures are replicates 2 and 4 of this single vignette and there is no other failing perturbation pair</w:t>
            </w:r>
          </w:p>
        </w:tc>
        <w:tc>
          <w:tcPr>
            <w:tcW w:type="dxa" w:w="1814"/>
          </w:tcPr>
          <w:p>
            <w:pPr>
              <w:spacing w:line="240" w:lineRule="auto" w:after="0" w:before="0"/>
            </w:pPr>
            <w:r/>
            <w:r>
              <w:rPr>
                <w:sz w:val="16"/>
              </w:rPr>
              <w:t>753/755</w:t>
            </w:r>
          </w:p>
        </w:tc>
        <w:tc>
          <w:tcPr>
            <w:tcW w:type="dxa" w:w="1814"/>
          </w:tcPr>
          <w:p>
            <w:pPr>
              <w:spacing w:line="240" w:lineRule="auto" w:after="0" w:before="0"/>
            </w:pPr>
            <w:r/>
            <w:r>
              <w:rPr>
                <w:sz w:val="16"/>
              </w:rPr>
              <w:t>752/755</w:t>
            </w:r>
          </w:p>
        </w:tc>
        <w:tc>
          <w:tcPr>
            <w:tcW w:type="dxa" w:w="1814"/>
          </w:tcPr>
          <w:p>
            <w:pPr>
              <w:spacing w:line="240" w:lineRule="auto" w:after="0" w:before="0"/>
            </w:pPr>
            <w:r/>
            <w:r>
              <w:rPr>
                <w:sz w:val="16"/>
              </w:rPr>
              <w:t>the case sits on the sodium/urate decision boundary; moving the boundary for it was tried during development and rejected because it over-fired elsewhere</w:t>
            </w:r>
          </w:p>
        </w:tc>
      </w:tr>
    </w:tbl>
    <w:p/>
    <w:p>
      <w:pPr>
        <w:pStyle w:val="Heading1"/>
      </w:pPr>
      <w:r>
        <w:rPr>
          <w:rFonts w:ascii="Times New Roman" w:hAnsi="Times New Roman" w:eastAsia="Times New Roman" w:cs="Times New Roman"/>
          <w:b/>
          <w:i w:val="0"/>
          <w:color w:val="000000"/>
        </w:rPr>
        <w:t>Supplementary Table S4 — Subgroup recall, frozen engine v7 (eICU demo, 2,314 stays; replaces the v6-era figures 65.4 %/61.1 % quoted in the first submission)</w:t>
      </w:r>
    </w:p>
    <w:p>
      <w:pPr>
        <w:pStyle w:val="Heading2"/>
      </w:pPr>
      <w:r>
        <w:rPr>
          <w:rFonts w:ascii="Times New Roman" w:hAnsi="Times New Roman" w:eastAsia="Times New Roman" w:cs="Times New Roman"/>
          <w:b/>
          <w:i w:val="0"/>
          <w:color w:val="000000"/>
        </w:rPr>
        <w:t>Source table : Subgroup and fairness analysis — eICU-CRD demo (n = 2314 stays), engine v7</w:t>
      </w:r>
    </w:p>
    <w:p>
      <w:r>
        <w:t>Metrics are pooled over all laboratory-detectable clinician-listed diagnoses in the stratum. recall@5 CI = 1,000-stay bootstrap. AUROC columns use the per-stay group probability for the four most frequent groups; '—' = fewer than 5 positives or negatives. The engine contains no race, ethnicity or hospital term; eGFR is CKD-EPI 2021 (race-free). Strata with &lt; 40 stays are shown but not interpreted.</w:t>
      </w:r>
    </w:p>
    <w:p>
      <w:r>
        <w:t>Overall: recall@5 60.8%, recall@10 74.1%, chart support 23.2% (n = 4218), false-assertion proxy in stays with empty problem list 93.8% (n = 1136).</w:t>
      </w:r>
    </w:p>
    <w:p>
      <w:pPr>
        <w:pStyle w:val="Heading3"/>
      </w:pPr>
      <w:r>
        <w:rPr>
          <w:rFonts w:ascii="Times New Roman" w:hAnsi="Times New Roman" w:eastAsia="Times New Roman" w:cs="Times New Roman"/>
          <w:b/>
          <w:i/>
          <w:color w:val="000000"/>
        </w:rPr>
        <w:t>By sex</w:t>
      </w:r>
    </w:p>
    <w:tbl>
      <w:tblPr>
        <w:tblStyle w:val="TableGrid"/>
        <w:tblW w:type="auto" w:w="0"/>
        <w:jc w:val="center"/>
        <w:tblLook w:firstColumn="1" w:firstRow="1" w:lastColumn="0" w:lastRow="0" w:noHBand="0" w:noVBand="1" w:val="04A0"/>
      </w:tblPr>
      <w:tblGrid>
        <w:gridCol w:w="907"/>
        <w:gridCol w:w="907"/>
        <w:gridCol w:w="907"/>
        <w:gridCol w:w="907"/>
        <w:gridCol w:w="907"/>
        <w:gridCol w:w="907"/>
        <w:gridCol w:w="907"/>
        <w:gridCol w:w="907"/>
        <w:gridCol w:w="907"/>
        <w:gridCol w:w="907"/>
      </w:tblGrid>
      <w:tr>
        <w:trPr>
          <w:cantSplit/>
          <w:tblHeader/>
        </w:trPr>
        <w:tc>
          <w:tcPr>
            <w:tcW w:type="dxa" w:w="907"/>
            <w:shd w:val="clear" w:fill="F2F2F2"/>
          </w:tcPr>
          <w:p>
            <w:pPr>
              <w:spacing w:line="240" w:lineRule="auto" w:after="0" w:before="0"/>
            </w:pPr>
            <w:r>
              <w:rPr>
                <w:b/>
              </w:rPr>
            </w:r>
            <w:r>
              <w:rPr>
                <w:b/>
                <w:sz w:val="16"/>
              </w:rPr>
              <w:t>stratum</w:t>
            </w:r>
          </w:p>
        </w:tc>
        <w:tc>
          <w:tcPr>
            <w:tcW w:type="dxa" w:w="907"/>
            <w:shd w:val="clear" w:fill="F2F2F2"/>
          </w:tcPr>
          <w:p>
            <w:pPr>
              <w:spacing w:line="240" w:lineRule="auto" w:after="0" w:before="0"/>
            </w:pPr>
            <w:r>
              <w:rPr>
                <w:b/>
              </w:rPr>
            </w:r>
            <w:r>
              <w:rPr>
                <w:b/>
                <w:sz w:val="16"/>
              </w:rPr>
              <w:t>stays</w:t>
            </w:r>
          </w:p>
        </w:tc>
        <w:tc>
          <w:tcPr>
            <w:tcW w:type="dxa" w:w="907"/>
            <w:shd w:val="clear" w:fill="F2F2F2"/>
          </w:tcPr>
          <w:p>
            <w:pPr>
              <w:spacing w:line="240" w:lineRule="auto" w:after="0" w:before="0"/>
            </w:pPr>
            <w:r>
              <w:rPr>
                <w:b/>
              </w:rPr>
            </w:r>
            <w:r>
              <w:rPr>
                <w:b/>
                <w:sz w:val="16"/>
              </w:rPr>
              <w:t>listed dx</w:t>
            </w:r>
          </w:p>
        </w:tc>
        <w:tc>
          <w:tcPr>
            <w:tcW w:type="dxa" w:w="907"/>
            <w:shd w:val="clear" w:fill="F2F2F2"/>
          </w:tcPr>
          <w:p>
            <w:pPr>
              <w:spacing w:line="240" w:lineRule="auto" w:after="0" w:before="0"/>
            </w:pPr>
            <w:r>
              <w:rPr>
                <w:b/>
              </w:rPr>
            </w:r>
            <w:r>
              <w:rPr>
                <w:b/>
                <w:sz w:val="16"/>
              </w:rPr>
              <w:t>recall@5 (95 % CI)</w:t>
            </w:r>
          </w:p>
        </w:tc>
        <w:tc>
          <w:tcPr>
            <w:tcW w:type="dxa" w:w="907"/>
            <w:shd w:val="clear" w:fill="F2F2F2"/>
          </w:tcPr>
          <w:p>
            <w:pPr>
              <w:spacing w:line="240" w:lineRule="auto" w:after="0" w:before="0"/>
            </w:pPr>
            <w:r>
              <w:rPr>
                <w:b/>
              </w:rPr>
            </w:r>
            <w:r>
              <w:rPr>
                <w:b/>
                <w:sz w:val="16"/>
              </w:rPr>
              <w:t>recall@10</w:t>
            </w:r>
          </w:p>
        </w:tc>
        <w:tc>
          <w:tcPr>
            <w:tcW w:type="dxa" w:w="907"/>
            <w:shd w:val="clear" w:fill="F2F2F2"/>
          </w:tcPr>
          <w:p>
            <w:pPr>
              <w:spacing w:line="240" w:lineRule="auto" w:after="0" w:before="0"/>
            </w:pPr>
            <w:r>
              <w:rPr>
                <w:b/>
              </w:rPr>
            </w:r>
            <w:r>
              <w:rPr>
                <w:b/>
                <w:sz w:val="16"/>
              </w:rPr>
              <w:t>chart support p≥0.7</w:t>
            </w:r>
          </w:p>
        </w:tc>
        <w:tc>
          <w:tcPr>
            <w:tcW w:type="dxa" w:w="907"/>
            <w:shd w:val="clear" w:fill="F2F2F2"/>
          </w:tcPr>
          <w:p>
            <w:pPr>
              <w:spacing w:line="240" w:lineRule="auto" w:after="0" w:before="0"/>
            </w:pPr>
            <w:r>
              <w:rPr>
                <w:b/>
              </w:rPr>
            </w:r>
            <w:r>
              <w:rPr>
                <w:b/>
                <w:sz w:val="16"/>
              </w:rPr>
              <w:t>AUROC renal impairment</w:t>
            </w:r>
          </w:p>
        </w:tc>
        <w:tc>
          <w:tcPr>
            <w:tcW w:type="dxa" w:w="907"/>
            <w:shd w:val="clear" w:fill="F2F2F2"/>
          </w:tcPr>
          <w:p>
            <w:pPr>
              <w:spacing w:line="240" w:lineRule="auto" w:after="0" w:before="0"/>
            </w:pPr>
            <w:r>
              <w:rPr>
                <w:b/>
              </w:rPr>
            </w:r>
            <w:r>
              <w:rPr>
                <w:b/>
                <w:sz w:val="16"/>
              </w:rPr>
              <w:t>AUROC sepsis</w:t>
            </w:r>
          </w:p>
        </w:tc>
        <w:tc>
          <w:tcPr>
            <w:tcW w:type="dxa" w:w="907"/>
            <w:shd w:val="clear" w:fill="F2F2F2"/>
          </w:tcPr>
          <w:p>
            <w:pPr>
              <w:spacing w:line="240" w:lineRule="auto" w:after="0" w:before="0"/>
            </w:pPr>
            <w:r>
              <w:rPr>
                <w:b/>
              </w:rPr>
            </w:r>
            <w:r>
              <w:rPr>
                <w:b/>
                <w:sz w:val="16"/>
              </w:rPr>
              <w:t>AUROC anemia</w:t>
            </w:r>
          </w:p>
        </w:tc>
        <w:tc>
          <w:tcPr>
            <w:tcW w:type="dxa" w:w="907"/>
            <w:shd w:val="clear" w:fill="F2F2F2"/>
          </w:tcPr>
          <w:p>
            <w:pPr>
              <w:spacing w:line="240" w:lineRule="auto" w:after="0" w:before="0"/>
            </w:pPr>
            <w:r>
              <w:rPr>
                <w:b/>
              </w:rPr>
            </w:r>
            <w:r>
              <w:rPr>
                <w:b/>
                <w:sz w:val="16"/>
              </w:rPr>
              <w:t>AUROC acute kidney injury</w:t>
            </w:r>
          </w:p>
        </w:tc>
      </w:tr>
      <w:tr>
        <w:trPr>
          <w:cantSplit/>
        </w:trPr>
        <w:tc>
          <w:tcPr>
            <w:tcW w:type="dxa" w:w="907"/>
          </w:tcPr>
          <w:p>
            <w:pPr>
              <w:spacing w:line="240" w:lineRule="auto" w:after="0" w:before="0"/>
            </w:pPr>
            <w:r/>
            <w:r>
              <w:rPr>
                <w:sz w:val="16"/>
              </w:rPr>
              <w:t>male</w:t>
            </w:r>
          </w:p>
        </w:tc>
        <w:tc>
          <w:tcPr>
            <w:tcW w:type="dxa" w:w="907"/>
          </w:tcPr>
          <w:p>
            <w:pPr>
              <w:spacing w:line="240" w:lineRule="auto" w:after="0" w:before="0"/>
            </w:pPr>
            <w:r/>
            <w:r>
              <w:rPr>
                <w:sz w:val="16"/>
              </w:rPr>
              <w:t>1392</w:t>
            </w:r>
          </w:p>
        </w:tc>
        <w:tc>
          <w:tcPr>
            <w:tcW w:type="dxa" w:w="907"/>
          </w:tcPr>
          <w:p>
            <w:pPr>
              <w:spacing w:line="240" w:lineRule="auto" w:after="0" w:before="0"/>
            </w:pPr>
            <w:r/>
            <w:r>
              <w:rPr>
                <w:sz w:val="16"/>
              </w:rPr>
              <w:t>1498</w:t>
            </w:r>
          </w:p>
        </w:tc>
        <w:tc>
          <w:tcPr>
            <w:tcW w:type="dxa" w:w="907"/>
          </w:tcPr>
          <w:p>
            <w:pPr>
              <w:spacing w:line="240" w:lineRule="auto" w:after="0" w:before="0"/>
            </w:pPr>
            <w:r/>
            <w:r>
              <w:rPr>
                <w:sz w:val="16"/>
              </w:rPr>
              <w:t>62.3% (59.5–64.9)</w:t>
            </w:r>
          </w:p>
        </w:tc>
        <w:tc>
          <w:tcPr>
            <w:tcW w:type="dxa" w:w="907"/>
          </w:tcPr>
          <w:p>
            <w:pPr>
              <w:spacing w:line="240" w:lineRule="auto" w:after="0" w:before="0"/>
            </w:pPr>
            <w:r/>
            <w:r>
              <w:rPr>
                <w:sz w:val="16"/>
              </w:rPr>
              <w:t>75.8%</w:t>
            </w:r>
          </w:p>
        </w:tc>
        <w:tc>
          <w:tcPr>
            <w:tcW w:type="dxa" w:w="907"/>
          </w:tcPr>
          <w:p>
            <w:pPr>
              <w:spacing w:line="240" w:lineRule="auto" w:after="0" w:before="0"/>
            </w:pPr>
            <w:r/>
            <w:r>
              <w:rPr>
                <w:sz w:val="16"/>
              </w:rPr>
              <w:t>24.3%</w:t>
            </w:r>
          </w:p>
        </w:tc>
        <w:tc>
          <w:tcPr>
            <w:tcW w:type="dxa" w:w="907"/>
          </w:tcPr>
          <w:p>
            <w:pPr>
              <w:spacing w:line="240" w:lineRule="auto" w:after="0" w:before="0"/>
            </w:pPr>
            <w:r/>
            <w:r>
              <w:rPr>
                <w:sz w:val="16"/>
              </w:rPr>
              <w:t>0.78</w:t>
            </w:r>
          </w:p>
        </w:tc>
        <w:tc>
          <w:tcPr>
            <w:tcW w:type="dxa" w:w="907"/>
          </w:tcPr>
          <w:p>
            <w:pPr>
              <w:spacing w:line="240" w:lineRule="auto" w:after="0" w:before="0"/>
            </w:pPr>
            <w:r/>
            <w:r>
              <w:rPr>
                <w:sz w:val="16"/>
              </w:rPr>
              <w:t>0.69</w:t>
            </w:r>
          </w:p>
        </w:tc>
        <w:tc>
          <w:tcPr>
            <w:tcW w:type="dxa" w:w="907"/>
          </w:tcPr>
          <w:p>
            <w:pPr>
              <w:spacing w:line="240" w:lineRule="auto" w:after="0" w:before="0"/>
            </w:pPr>
            <w:r/>
            <w:r>
              <w:rPr>
                <w:sz w:val="16"/>
              </w:rPr>
              <w:t>0.79</w:t>
            </w:r>
          </w:p>
        </w:tc>
        <w:tc>
          <w:tcPr>
            <w:tcW w:type="dxa" w:w="907"/>
          </w:tcPr>
          <w:p>
            <w:pPr>
              <w:spacing w:line="240" w:lineRule="auto" w:after="0" w:before="0"/>
            </w:pPr>
            <w:r/>
            <w:r>
              <w:rPr>
                <w:sz w:val="16"/>
              </w:rPr>
              <w:t>0.80</w:t>
            </w:r>
          </w:p>
        </w:tc>
      </w:tr>
      <w:tr>
        <w:trPr>
          <w:cantSplit/>
        </w:trPr>
        <w:tc>
          <w:tcPr>
            <w:tcW w:type="dxa" w:w="907"/>
          </w:tcPr>
          <w:p>
            <w:pPr>
              <w:spacing w:line="240" w:lineRule="auto" w:after="0" w:before="0"/>
            </w:pPr>
            <w:r/>
            <w:r>
              <w:rPr>
                <w:sz w:val="16"/>
              </w:rPr>
              <w:t>female</w:t>
            </w:r>
          </w:p>
        </w:tc>
        <w:tc>
          <w:tcPr>
            <w:tcW w:type="dxa" w:w="907"/>
          </w:tcPr>
          <w:p>
            <w:pPr>
              <w:spacing w:line="240" w:lineRule="auto" w:after="0" w:before="0"/>
            </w:pPr>
            <w:r/>
            <w:r>
              <w:rPr>
                <w:sz w:val="16"/>
              </w:rPr>
              <w:t>922</w:t>
            </w:r>
          </w:p>
        </w:tc>
        <w:tc>
          <w:tcPr>
            <w:tcW w:type="dxa" w:w="907"/>
          </w:tcPr>
          <w:p>
            <w:pPr>
              <w:spacing w:line="240" w:lineRule="auto" w:after="0" w:before="0"/>
            </w:pPr>
            <w:r/>
            <w:r>
              <w:rPr>
                <w:sz w:val="16"/>
              </w:rPr>
              <w:t>934</w:t>
            </w:r>
          </w:p>
        </w:tc>
        <w:tc>
          <w:tcPr>
            <w:tcW w:type="dxa" w:w="907"/>
          </w:tcPr>
          <w:p>
            <w:pPr>
              <w:spacing w:line="240" w:lineRule="auto" w:after="0" w:before="0"/>
            </w:pPr>
            <w:r/>
            <w:r>
              <w:rPr>
                <w:sz w:val="16"/>
              </w:rPr>
              <w:t>58.5% (54.4–62.3)</w:t>
            </w:r>
          </w:p>
        </w:tc>
        <w:tc>
          <w:tcPr>
            <w:tcW w:type="dxa" w:w="907"/>
          </w:tcPr>
          <w:p>
            <w:pPr>
              <w:spacing w:line="240" w:lineRule="auto" w:after="0" w:before="0"/>
            </w:pPr>
            <w:r/>
            <w:r>
              <w:rPr>
                <w:sz w:val="16"/>
              </w:rPr>
              <w:t>71.2%</w:t>
            </w:r>
          </w:p>
        </w:tc>
        <w:tc>
          <w:tcPr>
            <w:tcW w:type="dxa" w:w="907"/>
          </w:tcPr>
          <w:p>
            <w:pPr>
              <w:spacing w:line="240" w:lineRule="auto" w:after="0" w:before="0"/>
            </w:pPr>
            <w:r/>
            <w:r>
              <w:rPr>
                <w:sz w:val="16"/>
              </w:rPr>
              <w:t>21.4%</w:t>
            </w:r>
          </w:p>
        </w:tc>
        <w:tc>
          <w:tcPr>
            <w:tcW w:type="dxa" w:w="907"/>
          </w:tcPr>
          <w:p>
            <w:pPr>
              <w:spacing w:line="240" w:lineRule="auto" w:after="0" w:before="0"/>
            </w:pPr>
            <w:r/>
            <w:r>
              <w:rPr>
                <w:sz w:val="16"/>
              </w:rPr>
              <w:t>0.77</w:t>
            </w:r>
          </w:p>
        </w:tc>
        <w:tc>
          <w:tcPr>
            <w:tcW w:type="dxa" w:w="907"/>
          </w:tcPr>
          <w:p>
            <w:pPr>
              <w:spacing w:line="240" w:lineRule="auto" w:after="0" w:before="0"/>
            </w:pPr>
            <w:r/>
            <w:r>
              <w:rPr>
                <w:sz w:val="16"/>
              </w:rPr>
              <w:t>0.67</w:t>
            </w:r>
          </w:p>
        </w:tc>
        <w:tc>
          <w:tcPr>
            <w:tcW w:type="dxa" w:w="907"/>
          </w:tcPr>
          <w:p>
            <w:pPr>
              <w:spacing w:line="240" w:lineRule="auto" w:after="0" w:before="0"/>
            </w:pPr>
            <w:r/>
            <w:r>
              <w:rPr>
                <w:sz w:val="16"/>
              </w:rPr>
              <w:t>0.77</w:t>
            </w:r>
          </w:p>
        </w:tc>
        <w:tc>
          <w:tcPr>
            <w:tcW w:type="dxa" w:w="907"/>
          </w:tcPr>
          <w:p>
            <w:pPr>
              <w:spacing w:line="240" w:lineRule="auto" w:after="0" w:before="0"/>
            </w:pPr>
            <w:r/>
            <w:r>
              <w:rPr>
                <w:sz w:val="16"/>
              </w:rPr>
              <w:t>0.73</w:t>
            </w:r>
          </w:p>
        </w:tc>
      </w:tr>
    </w:tbl>
    <w:p/>
    <w:p>
      <w:pPr>
        <w:pStyle w:val="Heading3"/>
      </w:pPr>
      <w:r>
        <w:rPr>
          <w:rFonts w:ascii="Times New Roman" w:hAnsi="Times New Roman" w:eastAsia="Times New Roman" w:cs="Times New Roman"/>
          <w:b/>
          <w:i/>
          <w:color w:val="000000"/>
        </w:rPr>
        <w:t>By age band</w:t>
      </w:r>
    </w:p>
    <w:tbl>
      <w:tblPr>
        <w:tblStyle w:val="TableGrid"/>
        <w:tblW w:type="auto" w:w="0"/>
        <w:jc w:val="center"/>
        <w:tblLook w:firstColumn="1" w:firstRow="1" w:lastColumn="0" w:lastRow="0" w:noHBand="0" w:noVBand="1" w:val="04A0"/>
      </w:tblPr>
      <w:tblGrid>
        <w:gridCol w:w="907"/>
        <w:gridCol w:w="907"/>
        <w:gridCol w:w="907"/>
        <w:gridCol w:w="907"/>
        <w:gridCol w:w="907"/>
        <w:gridCol w:w="907"/>
        <w:gridCol w:w="907"/>
        <w:gridCol w:w="907"/>
        <w:gridCol w:w="907"/>
        <w:gridCol w:w="907"/>
      </w:tblGrid>
      <w:tr>
        <w:trPr>
          <w:cantSplit/>
          <w:tblHeader/>
        </w:trPr>
        <w:tc>
          <w:tcPr>
            <w:tcW w:type="dxa" w:w="907"/>
            <w:shd w:val="clear" w:fill="F2F2F2"/>
          </w:tcPr>
          <w:p>
            <w:pPr>
              <w:spacing w:line="240" w:lineRule="auto" w:after="0" w:before="0"/>
            </w:pPr>
            <w:r>
              <w:rPr>
                <w:b/>
              </w:rPr>
            </w:r>
            <w:r>
              <w:rPr>
                <w:b/>
                <w:sz w:val="16"/>
              </w:rPr>
              <w:t>stratum</w:t>
            </w:r>
          </w:p>
        </w:tc>
        <w:tc>
          <w:tcPr>
            <w:tcW w:type="dxa" w:w="907"/>
            <w:shd w:val="clear" w:fill="F2F2F2"/>
          </w:tcPr>
          <w:p>
            <w:pPr>
              <w:spacing w:line="240" w:lineRule="auto" w:after="0" w:before="0"/>
            </w:pPr>
            <w:r>
              <w:rPr>
                <w:b/>
              </w:rPr>
            </w:r>
            <w:r>
              <w:rPr>
                <w:b/>
                <w:sz w:val="16"/>
              </w:rPr>
              <w:t>stays</w:t>
            </w:r>
          </w:p>
        </w:tc>
        <w:tc>
          <w:tcPr>
            <w:tcW w:type="dxa" w:w="907"/>
            <w:shd w:val="clear" w:fill="F2F2F2"/>
          </w:tcPr>
          <w:p>
            <w:pPr>
              <w:spacing w:line="240" w:lineRule="auto" w:after="0" w:before="0"/>
            </w:pPr>
            <w:r>
              <w:rPr>
                <w:b/>
              </w:rPr>
            </w:r>
            <w:r>
              <w:rPr>
                <w:b/>
                <w:sz w:val="16"/>
              </w:rPr>
              <w:t>listed dx</w:t>
            </w:r>
          </w:p>
        </w:tc>
        <w:tc>
          <w:tcPr>
            <w:tcW w:type="dxa" w:w="907"/>
            <w:shd w:val="clear" w:fill="F2F2F2"/>
          </w:tcPr>
          <w:p>
            <w:pPr>
              <w:spacing w:line="240" w:lineRule="auto" w:after="0" w:before="0"/>
            </w:pPr>
            <w:r>
              <w:rPr>
                <w:b/>
              </w:rPr>
            </w:r>
            <w:r>
              <w:rPr>
                <w:b/>
                <w:sz w:val="16"/>
              </w:rPr>
              <w:t>recall@5 (95 % CI)</w:t>
            </w:r>
          </w:p>
        </w:tc>
        <w:tc>
          <w:tcPr>
            <w:tcW w:type="dxa" w:w="907"/>
            <w:shd w:val="clear" w:fill="F2F2F2"/>
          </w:tcPr>
          <w:p>
            <w:pPr>
              <w:spacing w:line="240" w:lineRule="auto" w:after="0" w:before="0"/>
            </w:pPr>
            <w:r>
              <w:rPr>
                <w:b/>
              </w:rPr>
            </w:r>
            <w:r>
              <w:rPr>
                <w:b/>
                <w:sz w:val="16"/>
              </w:rPr>
              <w:t>recall@10</w:t>
            </w:r>
          </w:p>
        </w:tc>
        <w:tc>
          <w:tcPr>
            <w:tcW w:type="dxa" w:w="907"/>
            <w:shd w:val="clear" w:fill="F2F2F2"/>
          </w:tcPr>
          <w:p>
            <w:pPr>
              <w:spacing w:line="240" w:lineRule="auto" w:after="0" w:before="0"/>
            </w:pPr>
            <w:r>
              <w:rPr>
                <w:b/>
              </w:rPr>
            </w:r>
            <w:r>
              <w:rPr>
                <w:b/>
                <w:sz w:val="16"/>
              </w:rPr>
              <w:t>chart support p≥0.7</w:t>
            </w:r>
          </w:p>
        </w:tc>
        <w:tc>
          <w:tcPr>
            <w:tcW w:type="dxa" w:w="907"/>
            <w:shd w:val="clear" w:fill="F2F2F2"/>
          </w:tcPr>
          <w:p>
            <w:pPr>
              <w:spacing w:line="240" w:lineRule="auto" w:after="0" w:before="0"/>
            </w:pPr>
            <w:r>
              <w:rPr>
                <w:b/>
              </w:rPr>
            </w:r>
            <w:r>
              <w:rPr>
                <w:b/>
                <w:sz w:val="16"/>
              </w:rPr>
              <w:t>AUROC renal impairment</w:t>
            </w:r>
          </w:p>
        </w:tc>
        <w:tc>
          <w:tcPr>
            <w:tcW w:type="dxa" w:w="907"/>
            <w:shd w:val="clear" w:fill="F2F2F2"/>
          </w:tcPr>
          <w:p>
            <w:pPr>
              <w:spacing w:line="240" w:lineRule="auto" w:after="0" w:before="0"/>
            </w:pPr>
            <w:r>
              <w:rPr>
                <w:b/>
              </w:rPr>
            </w:r>
            <w:r>
              <w:rPr>
                <w:b/>
                <w:sz w:val="16"/>
              </w:rPr>
              <w:t>AUROC sepsis</w:t>
            </w:r>
          </w:p>
        </w:tc>
        <w:tc>
          <w:tcPr>
            <w:tcW w:type="dxa" w:w="907"/>
            <w:shd w:val="clear" w:fill="F2F2F2"/>
          </w:tcPr>
          <w:p>
            <w:pPr>
              <w:spacing w:line="240" w:lineRule="auto" w:after="0" w:before="0"/>
            </w:pPr>
            <w:r>
              <w:rPr>
                <w:b/>
              </w:rPr>
            </w:r>
            <w:r>
              <w:rPr>
                <w:b/>
                <w:sz w:val="16"/>
              </w:rPr>
              <w:t>AUROC anemia</w:t>
            </w:r>
          </w:p>
        </w:tc>
        <w:tc>
          <w:tcPr>
            <w:tcW w:type="dxa" w:w="907"/>
            <w:shd w:val="clear" w:fill="F2F2F2"/>
          </w:tcPr>
          <w:p>
            <w:pPr>
              <w:spacing w:line="240" w:lineRule="auto" w:after="0" w:before="0"/>
            </w:pPr>
            <w:r>
              <w:rPr>
                <w:b/>
              </w:rPr>
            </w:r>
            <w:r>
              <w:rPr>
                <w:b/>
                <w:sz w:val="16"/>
              </w:rPr>
              <w:t>AUROC acute kidney injury</w:t>
            </w:r>
          </w:p>
        </w:tc>
      </w:tr>
      <w:tr>
        <w:trPr>
          <w:cantSplit/>
        </w:trPr>
        <w:tc>
          <w:tcPr>
            <w:tcW w:type="dxa" w:w="907"/>
          </w:tcPr>
          <w:p>
            <w:pPr>
              <w:spacing w:line="240" w:lineRule="auto" w:after="0" w:before="0"/>
            </w:pPr>
            <w:r/>
            <w:r>
              <w:rPr>
                <w:sz w:val="16"/>
              </w:rPr>
              <w:t>65–79</w:t>
            </w:r>
          </w:p>
        </w:tc>
        <w:tc>
          <w:tcPr>
            <w:tcW w:type="dxa" w:w="907"/>
          </w:tcPr>
          <w:p>
            <w:pPr>
              <w:spacing w:line="240" w:lineRule="auto" w:after="0" w:before="0"/>
            </w:pPr>
            <w:r/>
            <w:r>
              <w:rPr>
                <w:sz w:val="16"/>
              </w:rPr>
              <w:t>820</w:t>
            </w:r>
          </w:p>
        </w:tc>
        <w:tc>
          <w:tcPr>
            <w:tcW w:type="dxa" w:w="907"/>
          </w:tcPr>
          <w:p>
            <w:pPr>
              <w:spacing w:line="240" w:lineRule="auto" w:after="0" w:before="0"/>
            </w:pPr>
            <w:r/>
            <w:r>
              <w:rPr>
                <w:sz w:val="16"/>
              </w:rPr>
              <w:t>844</w:t>
            </w:r>
          </w:p>
        </w:tc>
        <w:tc>
          <w:tcPr>
            <w:tcW w:type="dxa" w:w="907"/>
          </w:tcPr>
          <w:p>
            <w:pPr>
              <w:spacing w:line="240" w:lineRule="auto" w:after="0" w:before="0"/>
            </w:pPr>
            <w:r/>
            <w:r>
              <w:rPr>
                <w:sz w:val="16"/>
              </w:rPr>
              <w:t>60.1% (55.9–64.2)</w:t>
            </w:r>
          </w:p>
        </w:tc>
        <w:tc>
          <w:tcPr>
            <w:tcW w:type="dxa" w:w="907"/>
          </w:tcPr>
          <w:p>
            <w:pPr>
              <w:spacing w:line="240" w:lineRule="auto" w:after="0" w:before="0"/>
            </w:pPr>
            <w:r/>
            <w:r>
              <w:rPr>
                <w:sz w:val="16"/>
              </w:rPr>
              <w:t>75.5%</w:t>
            </w:r>
          </w:p>
        </w:tc>
        <w:tc>
          <w:tcPr>
            <w:tcW w:type="dxa" w:w="907"/>
          </w:tcPr>
          <w:p>
            <w:pPr>
              <w:spacing w:line="240" w:lineRule="auto" w:after="0" w:before="0"/>
            </w:pPr>
            <w:r/>
            <w:r>
              <w:rPr>
                <w:sz w:val="16"/>
              </w:rPr>
              <w:t>21.8%</w:t>
            </w:r>
          </w:p>
        </w:tc>
        <w:tc>
          <w:tcPr>
            <w:tcW w:type="dxa" w:w="907"/>
          </w:tcPr>
          <w:p>
            <w:pPr>
              <w:spacing w:line="240" w:lineRule="auto" w:after="0" w:before="0"/>
            </w:pPr>
            <w:r/>
            <w:r>
              <w:rPr>
                <w:sz w:val="16"/>
              </w:rPr>
              <w:t>0.73</w:t>
            </w:r>
          </w:p>
        </w:tc>
        <w:tc>
          <w:tcPr>
            <w:tcW w:type="dxa" w:w="907"/>
          </w:tcPr>
          <w:p>
            <w:pPr>
              <w:spacing w:line="240" w:lineRule="auto" w:after="0" w:before="0"/>
            </w:pPr>
            <w:r/>
            <w:r>
              <w:rPr>
                <w:sz w:val="16"/>
              </w:rPr>
              <w:t>0.68</w:t>
            </w:r>
          </w:p>
        </w:tc>
        <w:tc>
          <w:tcPr>
            <w:tcW w:type="dxa" w:w="907"/>
          </w:tcPr>
          <w:p>
            <w:pPr>
              <w:spacing w:line="240" w:lineRule="auto" w:after="0" w:before="0"/>
            </w:pPr>
            <w:r/>
            <w:r>
              <w:rPr>
                <w:sz w:val="16"/>
              </w:rPr>
              <w:t>0.77</w:t>
            </w:r>
          </w:p>
        </w:tc>
        <w:tc>
          <w:tcPr>
            <w:tcW w:type="dxa" w:w="907"/>
          </w:tcPr>
          <w:p>
            <w:pPr>
              <w:spacing w:line="240" w:lineRule="auto" w:after="0" w:before="0"/>
            </w:pPr>
            <w:r/>
            <w:r>
              <w:rPr>
                <w:sz w:val="16"/>
              </w:rPr>
              <w:t>0.76</w:t>
            </w:r>
          </w:p>
        </w:tc>
      </w:tr>
      <w:tr>
        <w:trPr>
          <w:cantSplit/>
        </w:trPr>
        <w:tc>
          <w:tcPr>
            <w:tcW w:type="dxa" w:w="907"/>
          </w:tcPr>
          <w:p>
            <w:pPr>
              <w:spacing w:line="240" w:lineRule="auto" w:after="0" w:before="0"/>
            </w:pPr>
            <w:r/>
            <w:r>
              <w:rPr>
                <w:sz w:val="16"/>
              </w:rPr>
              <w:t>45–64</w:t>
            </w:r>
          </w:p>
        </w:tc>
        <w:tc>
          <w:tcPr>
            <w:tcW w:type="dxa" w:w="907"/>
          </w:tcPr>
          <w:p>
            <w:pPr>
              <w:spacing w:line="240" w:lineRule="auto" w:after="0" w:before="0"/>
            </w:pPr>
            <w:r/>
            <w:r>
              <w:rPr>
                <w:sz w:val="16"/>
              </w:rPr>
              <w:t>695</w:t>
            </w:r>
          </w:p>
        </w:tc>
        <w:tc>
          <w:tcPr>
            <w:tcW w:type="dxa" w:w="907"/>
          </w:tcPr>
          <w:p>
            <w:pPr>
              <w:spacing w:line="240" w:lineRule="auto" w:after="0" w:before="0"/>
            </w:pPr>
            <w:r/>
            <w:r>
              <w:rPr>
                <w:sz w:val="16"/>
              </w:rPr>
              <w:t>708</w:t>
            </w:r>
          </w:p>
        </w:tc>
        <w:tc>
          <w:tcPr>
            <w:tcW w:type="dxa" w:w="907"/>
          </w:tcPr>
          <w:p>
            <w:pPr>
              <w:spacing w:line="240" w:lineRule="auto" w:after="0" w:before="0"/>
            </w:pPr>
            <w:r/>
            <w:r>
              <w:rPr>
                <w:sz w:val="16"/>
              </w:rPr>
              <w:t>58.1% (54.0–62.6)</w:t>
            </w:r>
          </w:p>
        </w:tc>
        <w:tc>
          <w:tcPr>
            <w:tcW w:type="dxa" w:w="907"/>
          </w:tcPr>
          <w:p>
            <w:pPr>
              <w:spacing w:line="240" w:lineRule="auto" w:after="0" w:before="0"/>
            </w:pPr>
            <w:r/>
            <w:r>
              <w:rPr>
                <w:sz w:val="16"/>
              </w:rPr>
              <w:t>70.6%</w:t>
            </w:r>
          </w:p>
        </w:tc>
        <w:tc>
          <w:tcPr>
            <w:tcW w:type="dxa" w:w="907"/>
          </w:tcPr>
          <w:p>
            <w:pPr>
              <w:spacing w:line="240" w:lineRule="auto" w:after="0" w:before="0"/>
            </w:pPr>
            <w:r/>
            <w:r>
              <w:rPr>
                <w:sz w:val="16"/>
              </w:rPr>
              <w:t>22.5%</w:t>
            </w:r>
          </w:p>
        </w:tc>
        <w:tc>
          <w:tcPr>
            <w:tcW w:type="dxa" w:w="907"/>
          </w:tcPr>
          <w:p>
            <w:pPr>
              <w:spacing w:line="240" w:lineRule="auto" w:after="0" w:before="0"/>
            </w:pPr>
            <w:r/>
            <w:r>
              <w:rPr>
                <w:sz w:val="16"/>
              </w:rPr>
              <w:t>0.84</w:t>
            </w:r>
          </w:p>
        </w:tc>
        <w:tc>
          <w:tcPr>
            <w:tcW w:type="dxa" w:w="907"/>
          </w:tcPr>
          <w:p>
            <w:pPr>
              <w:spacing w:line="240" w:lineRule="auto" w:after="0" w:before="0"/>
            </w:pPr>
            <w:r/>
            <w:r>
              <w:rPr>
                <w:sz w:val="16"/>
              </w:rPr>
              <w:t>0.70</w:t>
            </w:r>
          </w:p>
        </w:tc>
        <w:tc>
          <w:tcPr>
            <w:tcW w:type="dxa" w:w="907"/>
          </w:tcPr>
          <w:p>
            <w:pPr>
              <w:spacing w:line="240" w:lineRule="auto" w:after="0" w:before="0"/>
            </w:pPr>
            <w:r/>
            <w:r>
              <w:rPr>
                <w:sz w:val="16"/>
              </w:rPr>
              <w:t>0.77</w:t>
            </w:r>
          </w:p>
        </w:tc>
        <w:tc>
          <w:tcPr>
            <w:tcW w:type="dxa" w:w="907"/>
          </w:tcPr>
          <w:p>
            <w:pPr>
              <w:spacing w:line="240" w:lineRule="auto" w:after="0" w:before="0"/>
            </w:pPr>
            <w:r/>
            <w:r>
              <w:rPr>
                <w:sz w:val="16"/>
              </w:rPr>
              <w:t>0.81</w:t>
            </w:r>
          </w:p>
        </w:tc>
      </w:tr>
      <w:tr>
        <w:trPr>
          <w:cantSplit/>
        </w:trPr>
        <w:tc>
          <w:tcPr>
            <w:tcW w:type="dxa" w:w="907"/>
          </w:tcPr>
          <w:p>
            <w:pPr>
              <w:spacing w:line="240" w:lineRule="auto" w:after="0" w:before="0"/>
            </w:pPr>
            <w:r/>
            <w:r>
              <w:rPr>
                <w:sz w:val="16"/>
              </w:rPr>
              <w:t>≥80</w:t>
            </w:r>
          </w:p>
        </w:tc>
        <w:tc>
          <w:tcPr>
            <w:tcW w:type="dxa" w:w="907"/>
          </w:tcPr>
          <w:p>
            <w:pPr>
              <w:spacing w:line="240" w:lineRule="auto" w:after="0" w:before="0"/>
            </w:pPr>
            <w:r/>
            <w:r>
              <w:rPr>
                <w:sz w:val="16"/>
              </w:rPr>
              <w:t>426</w:t>
            </w:r>
          </w:p>
        </w:tc>
        <w:tc>
          <w:tcPr>
            <w:tcW w:type="dxa" w:w="907"/>
          </w:tcPr>
          <w:p>
            <w:pPr>
              <w:spacing w:line="240" w:lineRule="auto" w:after="0" w:before="0"/>
            </w:pPr>
            <w:r/>
            <w:r>
              <w:rPr>
                <w:sz w:val="16"/>
              </w:rPr>
              <w:t>476</w:t>
            </w:r>
          </w:p>
        </w:tc>
        <w:tc>
          <w:tcPr>
            <w:tcW w:type="dxa" w:w="907"/>
          </w:tcPr>
          <w:p>
            <w:pPr>
              <w:spacing w:line="240" w:lineRule="auto" w:after="0" w:before="0"/>
            </w:pPr>
            <w:r/>
            <w:r>
              <w:rPr>
                <w:sz w:val="16"/>
              </w:rPr>
              <w:t>63.9% (58.7–68.5)</w:t>
            </w:r>
          </w:p>
        </w:tc>
        <w:tc>
          <w:tcPr>
            <w:tcW w:type="dxa" w:w="907"/>
          </w:tcPr>
          <w:p>
            <w:pPr>
              <w:spacing w:line="240" w:lineRule="auto" w:after="0" w:before="0"/>
            </w:pPr>
            <w:r/>
            <w:r>
              <w:rPr>
                <w:sz w:val="16"/>
              </w:rPr>
              <w:t>75.8%</w:t>
            </w:r>
          </w:p>
        </w:tc>
        <w:tc>
          <w:tcPr>
            <w:tcW w:type="dxa" w:w="907"/>
          </w:tcPr>
          <w:p>
            <w:pPr>
              <w:spacing w:line="240" w:lineRule="auto" w:after="0" w:before="0"/>
            </w:pPr>
            <w:r/>
            <w:r>
              <w:rPr>
                <w:sz w:val="16"/>
              </w:rPr>
              <w:t>22.5%</w:t>
            </w:r>
          </w:p>
        </w:tc>
        <w:tc>
          <w:tcPr>
            <w:tcW w:type="dxa" w:w="907"/>
          </w:tcPr>
          <w:p>
            <w:pPr>
              <w:spacing w:line="240" w:lineRule="auto" w:after="0" w:before="0"/>
            </w:pPr>
            <w:r/>
            <w:r>
              <w:rPr>
                <w:sz w:val="16"/>
              </w:rPr>
              <w:t>0.71</w:t>
            </w:r>
          </w:p>
        </w:tc>
        <w:tc>
          <w:tcPr>
            <w:tcW w:type="dxa" w:w="907"/>
          </w:tcPr>
          <w:p>
            <w:pPr>
              <w:spacing w:line="240" w:lineRule="auto" w:after="0" w:before="0"/>
            </w:pPr>
            <w:r/>
            <w:r>
              <w:rPr>
                <w:sz w:val="16"/>
              </w:rPr>
              <w:t>0.68</w:t>
            </w:r>
          </w:p>
        </w:tc>
        <w:tc>
          <w:tcPr>
            <w:tcW w:type="dxa" w:w="907"/>
          </w:tcPr>
          <w:p>
            <w:pPr>
              <w:spacing w:line="240" w:lineRule="auto" w:after="0" w:before="0"/>
            </w:pPr>
            <w:r/>
            <w:r>
              <w:rPr>
                <w:sz w:val="16"/>
              </w:rPr>
              <w:t>0.76</w:t>
            </w:r>
          </w:p>
        </w:tc>
        <w:tc>
          <w:tcPr>
            <w:tcW w:type="dxa" w:w="907"/>
          </w:tcPr>
          <w:p>
            <w:pPr>
              <w:spacing w:line="240" w:lineRule="auto" w:after="0" w:before="0"/>
            </w:pPr>
            <w:r/>
            <w:r>
              <w:rPr>
                <w:sz w:val="16"/>
              </w:rPr>
              <w:t>0.71</w:t>
            </w:r>
          </w:p>
        </w:tc>
      </w:tr>
      <w:tr>
        <w:trPr>
          <w:cantSplit/>
        </w:trPr>
        <w:tc>
          <w:tcPr>
            <w:tcW w:type="dxa" w:w="907"/>
          </w:tcPr>
          <w:p>
            <w:pPr>
              <w:spacing w:line="240" w:lineRule="auto" w:after="0" w:before="0"/>
            </w:pPr>
            <w:r/>
            <w:r>
              <w:rPr>
                <w:sz w:val="16"/>
              </w:rPr>
              <w:t>&lt;45</w:t>
            </w:r>
          </w:p>
        </w:tc>
        <w:tc>
          <w:tcPr>
            <w:tcW w:type="dxa" w:w="907"/>
          </w:tcPr>
          <w:p>
            <w:pPr>
              <w:spacing w:line="240" w:lineRule="auto" w:after="0" w:before="0"/>
            </w:pPr>
            <w:r/>
            <w:r>
              <w:rPr>
                <w:sz w:val="16"/>
              </w:rPr>
              <w:t>373</w:t>
            </w:r>
          </w:p>
        </w:tc>
        <w:tc>
          <w:tcPr>
            <w:tcW w:type="dxa" w:w="907"/>
          </w:tcPr>
          <w:p>
            <w:pPr>
              <w:spacing w:line="240" w:lineRule="auto" w:after="0" w:before="0"/>
            </w:pPr>
            <w:r/>
            <w:r>
              <w:rPr>
                <w:sz w:val="16"/>
              </w:rPr>
              <w:t>404</w:t>
            </w:r>
          </w:p>
        </w:tc>
        <w:tc>
          <w:tcPr>
            <w:tcW w:type="dxa" w:w="907"/>
          </w:tcPr>
          <w:p>
            <w:pPr>
              <w:spacing w:line="240" w:lineRule="auto" w:after="0" w:before="0"/>
            </w:pPr>
            <w:r/>
            <w:r>
              <w:rPr>
                <w:sz w:val="16"/>
              </w:rPr>
              <w:t>63.6% (58.7–68.6)</w:t>
            </w:r>
          </w:p>
        </w:tc>
        <w:tc>
          <w:tcPr>
            <w:tcW w:type="dxa" w:w="907"/>
          </w:tcPr>
          <w:p>
            <w:pPr>
              <w:spacing w:line="240" w:lineRule="auto" w:after="0" w:before="0"/>
            </w:pPr>
            <w:r/>
            <w:r>
              <w:rPr>
                <w:sz w:val="16"/>
              </w:rPr>
              <w:t>75.0%</w:t>
            </w:r>
          </w:p>
        </w:tc>
        <w:tc>
          <w:tcPr>
            <w:tcW w:type="dxa" w:w="907"/>
          </w:tcPr>
          <w:p>
            <w:pPr>
              <w:spacing w:line="240" w:lineRule="auto" w:after="0" w:before="0"/>
            </w:pPr>
            <w:r/>
            <w:r>
              <w:rPr>
                <w:sz w:val="16"/>
              </w:rPr>
              <w:t>28.8%</w:t>
            </w:r>
          </w:p>
        </w:tc>
        <w:tc>
          <w:tcPr>
            <w:tcW w:type="dxa" w:w="907"/>
          </w:tcPr>
          <w:p>
            <w:pPr>
              <w:spacing w:line="240" w:lineRule="auto" w:after="0" w:before="0"/>
            </w:pPr>
            <w:r/>
            <w:r>
              <w:rPr>
                <w:sz w:val="16"/>
              </w:rPr>
              <w:t>0.81</w:t>
            </w:r>
          </w:p>
        </w:tc>
        <w:tc>
          <w:tcPr>
            <w:tcW w:type="dxa" w:w="907"/>
          </w:tcPr>
          <w:p>
            <w:pPr>
              <w:spacing w:line="240" w:lineRule="auto" w:after="0" w:before="0"/>
            </w:pPr>
            <w:r/>
            <w:r>
              <w:rPr>
                <w:sz w:val="16"/>
              </w:rPr>
              <w:t>0.68</w:t>
            </w:r>
          </w:p>
        </w:tc>
        <w:tc>
          <w:tcPr>
            <w:tcW w:type="dxa" w:w="907"/>
          </w:tcPr>
          <w:p>
            <w:pPr>
              <w:spacing w:line="240" w:lineRule="auto" w:after="0" w:before="0"/>
            </w:pPr>
            <w:r/>
            <w:r>
              <w:rPr>
                <w:sz w:val="16"/>
              </w:rPr>
              <w:t>0.82</w:t>
            </w:r>
          </w:p>
        </w:tc>
        <w:tc>
          <w:tcPr>
            <w:tcW w:type="dxa" w:w="907"/>
          </w:tcPr>
          <w:p>
            <w:pPr>
              <w:spacing w:line="240" w:lineRule="auto" w:after="0" w:before="0"/>
            </w:pPr>
            <w:r/>
            <w:r>
              <w:rPr>
                <w:sz w:val="16"/>
              </w:rPr>
              <w:t>0.80</w:t>
            </w:r>
          </w:p>
        </w:tc>
      </w:tr>
    </w:tbl>
    <w:p/>
    <w:p>
      <w:pPr>
        <w:pStyle w:val="Heading3"/>
      </w:pPr>
      <w:r>
        <w:rPr>
          <w:rFonts w:ascii="Times New Roman" w:hAnsi="Times New Roman" w:eastAsia="Times New Roman" w:cs="Times New Roman"/>
          <w:b/>
          <w:i/>
          <w:color w:val="000000"/>
        </w:rPr>
        <w:t>By ethnicity</w:t>
      </w:r>
    </w:p>
    <w:tbl>
      <w:tblPr>
        <w:tblStyle w:val="TableGrid"/>
        <w:tblW w:type="auto" w:w="0"/>
        <w:jc w:val="center"/>
        <w:tblLook w:firstColumn="1" w:firstRow="1" w:lastColumn="0" w:lastRow="0" w:noHBand="0" w:noVBand="1" w:val="04A0"/>
      </w:tblPr>
      <w:tblGrid>
        <w:gridCol w:w="907"/>
        <w:gridCol w:w="907"/>
        <w:gridCol w:w="907"/>
        <w:gridCol w:w="907"/>
        <w:gridCol w:w="907"/>
        <w:gridCol w:w="907"/>
        <w:gridCol w:w="907"/>
        <w:gridCol w:w="907"/>
        <w:gridCol w:w="907"/>
        <w:gridCol w:w="907"/>
      </w:tblGrid>
      <w:tr>
        <w:trPr>
          <w:cantSplit/>
          <w:tblHeader/>
        </w:trPr>
        <w:tc>
          <w:tcPr>
            <w:tcW w:type="dxa" w:w="907"/>
            <w:shd w:val="clear" w:fill="F2F2F2"/>
          </w:tcPr>
          <w:p>
            <w:pPr>
              <w:spacing w:line="240" w:lineRule="auto" w:after="0" w:before="0"/>
            </w:pPr>
            <w:r>
              <w:rPr>
                <w:b/>
              </w:rPr>
            </w:r>
            <w:r>
              <w:rPr>
                <w:b/>
                <w:sz w:val="16"/>
              </w:rPr>
              <w:t>stratum</w:t>
            </w:r>
          </w:p>
        </w:tc>
        <w:tc>
          <w:tcPr>
            <w:tcW w:type="dxa" w:w="907"/>
            <w:shd w:val="clear" w:fill="F2F2F2"/>
          </w:tcPr>
          <w:p>
            <w:pPr>
              <w:spacing w:line="240" w:lineRule="auto" w:after="0" w:before="0"/>
            </w:pPr>
            <w:r>
              <w:rPr>
                <w:b/>
              </w:rPr>
            </w:r>
            <w:r>
              <w:rPr>
                <w:b/>
                <w:sz w:val="16"/>
              </w:rPr>
              <w:t>stays</w:t>
            </w:r>
          </w:p>
        </w:tc>
        <w:tc>
          <w:tcPr>
            <w:tcW w:type="dxa" w:w="907"/>
            <w:shd w:val="clear" w:fill="F2F2F2"/>
          </w:tcPr>
          <w:p>
            <w:pPr>
              <w:spacing w:line="240" w:lineRule="auto" w:after="0" w:before="0"/>
            </w:pPr>
            <w:r>
              <w:rPr>
                <w:b/>
              </w:rPr>
            </w:r>
            <w:r>
              <w:rPr>
                <w:b/>
                <w:sz w:val="16"/>
              </w:rPr>
              <w:t>listed dx</w:t>
            </w:r>
          </w:p>
        </w:tc>
        <w:tc>
          <w:tcPr>
            <w:tcW w:type="dxa" w:w="907"/>
            <w:shd w:val="clear" w:fill="F2F2F2"/>
          </w:tcPr>
          <w:p>
            <w:pPr>
              <w:spacing w:line="240" w:lineRule="auto" w:after="0" w:before="0"/>
            </w:pPr>
            <w:r>
              <w:rPr>
                <w:b/>
              </w:rPr>
            </w:r>
            <w:r>
              <w:rPr>
                <w:b/>
                <w:sz w:val="16"/>
              </w:rPr>
              <w:t>recall@5 (95 % CI)</w:t>
            </w:r>
          </w:p>
        </w:tc>
        <w:tc>
          <w:tcPr>
            <w:tcW w:type="dxa" w:w="907"/>
            <w:shd w:val="clear" w:fill="F2F2F2"/>
          </w:tcPr>
          <w:p>
            <w:pPr>
              <w:spacing w:line="240" w:lineRule="auto" w:after="0" w:before="0"/>
            </w:pPr>
            <w:r>
              <w:rPr>
                <w:b/>
              </w:rPr>
            </w:r>
            <w:r>
              <w:rPr>
                <w:b/>
                <w:sz w:val="16"/>
              </w:rPr>
              <w:t>recall@10</w:t>
            </w:r>
          </w:p>
        </w:tc>
        <w:tc>
          <w:tcPr>
            <w:tcW w:type="dxa" w:w="907"/>
            <w:shd w:val="clear" w:fill="F2F2F2"/>
          </w:tcPr>
          <w:p>
            <w:pPr>
              <w:spacing w:line="240" w:lineRule="auto" w:after="0" w:before="0"/>
            </w:pPr>
            <w:r>
              <w:rPr>
                <w:b/>
              </w:rPr>
            </w:r>
            <w:r>
              <w:rPr>
                <w:b/>
                <w:sz w:val="16"/>
              </w:rPr>
              <w:t>chart support p≥0.7</w:t>
            </w:r>
          </w:p>
        </w:tc>
        <w:tc>
          <w:tcPr>
            <w:tcW w:type="dxa" w:w="907"/>
            <w:shd w:val="clear" w:fill="F2F2F2"/>
          </w:tcPr>
          <w:p>
            <w:pPr>
              <w:spacing w:line="240" w:lineRule="auto" w:after="0" w:before="0"/>
            </w:pPr>
            <w:r>
              <w:rPr>
                <w:b/>
              </w:rPr>
            </w:r>
            <w:r>
              <w:rPr>
                <w:b/>
                <w:sz w:val="16"/>
              </w:rPr>
              <w:t>AUROC renal impairment</w:t>
            </w:r>
          </w:p>
        </w:tc>
        <w:tc>
          <w:tcPr>
            <w:tcW w:type="dxa" w:w="907"/>
            <w:shd w:val="clear" w:fill="F2F2F2"/>
          </w:tcPr>
          <w:p>
            <w:pPr>
              <w:spacing w:line="240" w:lineRule="auto" w:after="0" w:before="0"/>
            </w:pPr>
            <w:r>
              <w:rPr>
                <w:b/>
              </w:rPr>
            </w:r>
            <w:r>
              <w:rPr>
                <w:b/>
                <w:sz w:val="16"/>
              </w:rPr>
              <w:t>AUROC sepsis</w:t>
            </w:r>
          </w:p>
        </w:tc>
        <w:tc>
          <w:tcPr>
            <w:tcW w:type="dxa" w:w="907"/>
            <w:shd w:val="clear" w:fill="F2F2F2"/>
          </w:tcPr>
          <w:p>
            <w:pPr>
              <w:spacing w:line="240" w:lineRule="auto" w:after="0" w:before="0"/>
            </w:pPr>
            <w:r>
              <w:rPr>
                <w:b/>
              </w:rPr>
            </w:r>
            <w:r>
              <w:rPr>
                <w:b/>
                <w:sz w:val="16"/>
              </w:rPr>
              <w:t>AUROC anemia</w:t>
            </w:r>
          </w:p>
        </w:tc>
        <w:tc>
          <w:tcPr>
            <w:tcW w:type="dxa" w:w="907"/>
            <w:shd w:val="clear" w:fill="F2F2F2"/>
          </w:tcPr>
          <w:p>
            <w:pPr>
              <w:spacing w:line="240" w:lineRule="auto" w:after="0" w:before="0"/>
            </w:pPr>
            <w:r>
              <w:rPr>
                <w:b/>
              </w:rPr>
            </w:r>
            <w:r>
              <w:rPr>
                <w:b/>
                <w:sz w:val="16"/>
              </w:rPr>
              <w:t>AUROC acute kidney injury</w:t>
            </w:r>
          </w:p>
        </w:tc>
      </w:tr>
      <w:tr>
        <w:trPr>
          <w:cantSplit/>
        </w:trPr>
        <w:tc>
          <w:tcPr>
            <w:tcW w:type="dxa" w:w="907"/>
          </w:tcPr>
          <w:p>
            <w:pPr>
              <w:spacing w:line="240" w:lineRule="auto" w:after="0" w:before="0"/>
            </w:pPr>
            <w:r/>
            <w:r>
              <w:rPr>
                <w:sz w:val="16"/>
              </w:rPr>
              <w:t>Caucasian</w:t>
            </w:r>
          </w:p>
        </w:tc>
        <w:tc>
          <w:tcPr>
            <w:tcW w:type="dxa" w:w="907"/>
          </w:tcPr>
          <w:p>
            <w:pPr>
              <w:spacing w:line="240" w:lineRule="auto" w:after="0" w:before="0"/>
            </w:pPr>
            <w:r/>
            <w:r>
              <w:rPr>
                <w:sz w:val="16"/>
              </w:rPr>
              <w:t>1839</w:t>
            </w:r>
          </w:p>
        </w:tc>
        <w:tc>
          <w:tcPr>
            <w:tcW w:type="dxa" w:w="907"/>
          </w:tcPr>
          <w:p>
            <w:pPr>
              <w:spacing w:line="240" w:lineRule="auto" w:after="0" w:before="0"/>
            </w:pPr>
            <w:r/>
            <w:r>
              <w:rPr>
                <w:sz w:val="16"/>
              </w:rPr>
              <w:t>1827</w:t>
            </w:r>
          </w:p>
        </w:tc>
        <w:tc>
          <w:tcPr>
            <w:tcW w:type="dxa" w:w="907"/>
          </w:tcPr>
          <w:p>
            <w:pPr>
              <w:spacing w:line="240" w:lineRule="auto" w:after="0" w:before="0"/>
            </w:pPr>
            <w:r/>
            <w:r>
              <w:rPr>
                <w:sz w:val="16"/>
              </w:rPr>
              <w:t>60.9% (58.1–63.4)</w:t>
            </w:r>
          </w:p>
        </w:tc>
        <w:tc>
          <w:tcPr>
            <w:tcW w:type="dxa" w:w="907"/>
          </w:tcPr>
          <w:p>
            <w:pPr>
              <w:spacing w:line="240" w:lineRule="auto" w:after="0" w:before="0"/>
            </w:pPr>
            <w:r/>
            <w:r>
              <w:rPr>
                <w:sz w:val="16"/>
              </w:rPr>
              <w:t>73.2%</w:t>
            </w:r>
          </w:p>
        </w:tc>
        <w:tc>
          <w:tcPr>
            <w:tcW w:type="dxa" w:w="907"/>
          </w:tcPr>
          <w:p>
            <w:pPr>
              <w:spacing w:line="240" w:lineRule="auto" w:after="0" w:before="0"/>
            </w:pPr>
            <w:r/>
            <w:r>
              <w:rPr>
                <w:sz w:val="16"/>
              </w:rPr>
              <w:t>22.8%</w:t>
            </w:r>
          </w:p>
        </w:tc>
        <w:tc>
          <w:tcPr>
            <w:tcW w:type="dxa" w:w="907"/>
          </w:tcPr>
          <w:p>
            <w:pPr>
              <w:spacing w:line="240" w:lineRule="auto" w:after="0" w:before="0"/>
            </w:pPr>
            <w:r/>
            <w:r>
              <w:rPr>
                <w:sz w:val="16"/>
              </w:rPr>
              <w:t>0.77</w:t>
            </w:r>
          </w:p>
        </w:tc>
        <w:tc>
          <w:tcPr>
            <w:tcW w:type="dxa" w:w="907"/>
          </w:tcPr>
          <w:p>
            <w:pPr>
              <w:spacing w:line="240" w:lineRule="auto" w:after="0" w:before="0"/>
            </w:pPr>
            <w:r/>
            <w:r>
              <w:rPr>
                <w:sz w:val="16"/>
              </w:rPr>
              <w:t>0.66</w:t>
            </w:r>
          </w:p>
        </w:tc>
        <w:tc>
          <w:tcPr>
            <w:tcW w:type="dxa" w:w="907"/>
          </w:tcPr>
          <w:p>
            <w:pPr>
              <w:spacing w:line="240" w:lineRule="auto" w:after="0" w:before="0"/>
            </w:pPr>
            <w:r/>
            <w:r>
              <w:rPr>
                <w:sz w:val="16"/>
              </w:rPr>
              <w:t>0.77</w:t>
            </w:r>
          </w:p>
        </w:tc>
        <w:tc>
          <w:tcPr>
            <w:tcW w:type="dxa" w:w="907"/>
          </w:tcPr>
          <w:p>
            <w:pPr>
              <w:spacing w:line="240" w:lineRule="auto" w:after="0" w:before="0"/>
            </w:pPr>
            <w:r/>
            <w:r>
              <w:rPr>
                <w:sz w:val="16"/>
              </w:rPr>
              <w:t>0.77</w:t>
            </w:r>
          </w:p>
        </w:tc>
      </w:tr>
      <w:tr>
        <w:trPr>
          <w:cantSplit/>
        </w:trPr>
        <w:tc>
          <w:tcPr>
            <w:tcW w:type="dxa" w:w="907"/>
          </w:tcPr>
          <w:p>
            <w:pPr>
              <w:spacing w:line="240" w:lineRule="auto" w:after="0" w:before="0"/>
            </w:pPr>
            <w:r/>
            <w:r>
              <w:rPr>
                <w:sz w:val="16"/>
              </w:rPr>
              <w:t>African American</w:t>
            </w:r>
          </w:p>
        </w:tc>
        <w:tc>
          <w:tcPr>
            <w:tcW w:type="dxa" w:w="907"/>
          </w:tcPr>
          <w:p>
            <w:pPr>
              <w:spacing w:line="240" w:lineRule="auto" w:after="0" w:before="0"/>
            </w:pPr>
            <w:r/>
            <w:r>
              <w:rPr>
                <w:sz w:val="16"/>
              </w:rPr>
              <w:t>220</w:t>
            </w:r>
          </w:p>
        </w:tc>
        <w:tc>
          <w:tcPr>
            <w:tcW w:type="dxa" w:w="907"/>
          </w:tcPr>
          <w:p>
            <w:pPr>
              <w:spacing w:line="240" w:lineRule="auto" w:after="0" w:before="0"/>
            </w:pPr>
            <w:r/>
            <w:r>
              <w:rPr>
                <w:sz w:val="16"/>
              </w:rPr>
              <w:t>201</w:t>
            </w:r>
          </w:p>
        </w:tc>
        <w:tc>
          <w:tcPr>
            <w:tcW w:type="dxa" w:w="907"/>
          </w:tcPr>
          <w:p>
            <w:pPr>
              <w:spacing w:line="240" w:lineRule="auto" w:after="0" w:before="0"/>
            </w:pPr>
            <w:r/>
            <w:r>
              <w:rPr>
                <w:sz w:val="16"/>
              </w:rPr>
              <w:t>60.2% (50.8–68.4)</w:t>
            </w:r>
          </w:p>
        </w:tc>
        <w:tc>
          <w:tcPr>
            <w:tcW w:type="dxa" w:w="907"/>
          </w:tcPr>
          <w:p>
            <w:pPr>
              <w:spacing w:line="240" w:lineRule="auto" w:after="0" w:before="0"/>
            </w:pPr>
            <w:r/>
            <w:r>
              <w:rPr>
                <w:sz w:val="16"/>
              </w:rPr>
              <w:t>75.6%</w:t>
            </w:r>
          </w:p>
        </w:tc>
        <w:tc>
          <w:tcPr>
            <w:tcW w:type="dxa" w:w="907"/>
          </w:tcPr>
          <w:p>
            <w:pPr>
              <w:spacing w:line="240" w:lineRule="auto" w:after="0" w:before="0"/>
            </w:pPr>
            <w:r/>
            <w:r>
              <w:rPr>
                <w:sz w:val="16"/>
              </w:rPr>
              <w:t>18.6%</w:t>
            </w:r>
          </w:p>
        </w:tc>
        <w:tc>
          <w:tcPr>
            <w:tcW w:type="dxa" w:w="907"/>
          </w:tcPr>
          <w:p>
            <w:pPr>
              <w:spacing w:line="240" w:lineRule="auto" w:after="0" w:before="0"/>
            </w:pPr>
            <w:r/>
            <w:r>
              <w:rPr>
                <w:sz w:val="16"/>
              </w:rPr>
              <w:t>0.74</w:t>
            </w:r>
          </w:p>
        </w:tc>
        <w:tc>
          <w:tcPr>
            <w:tcW w:type="dxa" w:w="907"/>
          </w:tcPr>
          <w:p>
            <w:pPr>
              <w:spacing w:line="240" w:lineRule="auto" w:after="0" w:before="0"/>
            </w:pPr>
            <w:r/>
            <w:r>
              <w:rPr>
                <w:sz w:val="16"/>
              </w:rPr>
              <w:t>0.73</w:t>
            </w:r>
          </w:p>
        </w:tc>
        <w:tc>
          <w:tcPr>
            <w:tcW w:type="dxa" w:w="907"/>
          </w:tcPr>
          <w:p>
            <w:pPr>
              <w:spacing w:line="240" w:lineRule="auto" w:after="0" w:before="0"/>
            </w:pPr>
            <w:r/>
            <w:r>
              <w:rPr>
                <w:sz w:val="16"/>
              </w:rPr>
              <w:t>0.81</w:t>
            </w:r>
          </w:p>
        </w:tc>
        <w:tc>
          <w:tcPr>
            <w:tcW w:type="dxa" w:w="907"/>
          </w:tcPr>
          <w:p>
            <w:pPr>
              <w:spacing w:line="240" w:lineRule="auto" w:after="0" w:before="0"/>
            </w:pPr>
            <w:r/>
            <w:r>
              <w:rPr>
                <w:sz w:val="16"/>
              </w:rPr>
              <w:t>0.68</w:t>
            </w:r>
          </w:p>
        </w:tc>
      </w:tr>
      <w:tr>
        <w:trPr>
          <w:cantSplit/>
        </w:trPr>
        <w:tc>
          <w:tcPr>
            <w:tcW w:type="dxa" w:w="907"/>
          </w:tcPr>
          <w:p>
            <w:pPr>
              <w:spacing w:line="240" w:lineRule="auto" w:after="0" w:before="0"/>
            </w:pPr>
            <w:r/>
            <w:r>
              <w:rPr>
                <w:sz w:val="16"/>
              </w:rPr>
              <w:t>Hispanic</w:t>
            </w:r>
          </w:p>
        </w:tc>
        <w:tc>
          <w:tcPr>
            <w:tcW w:type="dxa" w:w="907"/>
          </w:tcPr>
          <w:p>
            <w:pPr>
              <w:spacing w:line="240" w:lineRule="auto" w:after="0" w:before="0"/>
            </w:pPr>
            <w:r/>
            <w:r>
              <w:rPr>
                <w:sz w:val="16"/>
              </w:rPr>
              <w:t>111</w:t>
            </w:r>
          </w:p>
        </w:tc>
        <w:tc>
          <w:tcPr>
            <w:tcW w:type="dxa" w:w="907"/>
          </w:tcPr>
          <w:p>
            <w:pPr>
              <w:spacing w:line="240" w:lineRule="auto" w:after="0" w:before="0"/>
            </w:pPr>
            <w:r/>
            <w:r>
              <w:rPr>
                <w:sz w:val="16"/>
              </w:rPr>
              <w:t>216</w:t>
            </w:r>
          </w:p>
        </w:tc>
        <w:tc>
          <w:tcPr>
            <w:tcW w:type="dxa" w:w="907"/>
          </w:tcPr>
          <w:p>
            <w:pPr>
              <w:spacing w:line="240" w:lineRule="auto" w:after="0" w:before="0"/>
            </w:pPr>
            <w:r/>
            <w:r>
              <w:rPr>
                <w:sz w:val="16"/>
              </w:rPr>
              <w:t>59.3% (51.5–67.2)</w:t>
            </w:r>
          </w:p>
        </w:tc>
        <w:tc>
          <w:tcPr>
            <w:tcW w:type="dxa" w:w="907"/>
          </w:tcPr>
          <w:p>
            <w:pPr>
              <w:spacing w:line="240" w:lineRule="auto" w:after="0" w:before="0"/>
            </w:pPr>
            <w:r/>
            <w:r>
              <w:rPr>
                <w:sz w:val="16"/>
              </w:rPr>
              <w:t>79.2%</w:t>
            </w:r>
          </w:p>
        </w:tc>
        <w:tc>
          <w:tcPr>
            <w:tcW w:type="dxa" w:w="907"/>
          </w:tcPr>
          <w:p>
            <w:pPr>
              <w:spacing w:line="240" w:lineRule="auto" w:after="0" w:before="0"/>
            </w:pPr>
            <w:r/>
            <w:r>
              <w:rPr>
                <w:sz w:val="16"/>
              </w:rPr>
              <w:t>31.4%</w:t>
            </w:r>
          </w:p>
        </w:tc>
        <w:tc>
          <w:tcPr>
            <w:tcW w:type="dxa" w:w="907"/>
          </w:tcPr>
          <w:p>
            <w:pPr>
              <w:spacing w:line="240" w:lineRule="auto" w:after="0" w:before="0"/>
            </w:pPr>
            <w:r/>
            <w:r>
              <w:rPr>
                <w:sz w:val="16"/>
              </w:rPr>
              <w:t>0.84</w:t>
            </w:r>
          </w:p>
        </w:tc>
        <w:tc>
          <w:tcPr>
            <w:tcW w:type="dxa" w:w="907"/>
          </w:tcPr>
          <w:p>
            <w:pPr>
              <w:spacing w:line="240" w:lineRule="auto" w:after="0" w:before="0"/>
            </w:pPr>
            <w:r/>
            <w:r>
              <w:rPr>
                <w:sz w:val="16"/>
              </w:rPr>
              <w:t>0.83</w:t>
            </w:r>
          </w:p>
        </w:tc>
        <w:tc>
          <w:tcPr>
            <w:tcW w:type="dxa" w:w="907"/>
          </w:tcPr>
          <w:p>
            <w:pPr>
              <w:spacing w:line="240" w:lineRule="auto" w:after="0" w:before="0"/>
            </w:pPr>
            <w:r/>
            <w:r>
              <w:rPr>
                <w:sz w:val="16"/>
              </w:rPr>
              <w:t>0.81</w:t>
            </w:r>
          </w:p>
        </w:tc>
        <w:tc>
          <w:tcPr>
            <w:tcW w:type="dxa" w:w="907"/>
          </w:tcPr>
          <w:p>
            <w:pPr>
              <w:spacing w:line="240" w:lineRule="auto" w:after="0" w:before="0"/>
            </w:pPr>
            <w:r/>
            <w:r>
              <w:rPr>
                <w:sz w:val="16"/>
              </w:rPr>
              <w:t>0.85</w:t>
            </w:r>
          </w:p>
        </w:tc>
      </w:tr>
      <w:tr>
        <w:trPr>
          <w:cantSplit/>
        </w:trPr>
        <w:tc>
          <w:tcPr>
            <w:tcW w:type="dxa" w:w="907"/>
          </w:tcPr>
          <w:p>
            <w:pPr>
              <w:spacing w:line="240" w:lineRule="auto" w:after="0" w:before="0"/>
            </w:pPr>
            <w:r/>
            <w:r>
              <w:rPr>
                <w:sz w:val="16"/>
              </w:rPr>
              <w:t>Other/Unknown</w:t>
            </w:r>
          </w:p>
        </w:tc>
        <w:tc>
          <w:tcPr>
            <w:tcW w:type="dxa" w:w="907"/>
          </w:tcPr>
          <w:p>
            <w:pPr>
              <w:spacing w:line="240" w:lineRule="auto" w:after="0" w:before="0"/>
            </w:pPr>
            <w:r/>
            <w:r>
              <w:rPr>
                <w:sz w:val="16"/>
              </w:rPr>
              <w:t>74</w:t>
            </w:r>
          </w:p>
        </w:tc>
        <w:tc>
          <w:tcPr>
            <w:tcW w:type="dxa" w:w="907"/>
          </w:tcPr>
          <w:p>
            <w:pPr>
              <w:spacing w:line="240" w:lineRule="auto" w:after="0" w:before="0"/>
            </w:pPr>
            <w:r/>
            <w:r>
              <w:rPr>
                <w:sz w:val="16"/>
              </w:rPr>
              <w:t>96</w:t>
            </w:r>
          </w:p>
        </w:tc>
        <w:tc>
          <w:tcPr>
            <w:tcW w:type="dxa" w:w="907"/>
          </w:tcPr>
          <w:p>
            <w:pPr>
              <w:spacing w:line="240" w:lineRule="auto" w:after="0" w:before="0"/>
            </w:pPr>
            <w:r/>
            <w:r>
              <w:rPr>
                <w:sz w:val="16"/>
              </w:rPr>
              <w:t>58.3% (45.1–69.9)</w:t>
            </w:r>
          </w:p>
        </w:tc>
        <w:tc>
          <w:tcPr>
            <w:tcW w:type="dxa" w:w="907"/>
          </w:tcPr>
          <w:p>
            <w:pPr>
              <w:spacing w:line="240" w:lineRule="auto" w:after="0" w:before="0"/>
            </w:pPr>
            <w:r/>
            <w:r>
              <w:rPr>
                <w:sz w:val="16"/>
              </w:rPr>
              <w:t>71.9%</w:t>
            </w:r>
          </w:p>
        </w:tc>
        <w:tc>
          <w:tcPr>
            <w:tcW w:type="dxa" w:w="907"/>
          </w:tcPr>
          <w:p>
            <w:pPr>
              <w:spacing w:line="240" w:lineRule="auto" w:after="0" w:before="0"/>
            </w:pPr>
            <w:r/>
            <w:r>
              <w:rPr>
                <w:sz w:val="16"/>
              </w:rPr>
              <w:t>24.5%</w:t>
            </w:r>
          </w:p>
        </w:tc>
        <w:tc>
          <w:tcPr>
            <w:tcW w:type="dxa" w:w="907"/>
          </w:tcPr>
          <w:p>
            <w:pPr>
              <w:spacing w:line="240" w:lineRule="auto" w:after="0" w:before="0"/>
            </w:pPr>
            <w:r/>
            <w:r>
              <w:rPr>
                <w:sz w:val="16"/>
              </w:rPr>
              <w:t>0.80</w:t>
            </w:r>
          </w:p>
        </w:tc>
        <w:tc>
          <w:tcPr>
            <w:tcW w:type="dxa" w:w="907"/>
          </w:tcPr>
          <w:p>
            <w:pPr>
              <w:spacing w:line="240" w:lineRule="auto" w:after="0" w:before="0"/>
            </w:pPr>
            <w:r/>
            <w:r>
              <w:rPr>
                <w:sz w:val="16"/>
              </w:rPr>
              <w:t>0.79</w:t>
            </w:r>
          </w:p>
        </w:tc>
        <w:tc>
          <w:tcPr>
            <w:tcW w:type="dxa" w:w="907"/>
          </w:tcPr>
          <w:p>
            <w:pPr>
              <w:spacing w:line="240" w:lineRule="auto" w:after="0" w:before="0"/>
            </w:pPr>
            <w:r/>
            <w:r>
              <w:rPr>
                <w:sz w:val="16"/>
              </w:rPr>
              <w:t>—</w:t>
            </w:r>
          </w:p>
        </w:tc>
        <w:tc>
          <w:tcPr>
            <w:tcW w:type="dxa" w:w="907"/>
          </w:tcPr>
          <w:p>
            <w:pPr>
              <w:spacing w:line="240" w:lineRule="auto" w:after="0" w:before="0"/>
            </w:pPr>
            <w:r/>
            <w:r>
              <w:rPr>
                <w:sz w:val="16"/>
              </w:rPr>
              <w:t>0.84</w:t>
            </w:r>
          </w:p>
        </w:tc>
      </w:tr>
      <w:tr>
        <w:trPr>
          <w:cantSplit/>
        </w:trPr>
        <w:tc>
          <w:tcPr>
            <w:tcW w:type="dxa" w:w="907"/>
          </w:tcPr>
          <w:p>
            <w:pPr>
              <w:spacing w:line="240" w:lineRule="auto" w:after="0" w:before="0"/>
            </w:pPr>
            <w:r/>
            <w:r>
              <w:rPr>
                <w:sz w:val="16"/>
              </w:rPr>
              <w:t>Unknown</w:t>
            </w:r>
          </w:p>
        </w:tc>
        <w:tc>
          <w:tcPr>
            <w:tcW w:type="dxa" w:w="907"/>
          </w:tcPr>
          <w:p>
            <w:pPr>
              <w:spacing w:line="240" w:lineRule="auto" w:after="0" w:before="0"/>
            </w:pPr>
            <w:r/>
            <w:r>
              <w:rPr>
                <w:sz w:val="16"/>
              </w:rPr>
              <w:t>30</w:t>
            </w:r>
          </w:p>
        </w:tc>
        <w:tc>
          <w:tcPr>
            <w:tcW w:type="dxa" w:w="907"/>
          </w:tcPr>
          <w:p>
            <w:pPr>
              <w:spacing w:line="240" w:lineRule="auto" w:after="0" w:before="0"/>
            </w:pPr>
            <w:r/>
            <w:r>
              <w:rPr>
                <w:sz w:val="16"/>
              </w:rPr>
              <w:t>31</w:t>
            </w:r>
          </w:p>
        </w:tc>
        <w:tc>
          <w:tcPr>
            <w:tcW w:type="dxa" w:w="907"/>
          </w:tcPr>
          <w:p>
            <w:pPr>
              <w:spacing w:line="240" w:lineRule="auto" w:after="0" w:before="0"/>
            </w:pPr>
            <w:r/>
            <w:r>
              <w:rPr>
                <w:sz w:val="16"/>
              </w:rPr>
              <w:t>74.2% (54.8–89.8)</w:t>
            </w:r>
          </w:p>
        </w:tc>
        <w:tc>
          <w:tcPr>
            <w:tcW w:type="dxa" w:w="907"/>
          </w:tcPr>
          <w:p>
            <w:pPr>
              <w:spacing w:line="240" w:lineRule="auto" w:after="0" w:before="0"/>
            </w:pPr>
            <w:r/>
            <w:r>
              <w:rPr>
                <w:sz w:val="16"/>
              </w:rPr>
              <w:t>80.6%</w:t>
            </w:r>
          </w:p>
        </w:tc>
        <w:tc>
          <w:tcPr>
            <w:tcW w:type="dxa" w:w="907"/>
          </w:tcPr>
          <w:p>
            <w:pPr>
              <w:spacing w:line="240" w:lineRule="auto" w:after="0" w:before="0"/>
            </w:pPr>
            <w:r/>
            <w:r>
              <w:rPr>
                <w:sz w:val="16"/>
              </w:rPr>
              <w:t>29.5%</w:t>
            </w:r>
          </w:p>
        </w:tc>
        <w:tc>
          <w:tcPr>
            <w:tcW w:type="dxa" w:w="907"/>
          </w:tcPr>
          <w:p>
            <w:pPr>
              <w:spacing w:line="240" w:lineRule="auto" w:after="0" w:before="0"/>
            </w:pPr>
            <w:r/>
            <w:r>
              <w:rPr>
                <w:sz w:val="16"/>
              </w:rPr>
              <w:t>—</w:t>
            </w:r>
          </w:p>
        </w:tc>
        <w:tc>
          <w:tcPr>
            <w:tcW w:type="dxa" w:w="907"/>
          </w:tcPr>
          <w:p>
            <w:pPr>
              <w:spacing w:line="240" w:lineRule="auto" w:after="0" w:before="0"/>
            </w:pPr>
            <w:r/>
            <w:r>
              <w:rPr>
                <w:sz w:val="16"/>
              </w:rPr>
              <w:t>0.85</w:t>
            </w:r>
          </w:p>
        </w:tc>
        <w:tc>
          <w:tcPr>
            <w:tcW w:type="dxa" w:w="907"/>
          </w:tcPr>
          <w:p>
            <w:pPr>
              <w:spacing w:line="240" w:lineRule="auto" w:after="0" w:before="0"/>
            </w:pPr>
            <w:r/>
            <w:r>
              <w:rPr>
                <w:sz w:val="16"/>
              </w:rPr>
              <w:t>—</w:t>
            </w:r>
          </w:p>
        </w:tc>
        <w:tc>
          <w:tcPr>
            <w:tcW w:type="dxa" w:w="907"/>
          </w:tcPr>
          <w:p>
            <w:pPr>
              <w:spacing w:line="240" w:lineRule="auto" w:after="0" w:before="0"/>
            </w:pPr>
            <w:r/>
            <w:r>
              <w:rPr>
                <w:sz w:val="16"/>
              </w:rPr>
              <w:t>—</w:t>
            </w:r>
          </w:p>
        </w:tc>
      </w:tr>
      <w:tr>
        <w:trPr>
          <w:cantSplit/>
        </w:trPr>
        <w:tc>
          <w:tcPr>
            <w:tcW w:type="dxa" w:w="907"/>
          </w:tcPr>
          <w:p>
            <w:pPr>
              <w:spacing w:line="240" w:lineRule="auto" w:after="0" w:before="0"/>
            </w:pPr>
            <w:r/>
            <w:r>
              <w:rPr>
                <w:sz w:val="16"/>
              </w:rPr>
              <w:t>Asian</w:t>
            </w:r>
          </w:p>
        </w:tc>
        <w:tc>
          <w:tcPr>
            <w:tcW w:type="dxa" w:w="907"/>
          </w:tcPr>
          <w:p>
            <w:pPr>
              <w:spacing w:line="240" w:lineRule="auto" w:after="0" w:before="0"/>
            </w:pPr>
            <w:r/>
            <w:r>
              <w:rPr>
                <w:sz w:val="16"/>
              </w:rPr>
              <w:t>28</w:t>
            </w:r>
          </w:p>
        </w:tc>
        <w:tc>
          <w:tcPr>
            <w:tcW w:type="dxa" w:w="907"/>
          </w:tcPr>
          <w:p>
            <w:pPr>
              <w:spacing w:line="240" w:lineRule="auto" w:after="0" w:before="0"/>
            </w:pPr>
            <w:r/>
            <w:r>
              <w:rPr>
                <w:sz w:val="16"/>
              </w:rPr>
              <w:t>34</w:t>
            </w:r>
          </w:p>
        </w:tc>
        <w:tc>
          <w:tcPr>
            <w:tcW w:type="dxa" w:w="907"/>
          </w:tcPr>
          <w:p>
            <w:pPr>
              <w:spacing w:line="240" w:lineRule="auto" w:after="0" w:before="0"/>
            </w:pPr>
            <w:r/>
            <w:r>
              <w:rPr>
                <w:sz w:val="16"/>
              </w:rPr>
              <w:t>64.7% (45.8–84.6)</w:t>
            </w:r>
          </w:p>
        </w:tc>
        <w:tc>
          <w:tcPr>
            <w:tcW w:type="dxa" w:w="907"/>
          </w:tcPr>
          <w:p>
            <w:pPr>
              <w:spacing w:line="240" w:lineRule="auto" w:after="0" w:before="0"/>
            </w:pPr>
            <w:r/>
            <w:r>
              <w:rPr>
                <w:sz w:val="16"/>
              </w:rPr>
              <w:t>76.5%</w:t>
            </w:r>
          </w:p>
        </w:tc>
        <w:tc>
          <w:tcPr>
            <w:tcW w:type="dxa" w:w="907"/>
          </w:tcPr>
          <w:p>
            <w:pPr>
              <w:spacing w:line="240" w:lineRule="auto" w:after="0" w:before="0"/>
            </w:pPr>
            <w:r/>
            <w:r>
              <w:rPr>
                <w:sz w:val="16"/>
              </w:rPr>
              <w:t>21.9%</w:t>
            </w:r>
          </w:p>
        </w:tc>
        <w:tc>
          <w:tcPr>
            <w:tcW w:type="dxa" w:w="907"/>
          </w:tcPr>
          <w:p>
            <w:pPr>
              <w:spacing w:line="240" w:lineRule="auto" w:after="0" w:before="0"/>
            </w:pPr>
            <w:r/>
            <w:r>
              <w:rPr>
                <w:sz w:val="16"/>
              </w:rPr>
              <w:t>0.77</w:t>
            </w:r>
          </w:p>
        </w:tc>
        <w:tc>
          <w:tcPr>
            <w:tcW w:type="dxa" w:w="907"/>
          </w:tcPr>
          <w:p>
            <w:pPr>
              <w:spacing w:line="240" w:lineRule="auto" w:after="0" w:before="0"/>
            </w:pPr>
            <w:r/>
            <w:r>
              <w:rPr>
                <w:sz w:val="16"/>
              </w:rPr>
              <w:t>0.69</w:t>
            </w:r>
          </w:p>
        </w:tc>
        <w:tc>
          <w:tcPr>
            <w:tcW w:type="dxa" w:w="907"/>
          </w:tcPr>
          <w:p>
            <w:pPr>
              <w:spacing w:line="240" w:lineRule="auto" w:after="0" w:before="0"/>
            </w:pPr>
            <w:r/>
            <w:r>
              <w:rPr>
                <w:sz w:val="16"/>
              </w:rPr>
              <w:t>—</w:t>
            </w:r>
          </w:p>
        </w:tc>
        <w:tc>
          <w:tcPr>
            <w:tcW w:type="dxa" w:w="907"/>
          </w:tcPr>
          <w:p>
            <w:pPr>
              <w:spacing w:line="240" w:lineRule="auto" w:after="0" w:before="0"/>
            </w:pPr>
            <w:r/>
            <w:r>
              <w:rPr>
                <w:sz w:val="16"/>
              </w:rPr>
              <w:t>0.80</w:t>
            </w:r>
          </w:p>
        </w:tc>
      </w:tr>
      <w:tr>
        <w:trPr>
          <w:cantSplit/>
        </w:trPr>
        <w:tc>
          <w:tcPr>
            <w:tcW w:type="dxa" w:w="907"/>
          </w:tcPr>
          <w:p>
            <w:pPr>
              <w:spacing w:line="240" w:lineRule="auto" w:after="0" w:before="0"/>
            </w:pPr>
            <w:r/>
            <w:r>
              <w:rPr>
                <w:sz w:val="16"/>
              </w:rPr>
              <w:t>Native American</w:t>
            </w:r>
          </w:p>
        </w:tc>
        <w:tc>
          <w:tcPr>
            <w:tcW w:type="dxa" w:w="907"/>
          </w:tcPr>
          <w:p>
            <w:pPr>
              <w:spacing w:line="240" w:lineRule="auto" w:after="0" w:before="0"/>
            </w:pPr>
            <w:r/>
            <w:r>
              <w:rPr>
                <w:sz w:val="16"/>
              </w:rPr>
              <w:t>12</w:t>
            </w:r>
          </w:p>
        </w:tc>
        <w:tc>
          <w:tcPr>
            <w:tcW w:type="dxa" w:w="907"/>
          </w:tcPr>
          <w:p>
            <w:pPr>
              <w:spacing w:line="240" w:lineRule="auto" w:after="0" w:before="0"/>
            </w:pPr>
            <w:r/>
            <w:r>
              <w:rPr>
                <w:sz w:val="16"/>
              </w:rPr>
              <w:t>27</w:t>
            </w:r>
          </w:p>
        </w:tc>
        <w:tc>
          <w:tcPr>
            <w:tcW w:type="dxa" w:w="907"/>
          </w:tcPr>
          <w:p>
            <w:pPr>
              <w:spacing w:line="240" w:lineRule="auto" w:after="0" w:before="0"/>
            </w:pPr>
            <w:r/>
            <w:r>
              <w:rPr>
                <w:sz w:val="16"/>
              </w:rPr>
              <w:t>63.0% (nan–nan)</w:t>
            </w:r>
          </w:p>
        </w:tc>
        <w:tc>
          <w:tcPr>
            <w:tcW w:type="dxa" w:w="907"/>
          </w:tcPr>
          <w:p>
            <w:pPr>
              <w:spacing w:line="240" w:lineRule="auto" w:after="0" w:before="0"/>
            </w:pPr>
            <w:r/>
            <w:r>
              <w:rPr>
                <w:sz w:val="16"/>
              </w:rPr>
              <w:t>77.8%</w:t>
            </w:r>
          </w:p>
        </w:tc>
        <w:tc>
          <w:tcPr>
            <w:tcW w:type="dxa" w:w="907"/>
          </w:tcPr>
          <w:p>
            <w:pPr>
              <w:spacing w:line="240" w:lineRule="auto" w:after="0" w:before="0"/>
            </w:pPr>
            <w:r/>
            <w:r>
              <w:rPr>
                <w:sz w:val="16"/>
              </w:rPr>
              <w:t>53.3%</w:t>
            </w:r>
          </w:p>
        </w:tc>
        <w:tc>
          <w:tcPr>
            <w:tcW w:type="dxa" w:w="907"/>
          </w:tcPr>
          <w:p>
            <w:pPr>
              <w:spacing w:line="240" w:lineRule="auto" w:after="0" w:before="0"/>
            </w:pPr>
            <w:r/>
            <w:r>
              <w:rPr>
                <w:sz w:val="16"/>
              </w:rPr>
              <w:t>—</w:t>
            </w:r>
          </w:p>
        </w:tc>
        <w:tc>
          <w:tcPr>
            <w:tcW w:type="dxa" w:w="907"/>
          </w:tcPr>
          <w:p>
            <w:pPr>
              <w:spacing w:line="240" w:lineRule="auto" w:after="0" w:before="0"/>
            </w:pPr>
            <w:r/>
            <w:r>
              <w:rPr>
                <w:sz w:val="16"/>
              </w:rPr>
              <w:t>—</w:t>
            </w:r>
          </w:p>
        </w:tc>
        <w:tc>
          <w:tcPr>
            <w:tcW w:type="dxa" w:w="907"/>
          </w:tcPr>
          <w:p>
            <w:pPr>
              <w:spacing w:line="240" w:lineRule="auto" w:after="0" w:before="0"/>
            </w:pPr>
            <w:r/>
            <w:r>
              <w:rPr>
                <w:sz w:val="16"/>
              </w:rPr>
              <w:t>—</w:t>
            </w:r>
          </w:p>
        </w:tc>
        <w:tc>
          <w:tcPr>
            <w:tcW w:type="dxa" w:w="907"/>
          </w:tcPr>
          <w:p>
            <w:pPr>
              <w:spacing w:line="240" w:lineRule="auto" w:after="0" w:before="0"/>
            </w:pPr>
            <w:r/>
            <w:r>
              <w:rPr>
                <w:sz w:val="16"/>
              </w:rPr>
              <w:t>—</w:t>
            </w:r>
          </w:p>
        </w:tc>
      </w:tr>
    </w:tbl>
    <w:p/>
    <w:p>
      <w:pPr>
        <w:pStyle w:val="Heading1"/>
      </w:pPr>
      <w:r>
        <w:rPr>
          <w:rFonts w:ascii="Times New Roman" w:hAnsi="Times New Roman" w:eastAsia="Times New Roman" w:cs="Times New Roman"/>
          <w:b/>
          <w:i w:val="0"/>
          <w:color w:val="000000"/>
        </w:rPr>
        <w:t>Supplementary Note 5 — Definitions and audits added in revision round 4</w:t>
      </w:r>
    </w:p>
    <w:p>
      <w:pPr>
        <w:pStyle w:val="Heading2"/>
      </w:pPr>
      <w:r>
        <w:rPr>
          <w:rFonts w:ascii="Times New Roman" w:hAnsi="Times New Roman" w:eastAsia="Times New Roman" w:cs="Times New Roman"/>
          <w:b/>
          <w:i w:val="0"/>
          <w:color w:val="000000"/>
        </w:rPr>
        <w:t>N5.1 'Guideline-healthy adult' (NHANES false-assertion denominator; `eval/realdata/eval_nhanes.py`, lines 212–220)</w:t>
      </w:r>
    </w:p>
    <w:p>
      <w:r>
        <w:t xml:space="preserve">An adult is counted as healthy only if </w:t>
      </w:r>
      <w:r>
        <w:rPr>
          <w:b/>
        </w:rPr>
        <w:t>all</w:t>
      </w:r>
      <w:r>
        <w:t xml:space="preserve"> of the following hold (sex-specific where shown, women/men): HbA1c &lt; 5.7 %; fasting glucose &lt; 100 mg/dL (when fasting sample available) and random glucose &lt; 140 mg/dL; eGFR (CKD-EPI 2021) ≥ 90 mL/min/1.73 m²; urine ACR &lt; 30 mg/g; haemoglobin ≥ 12/13 g/dL; MCV 80–100 fL; ferritin ≥ 30 µg/L (neutral if not collected in the cycle); total cholesterol &lt; 200 mg/dL; fasting triglycerides &lt; 150 and random triglycerides &lt; 200 mg/dL; urate ≤ 6/7 mg/dL; ALT ≤ 25/33 U/L; sodium 135–145, potassium 3.5–5.1, chloride 98–107 mmol/L; calcium 8.6–10.3, phosphate 2.5–4.5 mg/dL; platelets 150–450 ×10⁹/L; WBC 4–11 ×10⁹/L; neutrophils 40–75 %, lymphocytes 20–45 %; CK ≤ 200/300 U/L; total bilirubin ≤ 1.2 mg/dL; ALP ≤ 130 U/L; GGT ≤ 60 U/L; albumin ≥ 3.5 g/dL; transferrin saturation 15–50 % (neutral if not collected). It is therefore a 30-analyte guideline-normal filter, not a requirement that all 2,045 registry analytes be normal. The filter was tightened once (2026-10-21, before the quarantine cycles were opened) because the first version let prediabetes by fasting glucose, mild hyperphosphataemia and microcytosis through and counted the engine's correct findings as false assertions.</w:t>
      </w:r>
    </w:p>
    <w:p>
      <w:pPr>
        <w:pStyle w:val="Heading2"/>
      </w:pPr>
      <w:r>
        <w:rPr>
          <w:rFonts w:ascii="Times New Roman" w:hAnsi="Times New Roman" w:eastAsia="Times New Roman" w:cs="Times New Roman"/>
          <w:b/>
          <w:i w:val="0"/>
          <w:color w:val="000000"/>
        </w:rPr>
        <w:t>N5.2 Critical-value thresholds (`eval/baselines/b7_critical_values.py`; CAP/Kost 1990/Tietz consensus, conventional units)</w:t>
      </w:r>
    </w:p>
    <w:p>
      <w:r>
        <w:t>K ≥ 6.5 or ≤ 2.5 mmol/L; Na ≤ 120 or ≥ 160 mmol/L; glucose ≤ 40 or ≥ 500 mg/dL; total Ca ≥ 13.5 or ≤ 6.0 mg/dL; Hb ≤ 6.5 g/dL; platelets ≤ 20 ×10⁹/L; WBC ≤ 1.0 or ≥ 50 ×10⁹/L; INR ≥ 5; arterial pH ≤ 7.10 or ≥ 7.60; bicarbonate ≤ 8 mmol/L; lactate ≥ 8 mmol/L; creatinine ≥ 7.5 mg/dL (no dialysis information available). Sample: 25 stays with ≥ 1 critical value plus 25 without, drawn with a fixed seed from the 400-stay LLM subset; 39 critical values in total. Both arms flagged 39/39.</w:t>
      </w:r>
    </w:p>
    <w:p>
      <w:pPr>
        <w:pStyle w:val="Heading2"/>
      </w:pPr>
      <w:r>
        <w:rPr>
          <w:rFonts w:ascii="Times New Roman" w:hAnsi="Times New Roman" w:eastAsia="Times New Roman" w:cs="Times New Roman"/>
          <w:b/>
          <w:i w:val="0"/>
          <w:color w:val="000000"/>
        </w:rPr>
        <w:t>N5.3 Race and ethnicity audit of the knowledge base (2026-10-26)</w:t>
      </w:r>
    </w:p>
    <w:p>
      <w:r>
        <w:t xml:space="preserve">Full-text search of the decompressed disease-guideline registry 14.1.0: 'race' 0, 'ethnic' 0, 'African' 0, 'Black' 0, 'Caucasian' 0, 'Hispanic' 0; 'white' 496 occurrences, all within 'white blood cell(s)'; 'Asian' 1 occurrence, inside a free-text source note on WHO BMI action thresholds that is not an executable condition. eGFR is CKD-EPI 2021 (race-free). The engine's context dataclass has an optional </w:t>
      </w:r>
      <w:r>
        <w:rPr>
          <w:rFonts w:ascii="Courier New" w:hAnsi="Courier New" w:eastAsia="Courier New" w:cs="Courier New"/>
          <w:color w:val="000000"/>
          <w:sz w:val="22"/>
        </w:rPr>
        <w:t>ethnicity</w:t>
      </w:r>
      <w:r>
        <w:t xml:space="preserve"> field (an alias for the input key </w:t>
      </w:r>
      <w:r>
        <w:rPr>
          <w:rFonts w:ascii="Courier New" w:hAnsi="Courier New" w:eastAsia="Courier New" w:cs="Courier New"/>
          <w:color w:val="000000"/>
          <w:sz w:val="22"/>
        </w:rPr>
        <w:t>race</w:t>
      </w:r>
      <w:r>
        <w:t xml:space="preserve">); a search of </w:t>
      </w:r>
      <w:r>
        <w:rPr>
          <w:rFonts w:ascii="Courier New" w:hAnsi="Courier New" w:eastAsia="Courier New" w:cs="Courier New"/>
          <w:color w:val="000000"/>
          <w:sz w:val="22"/>
        </w:rPr>
        <w:t>analyse_gidlines.py</w:t>
      </w:r>
      <w:r>
        <w:t xml:space="preserve"> finds no read of that field by any rule, layer or fusion step.</w:t>
      </w:r>
    </w:p>
    <w:p>
      <w:pPr>
        <w:pStyle w:val="Heading2"/>
      </w:pPr>
      <w:r>
        <w:rPr>
          <w:rFonts w:ascii="Times New Roman" w:hAnsi="Times New Roman" w:eastAsia="Times New Roman" w:cs="Times New Roman"/>
          <w:b/>
          <w:i w:val="0"/>
          <w:color w:val="000000"/>
        </w:rPr>
        <w:t>N5.4 Hardware and software for all timings</w:t>
      </w:r>
    </w:p>
    <w:p>
      <w:r>
        <w:t>2 vCPU Intel Xeon @ 2.60 GHz, 1.98 GB RAM, Linux 6.1, Python 3.13 (sandbox); engine single-process, no GPU, no network.</w:t>
      </w:r>
    </w:p>
    <w:p>
      <w:pPr>
        <w:pStyle w:val="Heading2"/>
      </w:pPr>
      <w:r>
        <w:rPr>
          <w:rFonts w:ascii="Times New Roman" w:hAnsi="Times New Roman" w:eastAsia="Times New Roman" w:cs="Times New Roman"/>
          <w:b/>
          <w:i w:val="0"/>
          <w:color w:val="000000"/>
        </w:rPr>
        <w:t>N5.5 Novelty search for open laboratory-interpretation rule sets (2026-10-24)</w:t>
      </w:r>
    </w:p>
    <w:p>
      <w:r>
        <w:t>Searched: AHRQ CDS Connect (repository and authoring tool offline since 28 April 2025; continuing as HL7 'CDS Connect Community Edition'), ECRI Guidelines Trust ('temporarily unavailable' since 2024), NICE (content outside the UK is personal-use only; product use requires written permission and a fee), WHO SMART Guidelines digital adaptation kits (ANC, family planning, HIV, TB, child health, immunisation, BP self-monitoring — no laboratory-interpretation kit), OpenCDS, Arden-syntax MLM collections and PubMed/Google Scholar ('open' AND 'rule base' AND 'laboratory interpretation'). No openly licensed, machine-executable rule set covering multi-analyte laboratory interpretation was found; the claim in the Discussion is bounded to this search and dated.</w:t>
      </w:r>
    </w:p>
    <w:p>
      <w:pPr>
        <w:pStyle w:val="Heading2"/>
      </w:pPr>
      <w:r>
        <w:rPr>
          <w:rFonts w:ascii="Times New Roman" w:hAnsi="Times New Roman" w:eastAsia="Times New Roman" w:cs="Times New Roman"/>
          <w:b/>
          <w:i w:val="0"/>
          <w:color w:val="000000"/>
        </w:rPr>
        <w:t>N5.6 LLM arm — model identity</w:t>
      </w:r>
    </w:p>
    <w:p>
      <w:r>
        <w:t>The LLM arm was run through the Arena.ai agent platform, which routes requests among several frontier model families (GPT, Claude, Gemini and others) and does not expose the model or version used for a given response. 'unnamed frontier (capability-tier "GPT-4-class")' is therefore a capability-tier label, not a verified identity. Consequences: (i) the LLM arm cannot be reproduced against a named model version; (ii) the test–retest reads (κ = 0.69) may have been served by different models; (iii) the comparison should be read as 'a contemporary frontier assistant as a clinician would encounter it', not as a benchmark of a specific model. Prompts, raw outputs and scoring code are released so that the arm can be re-run against any named model.</w:t>
      </w:r>
    </w:p>
    <w:p>
      <w:pPr>
        <w:pStyle w:val="Heading2"/>
      </w:pPr>
      <w:r>
        <w:rPr>
          <w:rFonts w:ascii="Times New Roman" w:hAnsi="Times New Roman" w:eastAsia="Times New Roman" w:cs="Times New Roman"/>
          <w:b/>
          <w:i w:val="0"/>
          <w:color w:val="000000"/>
        </w:rPr>
        <w:t>N5.7 Reporting checklist</w:t>
      </w:r>
    </w:p>
    <w:p>
      <w:r>
        <w:t>TRIPOD+AI was adapted (the engine is not a prediction model fitted to data; items on model development/training are answered 'not applicable' with justification), and the DECIDE-AI early-stage clinical-evaluation items were consulted for the Limitations. The completed checklist follows.</w:t>
      </w:r>
    </w:p>
    <w:p>
      <w:pPr>
        <w:pStyle w:val="Heading2"/>
      </w:pPr>
      <w:r>
        <w:rPr>
          <w:rFonts w:ascii="Times New Roman" w:hAnsi="Times New Roman" w:eastAsia="Times New Roman" w:cs="Times New Roman"/>
          <w:b/>
          <w:i w:val="0"/>
          <w:color w:val="000000"/>
        </w:rPr>
        <w:t>TRIPOD+AI (BMJ 2024;385:e078378) checklist — Hemoglyph Paper 1 (updated 2026-10-24, engine v5.3 / registry 13.3.0)</w:t>
      </w:r>
    </w:p>
    <w:p>
      <w:r>
        <w:t>Status key: ✅ available now · 🟡 partly / needs the pending work · ❌ not yet.</w:t>
      </w:r>
    </w:p>
    <w:p>
      <w:r>
        <w:t>(Hemoglyph is a knowledge-based, untrained system; items on "training data" are answered as</w:t>
      </w:r>
    </w:p>
    <w:p>
      <w:r>
        <w:t>"not applicable — knowledge base construction described instead", which TRIPOD+AI permits.)</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268"/>
            <w:shd w:val="clear" w:fill="F2F2F2"/>
          </w:tcPr>
          <w:p>
            <w:pPr>
              <w:spacing w:line="240" w:lineRule="auto" w:after="0" w:before="0"/>
            </w:pPr>
            <w:r>
              <w:rPr>
                <w:b/>
              </w:rPr>
            </w:r>
            <w:r>
              <w:rPr>
                <w:b/>
                <w:sz w:val="16"/>
              </w:rPr>
              <w:t>#</w:t>
            </w:r>
          </w:p>
        </w:tc>
        <w:tc>
          <w:tcPr>
            <w:tcW w:type="dxa" w:w="2268"/>
            <w:shd w:val="clear" w:fill="F2F2F2"/>
          </w:tcPr>
          <w:p>
            <w:pPr>
              <w:spacing w:line="240" w:lineRule="auto" w:after="0" w:before="0"/>
            </w:pPr>
            <w:r>
              <w:rPr>
                <w:b/>
              </w:rPr>
            </w:r>
            <w:r>
              <w:rPr>
                <w:b/>
                <w:sz w:val="16"/>
              </w:rPr>
              <w:t>Item</w:t>
            </w:r>
          </w:p>
        </w:tc>
        <w:tc>
          <w:tcPr>
            <w:tcW w:type="dxa" w:w="2268"/>
            <w:shd w:val="clear" w:fill="F2F2F2"/>
          </w:tcPr>
          <w:p>
            <w:pPr>
              <w:spacing w:line="240" w:lineRule="auto" w:after="0" w:before="0"/>
            </w:pPr>
            <w:r>
              <w:rPr>
                <w:b/>
              </w:rPr>
            </w:r>
            <w:r>
              <w:rPr>
                <w:b/>
                <w:sz w:val="16"/>
              </w:rPr>
              <w:t>Status</w:t>
            </w:r>
          </w:p>
        </w:tc>
        <w:tc>
          <w:tcPr>
            <w:tcW w:type="dxa" w:w="2268"/>
            <w:shd w:val="clear" w:fill="F2F2F2"/>
          </w:tcPr>
          <w:p>
            <w:pPr>
              <w:spacing w:line="240" w:lineRule="auto" w:after="0" w:before="0"/>
            </w:pPr>
            <w:r>
              <w:rPr>
                <w:b/>
              </w:rPr>
            </w:r>
            <w:r>
              <w:rPr>
                <w:b/>
                <w:sz w:val="16"/>
              </w:rPr>
              <w:t>Where / what is needed</w:t>
            </w:r>
          </w:p>
        </w:tc>
      </w:tr>
      <w:tr>
        <w:trPr>
          <w:cantSplit/>
        </w:trPr>
        <w:tc>
          <w:tcPr>
            <w:tcW w:type="dxa" w:w="2268"/>
          </w:tcPr>
          <w:p>
            <w:pPr>
              <w:spacing w:line="240" w:lineRule="auto" w:after="0" w:before="0"/>
            </w:pPr>
            <w:r/>
            <w:r>
              <w:rPr>
                <w:sz w:val="16"/>
              </w:rPr>
              <w:t>1</w:t>
            </w:r>
          </w:p>
        </w:tc>
        <w:tc>
          <w:tcPr>
            <w:tcW w:type="dxa" w:w="2268"/>
          </w:tcPr>
          <w:p>
            <w:pPr>
              <w:spacing w:line="240" w:lineRule="auto" w:after="0" w:before="0"/>
            </w:pPr>
            <w:r/>
            <w:r>
              <w:rPr>
                <w:sz w:val="16"/>
              </w:rPr>
              <w:t>Title identifies study as development/evaluation of a prediction/diagnostic model with AI</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Paper 1 title: "...retrospective multi-cohort evaluation"</w:t>
            </w:r>
          </w:p>
        </w:tc>
      </w:tr>
      <w:tr>
        <w:trPr>
          <w:cantSplit/>
        </w:trPr>
        <w:tc>
          <w:tcPr>
            <w:tcW w:type="dxa" w:w="2268"/>
          </w:tcPr>
          <w:p>
            <w:pPr>
              <w:spacing w:line="240" w:lineRule="auto" w:after="0" w:before="0"/>
            </w:pPr>
            <w:r/>
            <w:r>
              <w:rPr>
                <w:sz w:val="16"/>
              </w:rPr>
              <w:t>2</w:t>
            </w:r>
          </w:p>
        </w:tc>
        <w:tc>
          <w:tcPr>
            <w:tcW w:type="dxa" w:w="2268"/>
          </w:tcPr>
          <w:p>
            <w:pPr>
              <w:spacing w:line="240" w:lineRule="auto" w:after="0" w:before="0"/>
            </w:pPr>
            <w:r/>
            <w:r>
              <w:rPr>
                <w:sz w:val="16"/>
              </w:rPr>
              <w:t>Abstract: TRIPOD+AI for Abstracts</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Paper 1 abstract (cohorts, n, recall@5 / AUROC with 95% CI, baselines)</w:t>
            </w:r>
          </w:p>
        </w:tc>
      </w:tr>
      <w:tr>
        <w:trPr>
          <w:cantSplit/>
        </w:trPr>
        <w:tc>
          <w:tcPr>
            <w:tcW w:type="dxa" w:w="2268"/>
          </w:tcPr>
          <w:p>
            <w:pPr>
              <w:spacing w:line="240" w:lineRule="auto" w:after="0" w:before="0"/>
            </w:pPr>
            <w:r/>
            <w:r>
              <w:rPr>
                <w:sz w:val="16"/>
              </w:rPr>
              <w:t>3a</w:t>
            </w:r>
          </w:p>
        </w:tc>
        <w:tc>
          <w:tcPr>
            <w:tcW w:type="dxa" w:w="2268"/>
          </w:tcPr>
          <w:p>
            <w:pPr>
              <w:spacing w:line="240" w:lineRule="auto" w:after="0" w:before="0"/>
            </w:pPr>
            <w:r/>
            <w:r>
              <w:rPr>
                <w:sz w:val="16"/>
              </w:rPr>
              <w:t>Background, rationale</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manuscript intro</w:t>
            </w:r>
          </w:p>
        </w:tc>
      </w:tr>
      <w:tr>
        <w:trPr>
          <w:cantSplit/>
        </w:trPr>
        <w:tc>
          <w:tcPr>
            <w:tcW w:type="dxa" w:w="2268"/>
          </w:tcPr>
          <w:p>
            <w:pPr>
              <w:spacing w:line="240" w:lineRule="auto" w:after="0" w:before="0"/>
            </w:pPr>
            <w:r/>
            <w:r>
              <w:rPr>
                <w:sz w:val="16"/>
              </w:rPr>
              <w:t>3b</w:t>
            </w:r>
          </w:p>
        </w:tc>
        <w:tc>
          <w:tcPr>
            <w:tcW w:type="dxa" w:w="2268"/>
          </w:tcPr>
          <w:p>
            <w:pPr>
              <w:spacing w:line="240" w:lineRule="auto" w:after="0" w:before="0"/>
            </w:pPr>
            <w:r/>
            <w:r>
              <w:rPr>
                <w:sz w:val="16"/>
              </w:rPr>
              <w:t>Target population, intended use, users</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laboratory physicians / clinicians; decision support, not autonomous</w:t>
            </w:r>
          </w:p>
        </w:tc>
      </w:tr>
      <w:tr>
        <w:trPr>
          <w:cantSplit/>
        </w:trPr>
        <w:tc>
          <w:tcPr>
            <w:tcW w:type="dxa" w:w="2268"/>
          </w:tcPr>
          <w:p>
            <w:pPr>
              <w:spacing w:line="240" w:lineRule="auto" w:after="0" w:before="0"/>
            </w:pPr>
            <w:r/>
            <w:r>
              <w:rPr>
                <w:sz w:val="16"/>
              </w:rPr>
              <w:t>4</w:t>
            </w:r>
          </w:p>
        </w:tc>
        <w:tc>
          <w:tcPr>
            <w:tcW w:type="dxa" w:w="2268"/>
          </w:tcPr>
          <w:p>
            <w:pPr>
              <w:spacing w:line="240" w:lineRule="auto" w:after="0" w:before="0"/>
            </w:pPr>
            <w:r/>
            <w:r>
              <w:rPr>
                <w:sz w:val="16"/>
              </w:rPr>
              <w:t>Objectives</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SAP §1</w:t>
            </w:r>
          </w:p>
        </w:tc>
      </w:tr>
      <w:tr>
        <w:trPr>
          <w:cantSplit/>
        </w:trPr>
        <w:tc>
          <w:tcPr>
            <w:tcW w:type="dxa" w:w="2268"/>
          </w:tcPr>
          <w:p>
            <w:pPr>
              <w:spacing w:line="240" w:lineRule="auto" w:after="0" w:before="0"/>
            </w:pPr>
            <w:r/>
            <w:r>
              <w:rPr>
                <w:sz w:val="16"/>
              </w:rPr>
              <w:t>5a</w:t>
            </w:r>
          </w:p>
        </w:tc>
        <w:tc>
          <w:tcPr>
            <w:tcW w:type="dxa" w:w="2268"/>
          </w:tcPr>
          <w:p>
            <w:pPr>
              <w:spacing w:line="240" w:lineRule="auto" w:after="0" w:before="0"/>
            </w:pPr>
            <w:r/>
            <w:r>
              <w:rPr>
                <w:sz w:val="16"/>
              </w:rPr>
              <w:t>Source of data, study design</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SAP §3 (6 public datasets)</w:t>
            </w:r>
          </w:p>
        </w:tc>
      </w:tr>
      <w:tr>
        <w:trPr>
          <w:cantSplit/>
        </w:trPr>
        <w:tc>
          <w:tcPr>
            <w:tcW w:type="dxa" w:w="2268"/>
          </w:tcPr>
          <w:p>
            <w:pPr>
              <w:spacing w:line="240" w:lineRule="auto" w:after="0" w:before="0"/>
            </w:pPr>
            <w:r/>
            <w:r>
              <w:rPr>
                <w:sz w:val="16"/>
              </w:rPr>
              <w:t>5b</w:t>
            </w:r>
          </w:p>
        </w:tc>
        <w:tc>
          <w:tcPr>
            <w:tcW w:type="dxa" w:w="2268"/>
          </w:tcPr>
          <w:p>
            <w:pPr>
              <w:spacing w:line="240" w:lineRule="auto" w:after="0" w:before="0"/>
            </w:pPr>
            <w:r/>
            <w:r>
              <w:rPr>
                <w:sz w:val="16"/>
              </w:rPr>
              <w:t>Setting, dates, eligibility</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Paper 1 Methods table (eICU-CRD demo 2014–15; NHANES 2005–2018 (7 cycles); PhysioNet/CinC 2019; UCI HCV/ILPD/thyroid; MIMIC-IV demo)</w:t>
            </w:r>
          </w:p>
        </w:tc>
      </w:tr>
      <w:tr>
        <w:trPr>
          <w:cantSplit/>
        </w:trPr>
        <w:tc>
          <w:tcPr>
            <w:tcW w:type="dxa" w:w="2268"/>
          </w:tcPr>
          <w:p>
            <w:pPr>
              <w:spacing w:line="240" w:lineRule="auto" w:after="0" w:before="0"/>
            </w:pPr>
            <w:r/>
            <w:r>
              <w:rPr>
                <w:sz w:val="16"/>
              </w:rPr>
              <w:t>5c</w:t>
            </w:r>
          </w:p>
        </w:tc>
        <w:tc>
          <w:tcPr>
            <w:tcW w:type="dxa" w:w="2268"/>
          </w:tcPr>
          <w:p>
            <w:pPr>
              <w:spacing w:line="240" w:lineRule="auto" w:after="0" w:before="0"/>
            </w:pPr>
            <w:r/>
            <w:r>
              <w:rPr>
                <w:sz w:val="16"/>
              </w:rPr>
              <w:t>Participants' eligibility</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SAP §6</w:t>
            </w:r>
          </w:p>
        </w:tc>
      </w:tr>
      <w:tr>
        <w:trPr>
          <w:cantSplit/>
        </w:trPr>
        <w:tc>
          <w:tcPr>
            <w:tcW w:type="dxa" w:w="2268"/>
          </w:tcPr>
          <w:p>
            <w:pPr>
              <w:spacing w:line="240" w:lineRule="auto" w:after="0" w:before="0"/>
            </w:pPr>
            <w:r/>
            <w:r>
              <w:rPr>
                <w:sz w:val="16"/>
              </w:rPr>
              <w:t>6a</w:t>
            </w:r>
          </w:p>
        </w:tc>
        <w:tc>
          <w:tcPr>
            <w:tcW w:type="dxa" w:w="2268"/>
          </w:tcPr>
          <w:p>
            <w:pPr>
              <w:spacing w:line="240" w:lineRule="auto" w:after="0" w:before="0"/>
            </w:pPr>
            <w:r/>
            <w:r>
              <w:rPr>
                <w:sz w:val="16"/>
              </w:rPr>
              <w:t>Outcome definition and assessment</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SAP §5, script docstrings</w:t>
            </w:r>
          </w:p>
        </w:tc>
      </w:tr>
      <w:tr>
        <w:trPr>
          <w:cantSplit/>
        </w:trPr>
        <w:tc>
          <w:tcPr>
            <w:tcW w:type="dxa" w:w="2268"/>
          </w:tcPr>
          <w:p>
            <w:pPr>
              <w:spacing w:line="240" w:lineRule="auto" w:after="0" w:before="0"/>
            </w:pPr>
            <w:r/>
            <w:r>
              <w:rPr>
                <w:sz w:val="16"/>
              </w:rPr>
              <w:t>6b</w:t>
            </w:r>
          </w:p>
        </w:tc>
        <w:tc>
          <w:tcPr>
            <w:tcW w:type="dxa" w:w="2268"/>
          </w:tcPr>
          <w:p>
            <w:pPr>
              <w:spacing w:line="240" w:lineRule="auto" w:after="0" w:before="0"/>
            </w:pPr>
            <w:r/>
            <w:r>
              <w:rPr>
                <w:sz w:val="16"/>
              </w:rPr>
              <w:t>Outcome blinded to predictors?</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labels pre-exist in datasets; engine untrained</w:t>
            </w:r>
          </w:p>
        </w:tc>
      </w:tr>
      <w:tr>
        <w:trPr>
          <w:cantSplit/>
        </w:trPr>
        <w:tc>
          <w:tcPr>
            <w:tcW w:type="dxa" w:w="2268"/>
          </w:tcPr>
          <w:p>
            <w:pPr>
              <w:spacing w:line="240" w:lineRule="auto" w:after="0" w:before="0"/>
            </w:pPr>
            <w:r/>
            <w:r>
              <w:rPr>
                <w:sz w:val="16"/>
              </w:rPr>
              <w:t>7a</w:t>
            </w:r>
          </w:p>
        </w:tc>
        <w:tc>
          <w:tcPr>
            <w:tcW w:type="dxa" w:w="2268"/>
          </w:tcPr>
          <w:p>
            <w:pPr>
              <w:spacing w:line="240" w:lineRule="auto" w:after="0" w:before="0"/>
            </w:pPr>
            <w:r/>
            <w:r>
              <w:rPr>
                <w:sz w:val="16"/>
              </w:rPr>
              <w:t>Predictors (inputs)</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analyte lists per dataset (map tables)</w:t>
            </w:r>
          </w:p>
        </w:tc>
      </w:tr>
      <w:tr>
        <w:trPr>
          <w:cantSplit/>
        </w:trPr>
        <w:tc>
          <w:tcPr>
            <w:tcW w:type="dxa" w:w="2268"/>
          </w:tcPr>
          <w:p>
            <w:pPr>
              <w:spacing w:line="240" w:lineRule="auto" w:after="0" w:before="0"/>
            </w:pPr>
            <w:r/>
            <w:r>
              <w:rPr>
                <w:sz w:val="16"/>
              </w:rPr>
              <w:t>7b</w:t>
            </w:r>
          </w:p>
        </w:tc>
        <w:tc>
          <w:tcPr>
            <w:tcW w:type="dxa" w:w="2268"/>
          </w:tcPr>
          <w:p>
            <w:pPr>
              <w:spacing w:line="240" w:lineRule="auto" w:after="0" w:before="0"/>
            </w:pPr>
            <w:r/>
            <w:r>
              <w:rPr>
                <w:sz w:val="16"/>
              </w:rPr>
              <w:t>Predictors blinded to outcome</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yes</w:t>
            </w:r>
          </w:p>
        </w:tc>
      </w:tr>
      <w:tr>
        <w:trPr>
          <w:cantSplit/>
        </w:trPr>
        <w:tc>
          <w:tcPr>
            <w:tcW w:type="dxa" w:w="2268"/>
          </w:tcPr>
          <w:p>
            <w:pPr>
              <w:spacing w:line="240" w:lineRule="auto" w:after="0" w:before="0"/>
            </w:pPr>
            <w:r/>
            <w:r>
              <w:rPr>
                <w:sz w:val="16"/>
              </w:rPr>
              <w:t>8</w:t>
            </w:r>
          </w:p>
        </w:tc>
        <w:tc>
          <w:tcPr>
            <w:tcW w:type="dxa" w:w="2268"/>
          </w:tcPr>
          <w:p>
            <w:pPr>
              <w:spacing w:line="240" w:lineRule="auto" w:after="0" w:before="0"/>
            </w:pPr>
            <w:r/>
            <w:r>
              <w:rPr>
                <w:sz w:val="16"/>
              </w:rPr>
              <w:t>Sample size</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no formal power calculation (pre-specified fixed public cohorts); groups with &lt; 20 events flagged "exploratory" in every table; eICU B3+B4+B8 LLM comparison n = 400 stays / 596 labels gives ±4 pp CI half-width</w:t>
            </w:r>
          </w:p>
        </w:tc>
      </w:tr>
      <w:tr>
        <w:trPr>
          <w:cantSplit/>
        </w:trPr>
        <w:tc>
          <w:tcPr>
            <w:tcW w:type="dxa" w:w="2268"/>
          </w:tcPr>
          <w:p>
            <w:pPr>
              <w:spacing w:line="240" w:lineRule="auto" w:after="0" w:before="0"/>
            </w:pPr>
            <w:r/>
            <w:r>
              <w:rPr>
                <w:sz w:val="16"/>
              </w:rPr>
              <w:t>9</w:t>
            </w:r>
          </w:p>
        </w:tc>
        <w:tc>
          <w:tcPr>
            <w:tcW w:type="dxa" w:w="2268"/>
          </w:tcPr>
          <w:p>
            <w:pPr>
              <w:spacing w:line="240" w:lineRule="auto" w:after="0" w:before="0"/>
            </w:pPr>
            <w:r/>
            <w:r>
              <w:rPr>
                <w:sz w:val="16"/>
              </w:rPr>
              <w:t>Missing data handling</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no imputation; key-analyte conditioning</w:t>
            </w:r>
          </w:p>
        </w:tc>
      </w:tr>
      <w:tr>
        <w:trPr>
          <w:cantSplit/>
        </w:trPr>
        <w:tc>
          <w:tcPr>
            <w:tcW w:type="dxa" w:w="2268"/>
          </w:tcPr>
          <w:p>
            <w:pPr>
              <w:spacing w:line="240" w:lineRule="auto" w:after="0" w:before="0"/>
            </w:pPr>
            <w:r/>
            <w:r>
              <w:rPr>
                <w:sz w:val="16"/>
              </w:rPr>
              <w:t>10a</w:t>
            </w:r>
          </w:p>
        </w:tc>
        <w:tc>
          <w:tcPr>
            <w:tcW w:type="dxa" w:w="2268"/>
          </w:tcPr>
          <w:p>
            <w:pPr>
              <w:spacing w:line="240" w:lineRule="auto" w:after="0" w:before="0"/>
            </w:pPr>
            <w:r/>
            <w:r>
              <w:rPr>
                <w:sz w:val="16"/>
              </w:rPr>
              <w:t>Model building: how predictors handled</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registry/ESL/fusion description</w:t>
            </w:r>
          </w:p>
        </w:tc>
      </w:tr>
      <w:tr>
        <w:trPr>
          <w:cantSplit/>
        </w:trPr>
        <w:tc>
          <w:tcPr>
            <w:tcW w:type="dxa" w:w="2268"/>
          </w:tcPr>
          <w:p>
            <w:pPr>
              <w:spacing w:line="240" w:lineRule="auto" w:after="0" w:before="0"/>
            </w:pPr>
            <w:r/>
            <w:r>
              <w:rPr>
                <w:sz w:val="16"/>
              </w:rPr>
              <w:t>10b</w:t>
            </w:r>
          </w:p>
        </w:tc>
        <w:tc>
          <w:tcPr>
            <w:tcW w:type="dxa" w:w="2268"/>
          </w:tcPr>
          <w:p>
            <w:pPr>
              <w:spacing w:line="240" w:lineRule="auto" w:after="0" w:before="0"/>
            </w:pPr>
            <w:r/>
            <w:r>
              <w:rPr>
                <w:sz w:val="16"/>
              </w:rPr>
              <w:t>Model type, training</w:t>
            </w:r>
          </w:p>
        </w:tc>
        <w:tc>
          <w:tcPr>
            <w:tcW w:type="dxa" w:w="2268"/>
          </w:tcPr>
          <w:p>
            <w:pPr>
              <w:spacing w:line="240" w:lineRule="auto" w:after="0" w:before="0"/>
            </w:pPr>
            <w:r/>
            <w:r>
              <w:rPr>
                <w:sz w:val="16"/>
              </w:rPr>
              <w:t>n/a</w:t>
            </w:r>
          </w:p>
        </w:tc>
        <w:tc>
          <w:tcPr>
            <w:tcW w:type="dxa" w:w="2268"/>
          </w:tcPr>
          <w:p>
            <w:pPr>
              <w:spacing w:line="240" w:lineRule="auto" w:after="0" w:before="0"/>
            </w:pPr>
            <w:r/>
            <w:r>
              <w:rPr>
                <w:sz w:val="16"/>
              </w:rPr>
              <w:t xml:space="preserve">knowledge base construction (AI-assisted curation + sources) — </w:t>
            </w:r>
            <w:r>
              <w:rPr>
                <w:b/>
                <w:sz w:val="16"/>
              </w:rPr>
              <w:t>registry audit needed (🟡)</w:t>
            </w:r>
          </w:p>
        </w:tc>
      </w:tr>
      <w:tr>
        <w:trPr>
          <w:cantSplit/>
        </w:trPr>
        <w:tc>
          <w:tcPr>
            <w:tcW w:type="dxa" w:w="2268"/>
          </w:tcPr>
          <w:p>
            <w:pPr>
              <w:spacing w:line="240" w:lineRule="auto" w:after="0" w:before="0"/>
            </w:pPr>
            <w:r/>
            <w:r>
              <w:rPr>
                <w:sz w:val="16"/>
              </w:rPr>
              <w:t>10c</w:t>
            </w:r>
          </w:p>
        </w:tc>
        <w:tc>
          <w:tcPr>
            <w:tcW w:type="dxa" w:w="2268"/>
          </w:tcPr>
          <w:p>
            <w:pPr>
              <w:spacing w:line="240" w:lineRule="auto" w:after="0" w:before="0"/>
            </w:pPr>
            <w:r/>
            <w:r>
              <w:rPr>
                <w:sz w:val="16"/>
              </w:rPr>
              <w:t>Hyper-parameters</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fusion constants table</w:t>
            </w:r>
          </w:p>
        </w:tc>
      </w:tr>
      <w:tr>
        <w:trPr>
          <w:cantSplit/>
        </w:trPr>
        <w:tc>
          <w:tcPr>
            <w:tcW w:type="dxa" w:w="2268"/>
          </w:tcPr>
          <w:p>
            <w:pPr>
              <w:spacing w:line="240" w:lineRule="auto" w:after="0" w:before="0"/>
            </w:pPr>
            <w:r/>
            <w:r>
              <w:rPr>
                <w:sz w:val="16"/>
              </w:rPr>
              <w:t>10d</w:t>
            </w:r>
          </w:p>
        </w:tc>
        <w:tc>
          <w:tcPr>
            <w:tcW w:type="dxa" w:w="2268"/>
          </w:tcPr>
          <w:p>
            <w:pPr>
              <w:spacing w:line="240" w:lineRule="auto" w:after="0" w:before="0"/>
            </w:pPr>
            <w:r/>
            <w:r>
              <w:rPr>
                <w:sz w:val="16"/>
              </w:rPr>
              <w:t>Performance measures</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SAP §4</w:t>
            </w:r>
          </w:p>
        </w:tc>
      </w:tr>
      <w:tr>
        <w:trPr>
          <w:cantSplit/>
        </w:trPr>
        <w:tc>
          <w:tcPr>
            <w:tcW w:type="dxa" w:w="2268"/>
          </w:tcPr>
          <w:p>
            <w:pPr>
              <w:spacing w:line="240" w:lineRule="auto" w:after="0" w:before="0"/>
            </w:pPr>
            <w:r/>
            <w:r>
              <w:rPr>
                <w:sz w:val="16"/>
              </w:rPr>
              <w:t>10e</w:t>
            </w:r>
          </w:p>
        </w:tc>
        <w:tc>
          <w:tcPr>
            <w:tcW w:type="dxa" w:w="2268"/>
          </w:tcPr>
          <w:p>
            <w:pPr>
              <w:spacing w:line="240" w:lineRule="auto" w:after="0" w:before="0"/>
            </w:pPr>
            <w:r/>
            <w:r>
              <w:rPr>
                <w:sz w:val="16"/>
              </w:rPr>
              <w:t>Model updating</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ESL ext. 4 / fixes after MIMIC demo, disclosed</w:t>
            </w:r>
          </w:p>
        </w:tc>
      </w:tr>
      <w:tr>
        <w:trPr>
          <w:cantSplit/>
        </w:trPr>
        <w:tc>
          <w:tcPr>
            <w:tcW w:type="dxa" w:w="2268"/>
          </w:tcPr>
          <w:p>
            <w:pPr>
              <w:spacing w:line="240" w:lineRule="auto" w:after="0" w:before="0"/>
            </w:pPr>
            <w:r/>
            <w:r>
              <w:rPr>
                <w:sz w:val="16"/>
              </w:rPr>
              <w:t>11</w:t>
            </w:r>
          </w:p>
        </w:tc>
        <w:tc>
          <w:tcPr>
            <w:tcW w:type="dxa" w:w="2268"/>
          </w:tcPr>
          <w:p>
            <w:pPr>
              <w:spacing w:line="240" w:lineRule="auto" w:after="0" w:before="0"/>
            </w:pPr>
            <w:r/>
            <w:r>
              <w:rPr>
                <w:sz w:val="16"/>
              </w:rPr>
              <w:t>Fairness: subgroup analysis</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eval/subgroup_fairness.py → sex, age band, hospital, panel size (eICU v5.3: run_20261023_v53/subgroup.log; Supplementary Table S4; sex gap M 65.4 vs F 61.1 reported as unresolved, H1 failed)</w:t>
            </w:r>
          </w:p>
        </w:tc>
      </w:tr>
      <w:tr>
        <w:trPr>
          <w:cantSplit/>
        </w:trPr>
        <w:tc>
          <w:tcPr>
            <w:tcW w:type="dxa" w:w="2268"/>
          </w:tcPr>
          <w:p>
            <w:pPr>
              <w:spacing w:line="240" w:lineRule="auto" w:after="0" w:before="0"/>
            </w:pPr>
            <w:r/>
            <w:r>
              <w:rPr>
                <w:sz w:val="16"/>
              </w:rPr>
              <w:t>12</w:t>
            </w:r>
          </w:p>
        </w:tc>
        <w:tc>
          <w:tcPr>
            <w:tcW w:type="dxa" w:w="2268"/>
          </w:tcPr>
          <w:p>
            <w:pPr>
              <w:spacing w:line="240" w:lineRule="auto" w:after="0" w:before="0"/>
            </w:pPr>
            <w:r/>
            <w:r>
              <w:rPr>
                <w:sz w:val="16"/>
              </w:rPr>
              <w:t>Evaluation / internal validation design</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SAP §3 roles</w:t>
            </w:r>
          </w:p>
        </w:tc>
      </w:tr>
      <w:tr>
        <w:trPr>
          <w:cantSplit/>
        </w:trPr>
        <w:tc>
          <w:tcPr>
            <w:tcW w:type="dxa" w:w="2268"/>
          </w:tcPr>
          <w:p>
            <w:pPr>
              <w:spacing w:line="240" w:lineRule="auto" w:after="0" w:before="0"/>
            </w:pPr>
            <w:r/>
            <w:r>
              <w:rPr>
                <w:sz w:val="16"/>
              </w:rPr>
              <w:t>13</w:t>
            </w:r>
          </w:p>
        </w:tc>
        <w:tc>
          <w:tcPr>
            <w:tcW w:type="dxa" w:w="2268"/>
          </w:tcPr>
          <w:p>
            <w:pPr>
              <w:spacing w:line="240" w:lineRule="auto" w:after="0" w:before="0"/>
            </w:pPr>
            <w:r/>
            <w:r>
              <w:rPr>
                <w:sz w:val="16"/>
              </w:rPr>
              <w:t>Comparison to other models / baselines</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B1 single-analyte rule; B2 supervised ML (eICU); blind unnamed frontier (capability-tier "GPT-4-class") LLM via agent (B3/B4/B8, n = 400, McNemar p = 0.009); supervised logistic baseline on Sepsis-2019; published Isabel/DXplain figures in Discussion (not head-to-head)</w:t>
            </w:r>
          </w:p>
        </w:tc>
      </w:tr>
      <w:tr>
        <w:trPr>
          <w:cantSplit/>
        </w:trPr>
        <w:tc>
          <w:tcPr>
            <w:tcW w:type="dxa" w:w="2268"/>
          </w:tcPr>
          <w:p>
            <w:pPr>
              <w:spacing w:line="240" w:lineRule="auto" w:after="0" w:before="0"/>
            </w:pPr>
            <w:r/>
            <w:r>
              <w:rPr>
                <w:sz w:val="16"/>
              </w:rPr>
              <w:t>14a</w:t>
            </w:r>
          </w:p>
        </w:tc>
        <w:tc>
          <w:tcPr>
            <w:tcW w:type="dxa" w:w="2268"/>
          </w:tcPr>
          <w:p>
            <w:pPr>
              <w:spacing w:line="240" w:lineRule="auto" w:after="0" w:before="0"/>
            </w:pPr>
            <w:r/>
            <w:r>
              <w:rPr>
                <w:sz w:val="16"/>
              </w:rPr>
              <w:t>Participant flow diagram</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Supplementary Fig. S6 (participant flow) + Table S3 (cohort flow)</w:t>
            </w:r>
          </w:p>
        </w:tc>
      </w:tr>
      <w:tr>
        <w:trPr>
          <w:cantSplit/>
        </w:trPr>
        <w:tc>
          <w:tcPr>
            <w:tcW w:type="dxa" w:w="2268"/>
          </w:tcPr>
          <w:p>
            <w:pPr>
              <w:spacing w:line="240" w:lineRule="auto" w:after="0" w:before="0"/>
            </w:pPr>
            <w:r/>
            <w:r>
              <w:rPr>
                <w:sz w:val="16"/>
              </w:rPr>
              <w:t>14b</w:t>
            </w:r>
          </w:p>
        </w:tc>
        <w:tc>
          <w:tcPr>
            <w:tcW w:type="dxa" w:w="2268"/>
          </w:tcPr>
          <w:p>
            <w:pPr>
              <w:spacing w:line="240" w:lineRule="auto" w:after="0" w:before="0"/>
            </w:pPr>
            <w:r/>
            <w:r>
              <w:rPr>
                <w:sz w:val="16"/>
              </w:rPr>
              <w:t>Participant characteristics</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Supplementary Table S1 (cohort flow + age/sex/panel size per cohort)</w:t>
            </w:r>
          </w:p>
        </w:tc>
      </w:tr>
      <w:tr>
        <w:trPr>
          <w:cantSplit/>
        </w:trPr>
        <w:tc>
          <w:tcPr>
            <w:tcW w:type="dxa" w:w="2268"/>
          </w:tcPr>
          <w:p>
            <w:pPr>
              <w:spacing w:line="240" w:lineRule="auto" w:after="0" w:before="0"/>
            </w:pPr>
            <w:r/>
            <w:r>
              <w:rPr>
                <w:sz w:val="16"/>
              </w:rPr>
              <w:t>15</w:t>
            </w:r>
          </w:p>
        </w:tc>
        <w:tc>
          <w:tcPr>
            <w:tcW w:type="dxa" w:w="2268"/>
          </w:tcPr>
          <w:p>
            <w:pPr>
              <w:spacing w:line="240" w:lineRule="auto" w:after="0" w:before="0"/>
            </w:pPr>
            <w:r/>
            <w:r>
              <w:rPr>
                <w:sz w:val="16"/>
              </w:rPr>
              <w:t>Model specification / availability</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code + registries public (GitHub); add Zenodo DOI</w:t>
            </w:r>
          </w:p>
        </w:tc>
      </w:tr>
      <w:tr>
        <w:trPr>
          <w:cantSplit/>
        </w:trPr>
        <w:tc>
          <w:tcPr>
            <w:tcW w:type="dxa" w:w="2268"/>
          </w:tcPr>
          <w:p>
            <w:pPr>
              <w:spacing w:line="240" w:lineRule="auto" w:after="0" w:before="0"/>
            </w:pPr>
            <w:r/>
            <w:r>
              <w:rPr>
                <w:sz w:val="16"/>
              </w:rPr>
              <w:t>16</w:t>
            </w:r>
          </w:p>
        </w:tc>
        <w:tc>
          <w:tcPr>
            <w:tcW w:type="dxa" w:w="2268"/>
          </w:tcPr>
          <w:p>
            <w:pPr>
              <w:spacing w:line="240" w:lineRule="auto" w:after="0" w:before="0"/>
            </w:pPr>
            <w:r/>
            <w:r>
              <w:rPr>
                <w:sz w:val="16"/>
              </w:rPr>
              <w:t>Model performance with CIs</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reports in eval/results</w:t>
            </w:r>
          </w:p>
        </w:tc>
      </w:tr>
      <w:tr>
        <w:trPr>
          <w:cantSplit/>
        </w:trPr>
        <w:tc>
          <w:tcPr>
            <w:tcW w:type="dxa" w:w="2268"/>
          </w:tcPr>
          <w:p>
            <w:pPr>
              <w:spacing w:line="240" w:lineRule="auto" w:after="0" w:before="0"/>
            </w:pPr>
            <w:r/>
            <w:r>
              <w:rPr>
                <w:sz w:val="16"/>
              </w:rPr>
              <w:t>17</w:t>
            </w:r>
          </w:p>
        </w:tc>
        <w:tc>
          <w:tcPr>
            <w:tcW w:type="dxa" w:w="2268"/>
          </w:tcPr>
          <w:p>
            <w:pPr>
              <w:spacing w:line="240" w:lineRule="auto" w:after="0" w:before="0"/>
            </w:pPr>
            <w:r/>
            <w:r>
              <w:rPr>
                <w:sz w:val="16"/>
              </w:rPr>
              <w:t>Model updating results</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before/after tables</w:t>
            </w:r>
          </w:p>
        </w:tc>
      </w:tr>
      <w:tr>
        <w:trPr>
          <w:cantSplit/>
        </w:trPr>
        <w:tc>
          <w:tcPr>
            <w:tcW w:type="dxa" w:w="2268"/>
          </w:tcPr>
          <w:p>
            <w:pPr>
              <w:spacing w:line="240" w:lineRule="auto" w:after="0" w:before="0"/>
            </w:pPr>
            <w:r/>
            <w:r>
              <w:rPr>
                <w:sz w:val="16"/>
              </w:rPr>
              <w:t>18a</w:t>
            </w:r>
          </w:p>
        </w:tc>
        <w:tc>
          <w:tcPr>
            <w:tcW w:type="dxa" w:w="2268"/>
          </w:tcPr>
          <w:p>
            <w:pPr>
              <w:spacing w:line="240" w:lineRule="auto" w:after="0" w:before="0"/>
            </w:pPr>
            <w:r/>
            <w:r>
              <w:rPr>
                <w:sz w:val="16"/>
              </w:rPr>
              <w:t>Limitations</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REAL_DATA_VALIDATION §4</w:t>
            </w:r>
          </w:p>
        </w:tc>
      </w:tr>
      <w:tr>
        <w:trPr>
          <w:cantSplit/>
        </w:trPr>
        <w:tc>
          <w:tcPr>
            <w:tcW w:type="dxa" w:w="2268"/>
          </w:tcPr>
          <w:p>
            <w:pPr>
              <w:spacing w:line="240" w:lineRule="auto" w:after="0" w:before="0"/>
            </w:pPr>
            <w:r/>
            <w:r>
              <w:rPr>
                <w:sz w:val="16"/>
              </w:rPr>
              <w:t>18b</w:t>
            </w:r>
          </w:p>
        </w:tc>
        <w:tc>
          <w:tcPr>
            <w:tcW w:type="dxa" w:w="2268"/>
          </w:tcPr>
          <w:p>
            <w:pPr>
              <w:spacing w:line="240" w:lineRule="auto" w:after="0" w:before="0"/>
            </w:pPr>
            <w:r/>
            <w:r>
              <w:rPr>
                <w:sz w:val="16"/>
              </w:rPr>
              <w:t>Interpretation</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Paper 1 Discussion</w:t>
            </w:r>
          </w:p>
        </w:tc>
      </w:tr>
      <w:tr>
        <w:trPr>
          <w:cantSplit/>
        </w:trPr>
        <w:tc>
          <w:tcPr>
            <w:tcW w:type="dxa" w:w="2268"/>
          </w:tcPr>
          <w:p>
            <w:pPr>
              <w:spacing w:line="240" w:lineRule="auto" w:after="0" w:before="0"/>
            </w:pPr>
            <w:r/>
            <w:r>
              <w:rPr>
                <w:sz w:val="16"/>
              </w:rPr>
              <w:t>18c</w:t>
            </w:r>
          </w:p>
        </w:tc>
        <w:tc>
          <w:tcPr>
            <w:tcW w:type="dxa" w:w="2268"/>
          </w:tcPr>
          <w:p>
            <w:pPr>
              <w:spacing w:line="240" w:lineRule="auto" w:after="0" w:before="0"/>
            </w:pPr>
            <w:r/>
            <w:r>
              <w:rPr>
                <w:sz w:val="16"/>
              </w:rPr>
              <w:t>Implications</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Paper 1 Discussion (decision support, not autonomous; calibration needed before thresholds are used)</w:t>
            </w:r>
          </w:p>
        </w:tc>
      </w:tr>
      <w:tr>
        <w:trPr>
          <w:cantSplit/>
        </w:trPr>
        <w:tc>
          <w:tcPr>
            <w:tcW w:type="dxa" w:w="2268"/>
          </w:tcPr>
          <w:p>
            <w:pPr>
              <w:spacing w:line="240" w:lineRule="auto" w:after="0" w:before="0"/>
            </w:pPr>
            <w:r/>
            <w:r>
              <w:rPr>
                <w:sz w:val="16"/>
              </w:rPr>
              <w:t>19</w:t>
            </w:r>
          </w:p>
        </w:tc>
        <w:tc>
          <w:tcPr>
            <w:tcW w:type="dxa" w:w="2268"/>
          </w:tcPr>
          <w:p>
            <w:pPr>
              <w:spacing w:line="240" w:lineRule="auto" w:after="0" w:before="0"/>
            </w:pPr>
            <w:r/>
            <w:r>
              <w:rPr>
                <w:sz w:val="16"/>
              </w:rPr>
              <w:t>Registration / protocol</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SAP v1 + Amendments 1–12 time-stamped in git; OSF registration text ready (docs/paper1/supplement/OSF_REGISTRATION_TEXT.md) — upload needs the author's OSF account</w:t>
            </w:r>
          </w:p>
        </w:tc>
      </w:tr>
      <w:tr>
        <w:trPr>
          <w:cantSplit/>
        </w:trPr>
        <w:tc>
          <w:tcPr>
            <w:tcW w:type="dxa" w:w="2268"/>
          </w:tcPr>
          <w:p>
            <w:pPr>
              <w:spacing w:line="240" w:lineRule="auto" w:after="0" w:before="0"/>
            </w:pPr>
            <w:r/>
            <w:r>
              <w:rPr>
                <w:sz w:val="16"/>
              </w:rPr>
              <w:t>20</w:t>
            </w:r>
          </w:p>
        </w:tc>
        <w:tc>
          <w:tcPr>
            <w:tcW w:type="dxa" w:w="2268"/>
          </w:tcPr>
          <w:p>
            <w:pPr>
              <w:spacing w:line="240" w:lineRule="auto" w:after="0" w:before="0"/>
            </w:pPr>
            <w:r/>
            <w:r>
              <w:rPr>
                <w:sz w:val="16"/>
              </w:rPr>
              <w:t>Code, data availability</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code public (GitHub); all datasets public (URLs in Data availability); Zenodo DOI minted at release by the author</w:t>
            </w:r>
          </w:p>
        </w:tc>
      </w:tr>
      <w:tr>
        <w:trPr>
          <w:cantSplit/>
        </w:trPr>
        <w:tc>
          <w:tcPr>
            <w:tcW w:type="dxa" w:w="2268"/>
          </w:tcPr>
          <w:p>
            <w:pPr>
              <w:spacing w:line="240" w:lineRule="auto" w:after="0" w:before="0"/>
            </w:pPr>
            <w:r/>
            <w:r>
              <w:rPr>
                <w:sz w:val="16"/>
              </w:rPr>
              <w:t>21</w:t>
            </w:r>
          </w:p>
        </w:tc>
        <w:tc>
          <w:tcPr>
            <w:tcW w:type="dxa" w:w="2268"/>
          </w:tcPr>
          <w:p>
            <w:pPr>
              <w:spacing w:line="240" w:lineRule="auto" w:after="0" w:before="0"/>
            </w:pPr>
            <w:r/>
            <w:r>
              <w:rPr>
                <w:sz w:val="16"/>
              </w:rPr>
              <w:t>Funding, conflicts</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no funding; SB is the sole developer of Hemoglyph (declared)</w:t>
            </w:r>
          </w:p>
        </w:tc>
      </w:tr>
      <w:tr>
        <w:trPr>
          <w:cantSplit/>
        </w:trPr>
        <w:tc>
          <w:tcPr>
            <w:tcW w:type="dxa" w:w="2268"/>
          </w:tcPr>
          <w:p>
            <w:pPr>
              <w:spacing w:line="240" w:lineRule="auto" w:after="0" w:before="0"/>
            </w:pPr>
            <w:r/>
            <w:r>
              <w:rPr>
                <w:sz w:val="16"/>
              </w:rPr>
              <w:t>22</w:t>
            </w:r>
          </w:p>
        </w:tc>
        <w:tc>
          <w:tcPr>
            <w:tcW w:type="dxa" w:w="2268"/>
          </w:tcPr>
          <w:p>
            <w:pPr>
              <w:spacing w:line="240" w:lineRule="auto" w:after="0" w:before="0"/>
            </w:pPr>
            <w:r/>
            <w:r>
              <w:rPr>
                <w:sz w:val="16"/>
              </w:rPr>
              <w:t>Ethics approval</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public de-identified data; no IRB needed; state DUA terms</w:t>
            </w:r>
          </w:p>
        </w:tc>
      </w:tr>
      <w:tr>
        <w:trPr>
          <w:cantSplit/>
        </w:trPr>
        <w:tc>
          <w:tcPr>
            <w:tcW w:type="dxa" w:w="2268"/>
          </w:tcPr>
          <w:p>
            <w:pPr>
              <w:spacing w:line="240" w:lineRule="auto" w:after="0" w:before="0"/>
            </w:pPr>
            <w:r/>
            <w:r>
              <w:rPr>
                <w:sz w:val="16"/>
              </w:rPr>
              <w:t>23</w:t>
            </w:r>
          </w:p>
        </w:tc>
        <w:tc>
          <w:tcPr>
            <w:tcW w:type="dxa" w:w="2268"/>
          </w:tcPr>
          <w:p>
            <w:pPr>
              <w:spacing w:line="240" w:lineRule="auto" w:after="0" w:before="0"/>
            </w:pPr>
            <w:r/>
            <w:r>
              <w:rPr>
                <w:sz w:val="16"/>
              </w:rPr>
              <w:t>Patient &amp; public involvement</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none — stated</w:t>
            </w:r>
          </w:p>
        </w:tc>
      </w:tr>
      <w:tr>
        <w:trPr>
          <w:cantSplit/>
        </w:trPr>
        <w:tc>
          <w:tcPr>
            <w:tcW w:type="dxa" w:w="2268"/>
          </w:tcPr>
          <w:p>
            <w:pPr>
              <w:spacing w:line="240" w:lineRule="auto" w:after="0" w:before="0"/>
            </w:pPr>
            <w:r/>
            <w:r>
              <w:rPr>
                <w:sz w:val="16"/>
              </w:rPr>
              <w:t>24</w:t>
            </w:r>
          </w:p>
        </w:tc>
        <w:tc>
          <w:tcPr>
            <w:tcW w:type="dxa" w:w="2268"/>
          </w:tcPr>
          <w:p>
            <w:pPr>
              <w:spacing w:line="240" w:lineRule="auto" w:after="0" w:before="0"/>
            </w:pPr>
            <w:r/>
            <w:r>
              <w:rPr>
                <w:sz w:val="16"/>
              </w:rPr>
              <w:t>Open science: data sharing, code</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w:t>
            </w:r>
          </w:p>
        </w:tc>
      </w:tr>
      <w:tr>
        <w:trPr>
          <w:cantSplit/>
        </w:trPr>
        <w:tc>
          <w:tcPr>
            <w:tcW w:type="dxa" w:w="2268"/>
          </w:tcPr>
          <w:p>
            <w:pPr>
              <w:spacing w:line="240" w:lineRule="auto" w:after="0" w:before="0"/>
            </w:pPr>
            <w:r/>
            <w:r>
              <w:rPr>
                <w:sz w:val="16"/>
              </w:rPr>
              <w:t>25</w:t>
            </w:r>
          </w:p>
        </w:tc>
        <w:tc>
          <w:tcPr>
            <w:tcW w:type="dxa" w:w="2268"/>
          </w:tcPr>
          <w:p>
            <w:pPr>
              <w:spacing w:line="240" w:lineRule="auto" w:after="0" w:before="0"/>
            </w:pPr>
            <w:r/>
            <w:r>
              <w:rPr>
                <w:sz w:val="16"/>
              </w:rPr>
              <w:t>Supplementary materials</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SAP + amendments; per-group tables; error audit taxonomy (A/B/C1/C2, n = 200); calibration + DCA; fairness; LLM blind protocol &amp; raw read-outs</w:t>
            </w:r>
          </w:p>
        </w:tc>
      </w:tr>
      <w:tr>
        <w:trPr>
          <w:cantSplit/>
        </w:trPr>
        <w:tc>
          <w:tcPr>
            <w:tcW w:type="dxa" w:w="2268"/>
          </w:tcPr>
          <w:p>
            <w:pPr>
              <w:spacing w:line="240" w:lineRule="auto" w:after="0" w:before="0"/>
            </w:pPr>
            <w:r/>
            <w:r>
              <w:rPr>
                <w:sz w:val="16"/>
              </w:rPr>
              <w:t>26</w:t>
            </w:r>
          </w:p>
        </w:tc>
        <w:tc>
          <w:tcPr>
            <w:tcW w:type="dxa" w:w="2268"/>
          </w:tcPr>
          <w:p>
            <w:pPr>
              <w:spacing w:line="240" w:lineRule="auto" w:after="0" w:before="0"/>
            </w:pPr>
            <w:r/>
            <w:r>
              <w:rPr>
                <w:sz w:val="16"/>
              </w:rPr>
              <w:t>Human–AI interaction, deployment context</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UI, explanation and alert hierarchy described; NO reader study (stated as limitation)</w:t>
            </w:r>
          </w:p>
        </w:tc>
      </w:tr>
      <w:tr>
        <w:trPr>
          <w:cantSplit/>
        </w:trPr>
        <w:tc>
          <w:tcPr>
            <w:tcW w:type="dxa" w:w="2268"/>
          </w:tcPr>
          <w:p>
            <w:pPr>
              <w:spacing w:line="240" w:lineRule="auto" w:after="0" w:before="0"/>
            </w:pPr>
            <w:r/>
            <w:r>
              <w:rPr>
                <w:sz w:val="16"/>
              </w:rPr>
              <w:t>27</w:t>
            </w:r>
          </w:p>
        </w:tc>
        <w:tc>
          <w:tcPr>
            <w:tcW w:type="dxa" w:w="2268"/>
          </w:tcPr>
          <w:p>
            <w:pPr>
              <w:spacing w:line="240" w:lineRule="auto" w:after="0" w:before="0"/>
            </w:pPr>
            <w:r/>
            <w:r>
              <w:rPr>
                <w:sz w:val="16"/>
              </w:rPr>
              <w:t>Safety / failure analysis</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S5 critical-value capture; B7 critical values; fabrication provocation 200/200; healthy sweep 0/1000; error audit n = 200</w:t>
            </w:r>
          </w:p>
        </w:tc>
      </w:tr>
    </w:tbl>
    <w:p/>
    <w:p>
      <w:r>
        <w:t>Also required by DECIDE-AI if a reader study / early live evaluation is added.</w:t>
      </w:r>
    </w:p>
    <w:p>
      <w:pPr>
        <w:pStyle w:val="Heading1"/>
      </w:pPr>
      <w:r>
        <w:rPr>
          <w:rFonts w:ascii="Times New Roman" w:hAnsi="Times New Roman" w:eastAsia="Times New Roman" w:cs="Times New Roman"/>
          <w:b/>
          <w:i w:val="0"/>
          <w:color w:val="000000"/>
        </w:rPr>
        <w:t>Supplementary Table S12b — Historical comparisons from the first submission (superseded; moved out of the main tables in revision round 5)</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268"/>
            <w:shd w:val="clear" w:fill="F2F2F2"/>
          </w:tcPr>
          <w:p>
            <w:pPr>
              <w:spacing w:line="240" w:lineRule="auto" w:after="0" w:before="0"/>
            </w:pPr>
            <w:r>
              <w:rPr>
                <w:b/>
              </w:rPr>
            </w:r>
            <w:r>
              <w:rPr>
                <w:b/>
                <w:sz w:val="16"/>
              </w:rPr>
              <w:t>comparison</w:t>
            </w:r>
          </w:p>
        </w:tc>
        <w:tc>
          <w:tcPr>
            <w:tcW w:type="dxa" w:w="2268"/>
            <w:shd w:val="clear" w:fill="F2F2F2"/>
          </w:tcPr>
          <w:p>
            <w:pPr>
              <w:spacing w:line="240" w:lineRule="auto" w:after="0" w:before="0"/>
            </w:pPr>
            <w:r>
              <w:rPr>
                <w:b/>
              </w:rPr>
            </w:r>
            <w:r>
              <w:rPr>
                <w:b/>
                <w:sz w:val="16"/>
              </w:rPr>
              <w:t>engine</w:t>
            </w:r>
          </w:p>
        </w:tc>
        <w:tc>
          <w:tcPr>
            <w:tcW w:type="dxa" w:w="2268"/>
            <w:shd w:val="clear" w:fill="F2F2F2"/>
          </w:tcPr>
          <w:p>
            <w:pPr>
              <w:spacing w:line="240" w:lineRule="auto" w:after="0" w:before="0"/>
            </w:pPr>
            <w:r>
              <w:rPr>
                <w:b/>
              </w:rPr>
            </w:r>
            <w:r>
              <w:rPr>
                <w:b/>
                <w:sz w:val="16"/>
              </w:rPr>
              <w:t>result</w:t>
            </w:r>
          </w:p>
        </w:tc>
        <w:tc>
          <w:tcPr>
            <w:tcW w:type="dxa" w:w="2268"/>
            <w:shd w:val="clear" w:fill="F2F2F2"/>
          </w:tcPr>
          <w:p>
            <w:pPr>
              <w:spacing w:line="240" w:lineRule="auto" w:after="0" w:before="0"/>
            </w:pPr>
            <w:r>
              <w:rPr>
                <w:b/>
              </w:rPr>
            </w:r>
            <w:r>
              <w:rPr>
                <w:b/>
                <w:sz w:val="16"/>
              </w:rPr>
              <w:t>why superseded</w:t>
            </w:r>
          </w:p>
        </w:tc>
      </w:tr>
      <w:tr>
        <w:trPr>
          <w:cantSplit/>
        </w:trPr>
        <w:tc>
          <w:tcPr>
            <w:tcW w:type="dxa" w:w="2268"/>
          </w:tcPr>
          <w:p>
            <w:pPr>
              <w:spacing w:line="240" w:lineRule="auto" w:after="0" w:before="0"/>
            </w:pPr>
            <w:r/>
            <w:r>
              <w:rPr>
                <w:sz w:val="16"/>
              </w:rPr>
              <w:t>registry-off ablation</w:t>
            </w:r>
          </w:p>
        </w:tc>
        <w:tc>
          <w:tcPr>
            <w:tcW w:type="dxa" w:w="2268"/>
          </w:tcPr>
          <w:p>
            <w:pPr>
              <w:spacing w:line="240" w:lineRule="auto" w:after="0" w:before="0"/>
            </w:pPr>
            <w:r/>
            <w:r>
              <w:rPr>
                <w:sz w:val="16"/>
              </w:rPr>
              <w:t>v5.3 (before registry revisions 13.3–14.1)</w:t>
            </w:r>
          </w:p>
        </w:tc>
        <w:tc>
          <w:tcPr>
            <w:tcW w:type="dxa" w:w="2268"/>
          </w:tcPr>
          <w:p>
            <w:pPr>
              <w:spacing w:line="240" w:lineRule="auto" w:after="0" w:before="0"/>
            </w:pPr>
            <w:r/>
            <w:r>
              <w:rPr>
                <w:sz w:val="16"/>
              </w:rPr>
              <w:t>flat@3/5/10 47.6 / 62.0 / 75.4; panel-supported@5/10 75.3 / 89.9</w:t>
            </w:r>
          </w:p>
        </w:tc>
        <w:tc>
          <w:tcPr>
            <w:tcW w:type="dxa" w:w="2268"/>
          </w:tcPr>
          <w:p>
            <w:pPr>
              <w:spacing w:line="240" w:lineRule="auto" w:after="0" w:before="0"/>
            </w:pPr>
            <w:r/>
            <w:r>
              <w:rPr>
                <w:sz w:val="16"/>
              </w:rPr>
              <w:t xml:space="preserve">engine and registry both changed; the ablations of the evaluated release are in main Table 5 (arm </w:t>
            </w:r>
            <w:r>
              <w:rPr>
                <w:rFonts w:ascii="Courier New" w:hAnsi="Courier New" w:eastAsia="Courier New" w:cs="Courier New"/>
                <w:color w:val="000000"/>
                <w:sz w:val="16"/>
              </w:rPr>
              <w:t>no_rule</w:t>
            </w:r>
            <w:r>
              <w:rPr>
                <w:sz w:val="16"/>
              </w:rPr>
              <w:t xml:space="preserve">, </w:t>
            </w:r>
            <w:r>
              <w:rPr>
                <w:rFonts w:ascii="Courier New" w:hAnsi="Courier New" w:eastAsia="Courier New" w:cs="Courier New"/>
                <w:color w:val="000000"/>
                <w:sz w:val="16"/>
              </w:rPr>
              <w:t>anchor_only</w:t>
            </w:r>
            <w:r>
              <w:rPr>
                <w:sz w:val="16"/>
              </w:rPr>
              <w:t xml:space="preserve">, </w:t>
            </w:r>
            <w:r>
              <w:rPr>
                <w:rFonts w:ascii="Courier New" w:hAnsi="Courier New" w:eastAsia="Courier New" w:cs="Courier New"/>
                <w:color w:val="000000"/>
                <w:sz w:val="16"/>
              </w:rPr>
              <w:t>anchor_only_no_esl</w:t>
            </w:r>
            <w:r>
              <w:rPr>
                <w:sz w:val="16"/>
              </w:rPr>
              <w:t>)</w:t>
            </w:r>
          </w:p>
        </w:tc>
      </w:tr>
      <w:tr>
        <w:trPr>
          <w:cantSplit/>
        </w:trPr>
        <w:tc>
          <w:tcPr>
            <w:tcW w:type="dxa" w:w="2268"/>
          </w:tcPr>
          <w:p>
            <w:pPr>
              <w:spacing w:line="240" w:lineRule="auto" w:after="0" w:before="0"/>
            </w:pPr>
            <w:r/>
            <w:r>
              <w:rPr>
                <w:sz w:val="16"/>
              </w:rPr>
              <w:t>LLM comparison</w:t>
            </w:r>
          </w:p>
        </w:tc>
        <w:tc>
          <w:tcPr>
            <w:tcW w:type="dxa" w:w="2268"/>
          </w:tcPr>
          <w:p>
            <w:pPr>
              <w:spacing w:line="240" w:lineRule="auto" w:after="0" w:before="0"/>
            </w:pPr>
            <w:r/>
            <w:r>
              <w:rPr>
                <w:sz w:val="16"/>
              </w:rPr>
              <w:t>v5.1</w:t>
            </w:r>
          </w:p>
        </w:tc>
        <w:tc>
          <w:tcPr>
            <w:tcW w:type="dxa" w:w="2268"/>
          </w:tcPr>
          <w:p>
            <w:pPr>
              <w:spacing w:line="240" w:lineRule="auto" w:after="0" w:before="0"/>
            </w:pPr>
            <w:r/>
            <w:r>
              <w:rPr>
                <w:sz w:val="16"/>
              </w:rPr>
              <w:t>recall@5 64.4 % (60.5–68.2) vs LLM 59.6 %, +4.9 pp, naive McNemar p = 0.009</w:t>
            </w:r>
          </w:p>
        </w:tc>
        <w:tc>
          <w:tcPr>
            <w:tcW w:type="dxa" w:w="2268"/>
          </w:tcPr>
          <w:p>
            <w:pPr>
              <w:spacing w:line="240" w:lineRule="auto" w:after="0" w:before="0"/>
            </w:pPr>
            <w:r/>
            <w:r>
              <w:rPr>
                <w:sz w:val="16"/>
              </w:rPr>
              <w:t>ignored stay clustering; re-scored with frozen v7 and cluster-adjusted inference → 60.7 % vs 59.6 %, p = 0.54 (main Table 4)</w:t>
            </w:r>
          </w:p>
        </w:tc>
      </w:tr>
    </w:tbl>
    <w:p/>
    <w:p>
      <w:pPr>
        <w:pStyle w:val="Heading1"/>
      </w:pPr>
      <w:r>
        <w:rPr>
          <w:rFonts w:ascii="Times New Roman" w:hAnsi="Times New Roman" w:eastAsia="Times New Roman" w:cs="Times New Roman"/>
          <w:b/>
          <w:i w:val="0"/>
          <w:color w:val="000000"/>
        </w:rPr>
        <w:t>Supplementary Table S15 — What is open, what is proprietary, and what was evaluated</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268"/>
            <w:shd w:val="clear" w:fill="F2F2F2"/>
          </w:tcPr>
          <w:p>
            <w:pPr>
              <w:spacing w:line="240" w:lineRule="auto" w:after="0" w:before="0"/>
            </w:pPr>
            <w:r>
              <w:rPr>
                <w:b/>
              </w:rPr>
            </w:r>
            <w:r>
              <w:rPr>
                <w:b/>
                <w:sz w:val="16"/>
              </w:rPr>
              <w:t>component</w:t>
            </w:r>
          </w:p>
        </w:tc>
        <w:tc>
          <w:tcPr>
            <w:tcW w:type="dxa" w:w="2268"/>
            <w:shd w:val="clear" w:fill="F2F2F2"/>
          </w:tcPr>
          <w:p>
            <w:pPr>
              <w:spacing w:line="240" w:lineRule="auto" w:after="0" w:before="0"/>
            </w:pPr>
            <w:r>
              <w:rPr>
                <w:b/>
              </w:rPr>
            </w:r>
            <w:r>
              <w:rPr>
                <w:b/>
                <w:sz w:val="16"/>
              </w:rPr>
              <w:t>licence / status</w:t>
            </w:r>
          </w:p>
        </w:tc>
        <w:tc>
          <w:tcPr>
            <w:tcW w:type="dxa" w:w="2268"/>
            <w:shd w:val="clear" w:fill="F2F2F2"/>
          </w:tcPr>
          <w:p>
            <w:pPr>
              <w:spacing w:line="240" w:lineRule="auto" w:after="0" w:before="0"/>
            </w:pPr>
            <w:r>
              <w:rPr>
                <w:b/>
              </w:rPr>
            </w:r>
            <w:r>
              <w:rPr>
                <w:b/>
                <w:sz w:val="16"/>
              </w:rPr>
              <w:t>evaluated in this paper</w:t>
            </w:r>
          </w:p>
        </w:tc>
        <w:tc>
          <w:tcPr>
            <w:tcW w:type="dxa" w:w="2268"/>
            <w:shd w:val="clear" w:fill="F2F2F2"/>
          </w:tcPr>
          <w:p>
            <w:pPr>
              <w:spacing w:line="240" w:lineRule="auto" w:after="0" w:before="0"/>
            </w:pPr>
            <w:r>
              <w:rPr>
                <w:b/>
              </w:rPr>
            </w:r>
            <w:r>
              <w:rPr>
                <w:b/>
                <w:sz w:val="16"/>
              </w:rPr>
              <w:t>where</w:t>
            </w:r>
          </w:p>
        </w:tc>
      </w:tr>
      <w:tr>
        <w:trPr>
          <w:cantSplit/>
        </w:trPr>
        <w:tc>
          <w:tcPr>
            <w:tcW w:type="dxa" w:w="2268"/>
          </w:tcPr>
          <w:p>
            <w:pPr>
              <w:spacing w:line="240" w:lineRule="auto" w:after="0" w:before="0"/>
            </w:pPr>
            <w:r/>
            <w:r>
              <w:rPr>
                <w:sz w:val="16"/>
              </w:rPr>
              <w:t xml:space="preserve">inference engine </w:t>
            </w:r>
            <w:r>
              <w:rPr>
                <w:rFonts w:ascii="Courier New" w:hAnsi="Courier New" w:eastAsia="Courier New" w:cs="Courier New"/>
                <w:color w:val="000000"/>
                <w:sz w:val="16"/>
              </w:rPr>
              <w:t>analyse_gidlines.py</w:t>
            </w:r>
            <w:r>
              <w:rPr>
                <w:sz w:val="16"/>
              </w:rPr>
              <w:t xml:space="preserve"> (v7, single file)</w:t>
            </w:r>
          </w:p>
        </w:tc>
        <w:tc>
          <w:tcPr>
            <w:tcW w:type="dxa" w:w="2268"/>
          </w:tcPr>
          <w:p>
            <w:pPr>
              <w:spacing w:line="240" w:lineRule="auto" w:after="0" w:before="0"/>
            </w:pPr>
            <w:r/>
            <w:r>
              <w:rPr>
                <w:sz w:val="16"/>
              </w:rPr>
              <w:t>AGPL-3.0-or-later, public</w:t>
            </w:r>
          </w:p>
        </w:tc>
        <w:tc>
          <w:tcPr>
            <w:tcW w:type="dxa" w:w="2268"/>
          </w:tcPr>
          <w:p>
            <w:pPr>
              <w:spacing w:line="240" w:lineRule="auto" w:after="0" w:before="0"/>
            </w:pPr>
            <w:r/>
            <w:r>
              <w:rPr>
                <w:b/>
                <w:sz w:val="16"/>
              </w:rPr>
              <w:t>yes — the only inference component evaluated</w:t>
            </w:r>
          </w:p>
        </w:tc>
        <w:tc>
          <w:tcPr>
            <w:tcW w:type="dxa" w:w="2268"/>
          </w:tcPr>
          <w:p>
            <w:pPr>
              <w:spacing w:line="240" w:lineRule="auto" w:after="0" w:before="0"/>
            </w:pPr>
            <w:r/>
            <w:r>
              <w:rPr>
                <w:sz w:val="16"/>
              </w:rPr>
              <w:t>GitHub; Zenodo snapshot before publication</w:t>
            </w:r>
          </w:p>
        </w:tc>
      </w:tr>
      <w:tr>
        <w:trPr>
          <w:cantSplit/>
        </w:trPr>
        <w:tc>
          <w:tcPr>
            <w:tcW w:type="dxa" w:w="2268"/>
          </w:tcPr>
          <w:p>
            <w:pPr>
              <w:spacing w:line="240" w:lineRule="auto" w:after="0" w:before="0"/>
            </w:pPr>
            <w:r/>
            <w:r>
              <w:rPr>
                <w:sz w:val="16"/>
              </w:rPr>
              <w:t>disease-guideline registry 14.1.0 and feature registry (2,045 analytes)</w:t>
            </w:r>
          </w:p>
        </w:tc>
        <w:tc>
          <w:tcPr>
            <w:tcW w:type="dxa" w:w="2268"/>
          </w:tcPr>
          <w:p>
            <w:pPr>
              <w:spacing w:line="240" w:lineRule="auto" w:after="0" w:before="0"/>
            </w:pPr>
            <w:r/>
            <w:r>
              <w:rPr>
                <w:sz w:val="16"/>
              </w:rPr>
              <w:t>CC BY-SA 4.0, public</w:t>
            </w:r>
          </w:p>
        </w:tc>
        <w:tc>
          <w:tcPr>
            <w:tcW w:type="dxa" w:w="2268"/>
          </w:tcPr>
          <w:p>
            <w:pPr>
              <w:spacing w:line="240" w:lineRule="auto" w:after="0" w:before="0"/>
            </w:pPr>
            <w:r/>
            <w:r>
              <w:rPr>
                <w:sz w:val="16"/>
              </w:rPr>
              <w:t>yes</w:t>
            </w:r>
          </w:p>
        </w:tc>
        <w:tc>
          <w:tcPr>
            <w:tcW w:type="dxa" w:w="2268"/>
          </w:tcPr>
          <w:p>
            <w:pPr>
              <w:spacing w:line="240" w:lineRule="auto" w:after="0" w:before="0"/>
            </w:pPr>
            <w:r/>
            <w:r>
              <w:rPr>
                <w:sz w:val="16"/>
              </w:rPr>
              <w:t>same</w:t>
            </w:r>
          </w:p>
        </w:tc>
      </w:tr>
      <w:tr>
        <w:trPr>
          <w:cantSplit/>
        </w:trPr>
        <w:tc>
          <w:tcPr>
            <w:tcW w:type="dxa" w:w="2268"/>
          </w:tcPr>
          <w:p>
            <w:pPr>
              <w:spacing w:line="240" w:lineRule="auto" w:after="0" w:before="0"/>
            </w:pPr>
            <w:r/>
            <w:r>
              <w:rPr>
                <w:sz w:val="16"/>
              </w:rPr>
              <w:t>evaluation scripts, label maps, SAP, freeze manifests, per-stay outputs</w:t>
            </w:r>
          </w:p>
        </w:tc>
        <w:tc>
          <w:tcPr>
            <w:tcW w:type="dxa" w:w="2268"/>
          </w:tcPr>
          <w:p>
            <w:pPr>
              <w:spacing w:line="240" w:lineRule="auto" w:after="0" w:before="0"/>
            </w:pPr>
            <w:r/>
            <w:r>
              <w:rPr>
                <w:sz w:val="16"/>
              </w:rPr>
              <w:t>AGPL-3.0-or-later / CC BY-SA 4.0, public</w:t>
            </w:r>
          </w:p>
        </w:tc>
        <w:tc>
          <w:tcPr>
            <w:tcW w:type="dxa" w:w="2268"/>
          </w:tcPr>
          <w:p>
            <w:pPr>
              <w:spacing w:line="240" w:lineRule="auto" w:after="0" w:before="0"/>
            </w:pPr>
            <w:r/>
            <w:r>
              <w:rPr>
                <w:sz w:val="16"/>
              </w:rPr>
              <w:t>yes (they produce every number)</w:t>
            </w:r>
          </w:p>
        </w:tc>
        <w:tc>
          <w:tcPr>
            <w:tcW w:type="dxa" w:w="2268"/>
          </w:tcPr>
          <w:p>
            <w:pPr>
              <w:spacing w:line="240" w:lineRule="auto" w:after="0" w:before="0"/>
            </w:pPr>
            <w:r/>
            <w:r>
              <w:rPr>
                <w:sz w:val="16"/>
              </w:rPr>
              <w:t>same</w:t>
            </w:r>
          </w:p>
        </w:tc>
      </w:tr>
      <w:tr>
        <w:trPr>
          <w:cantSplit/>
        </w:trPr>
        <w:tc>
          <w:tcPr>
            <w:tcW w:type="dxa" w:w="2268"/>
          </w:tcPr>
          <w:p>
            <w:pPr>
              <w:spacing w:line="240" w:lineRule="auto" w:after="0" w:before="0"/>
            </w:pPr>
            <w:r/>
            <w:r>
              <w:rPr>
                <w:sz w:val="16"/>
              </w:rPr>
              <w:t>LLM prompts and raw outputs</w:t>
            </w:r>
          </w:p>
        </w:tc>
        <w:tc>
          <w:tcPr>
            <w:tcW w:type="dxa" w:w="2268"/>
          </w:tcPr>
          <w:p>
            <w:pPr>
              <w:spacing w:line="240" w:lineRule="auto" w:after="0" w:before="0"/>
            </w:pPr>
            <w:r/>
            <w:r>
              <w:rPr>
                <w:sz w:val="16"/>
              </w:rPr>
              <w:t>CC BY-SA 4.0, public</w:t>
            </w:r>
          </w:p>
        </w:tc>
        <w:tc>
          <w:tcPr>
            <w:tcW w:type="dxa" w:w="2268"/>
          </w:tcPr>
          <w:p>
            <w:pPr>
              <w:spacing w:line="240" w:lineRule="auto" w:after="0" w:before="0"/>
            </w:pPr>
            <w:r/>
            <w:r>
              <w:rPr>
                <w:sz w:val="16"/>
              </w:rPr>
              <w:t>yes</w:t>
            </w:r>
          </w:p>
        </w:tc>
        <w:tc>
          <w:tcPr>
            <w:tcW w:type="dxa" w:w="2268"/>
          </w:tcPr>
          <w:p>
            <w:pPr>
              <w:spacing w:line="240" w:lineRule="auto" w:after="0" w:before="0"/>
            </w:pPr>
            <w:r/>
            <w:r>
              <w:rPr>
                <w:sz w:val="16"/>
              </w:rPr>
              <w:t>Supplementary Data</w:t>
            </w:r>
          </w:p>
        </w:tc>
      </w:tr>
      <w:tr>
        <w:trPr>
          <w:cantSplit/>
        </w:trPr>
        <w:tc>
          <w:tcPr>
            <w:tcW w:type="dxa" w:w="2268"/>
          </w:tcPr>
          <w:p>
            <w:pPr>
              <w:spacing w:line="240" w:lineRule="auto" w:after="0" w:before="0"/>
            </w:pPr>
            <w:r/>
            <w:r>
              <w:rPr>
                <w:sz w:val="16"/>
              </w:rPr>
              <w:t>desktop shell (Qt/QML UI, licensing, node-locked activation, telemetry)</w:t>
            </w:r>
          </w:p>
        </w:tc>
        <w:tc>
          <w:tcPr>
            <w:tcW w:type="dxa" w:w="2268"/>
          </w:tcPr>
          <w:p>
            <w:pPr>
              <w:spacing w:line="240" w:lineRule="auto" w:after="0" w:before="0"/>
            </w:pPr>
            <w:r/>
            <w:r>
              <w:rPr>
                <w:sz w:val="16"/>
              </w:rPr>
              <w:t>proprietary, first author</w:t>
            </w:r>
          </w:p>
        </w:tc>
        <w:tc>
          <w:tcPr>
            <w:tcW w:type="dxa" w:w="2268"/>
          </w:tcPr>
          <w:p>
            <w:pPr>
              <w:spacing w:line="240" w:lineRule="auto" w:after="0" w:before="0"/>
            </w:pPr>
            <w:r/>
            <w:r>
              <w:rPr>
                <w:b/>
                <w:sz w:val="16"/>
              </w:rPr>
              <w:t>no</w:t>
            </w:r>
          </w:p>
        </w:tc>
        <w:tc>
          <w:tcPr>
            <w:tcW w:type="dxa" w:w="2268"/>
          </w:tcPr>
          <w:p>
            <w:pPr>
              <w:spacing w:line="240" w:lineRule="auto" w:after="0" w:before="0"/>
            </w:pPr>
            <w:r/>
            <w:r>
              <w:rPr>
                <w:sz w:val="16"/>
              </w:rPr>
              <w:t>not released</w:t>
            </w:r>
          </w:p>
        </w:tc>
      </w:tr>
      <w:tr>
        <w:trPr>
          <w:cantSplit/>
        </w:trPr>
        <w:tc>
          <w:tcPr>
            <w:tcW w:type="dxa" w:w="2268"/>
          </w:tcPr>
          <w:p>
            <w:pPr>
              <w:spacing w:line="240" w:lineRule="auto" w:after="0" w:before="0"/>
            </w:pPr>
            <w:r/>
            <w:r>
              <w:rPr>
                <w:sz w:val="16"/>
              </w:rPr>
              <w:t>OCR / report-image path (optional cloud OCR)</w:t>
            </w:r>
          </w:p>
        </w:tc>
        <w:tc>
          <w:tcPr>
            <w:tcW w:type="dxa" w:w="2268"/>
          </w:tcPr>
          <w:p>
            <w:pPr>
              <w:spacing w:line="240" w:lineRule="auto" w:after="0" w:before="0"/>
            </w:pPr>
            <w:r/>
            <w:r>
              <w:rPr>
                <w:sz w:val="16"/>
              </w:rPr>
              <w:t>proprietary; transmits images</w:t>
            </w:r>
          </w:p>
        </w:tc>
        <w:tc>
          <w:tcPr>
            <w:tcW w:type="dxa" w:w="2268"/>
          </w:tcPr>
          <w:p>
            <w:pPr>
              <w:spacing w:line="240" w:lineRule="auto" w:after="0" w:before="0"/>
            </w:pPr>
            <w:r/>
            <w:r>
              <w:rPr>
                <w:b/>
                <w:sz w:val="16"/>
              </w:rPr>
              <w:t>no</w:t>
            </w:r>
          </w:p>
        </w:tc>
        <w:tc>
          <w:tcPr>
            <w:tcW w:type="dxa" w:w="2268"/>
          </w:tcPr>
          <w:p>
            <w:pPr>
              <w:spacing w:line="240" w:lineRule="auto" w:after="0" w:before="0"/>
            </w:pPr>
            <w:r/>
            <w:r>
              <w:rPr>
                <w:sz w:val="16"/>
              </w:rPr>
              <w:t>not released; explicitly out of scope</w:t>
            </w:r>
          </w:p>
        </w:tc>
      </w:tr>
      <w:tr>
        <w:trPr>
          <w:cantSplit/>
        </w:trPr>
        <w:tc>
          <w:tcPr>
            <w:tcW w:type="dxa" w:w="2268"/>
          </w:tcPr>
          <w:p>
            <w:pPr>
              <w:spacing w:line="240" w:lineRule="auto" w:after="0" w:before="0"/>
            </w:pPr>
            <w:r/>
            <w:r>
              <w:rPr>
                <w:sz w:val="16"/>
              </w:rPr>
              <w:t>local chat assistant</w:t>
            </w:r>
          </w:p>
        </w:tc>
        <w:tc>
          <w:tcPr>
            <w:tcW w:type="dxa" w:w="2268"/>
          </w:tcPr>
          <w:p>
            <w:pPr>
              <w:spacing w:line="240" w:lineRule="auto" w:after="0" w:before="0"/>
            </w:pPr>
            <w:r/>
            <w:r>
              <w:rPr>
                <w:sz w:val="16"/>
              </w:rPr>
              <w:t>disabled in release 1.3.1</w:t>
            </w:r>
          </w:p>
        </w:tc>
        <w:tc>
          <w:tcPr>
            <w:tcW w:type="dxa" w:w="2268"/>
          </w:tcPr>
          <w:p>
            <w:pPr>
              <w:spacing w:line="240" w:lineRule="auto" w:after="0" w:before="0"/>
            </w:pPr>
            <w:r/>
            <w:r>
              <w:rPr>
                <w:sz w:val="16"/>
              </w:rPr>
              <w:t>no</w:t>
            </w:r>
          </w:p>
        </w:tc>
        <w:tc>
          <w:tcPr>
            <w:tcW w:type="dxa" w:w="2268"/>
          </w:tcPr>
          <w:p>
            <w:pPr>
              <w:spacing w:line="240" w:lineRule="auto" w:after="0" w:before="0"/>
            </w:pPr>
            <w:r/>
            <w:r>
              <w:rPr>
                <w:sz w:val="16"/>
              </w:rPr>
              <w:t>—</w:t>
            </w:r>
          </w:p>
        </w:tc>
      </w:tr>
    </w:tbl>
    <w:p/>
    <w:p>
      <w:pPr>
        <w:pStyle w:val="Heading1"/>
      </w:pPr>
      <w:r>
        <w:rPr>
          <w:rFonts w:ascii="Times New Roman" w:hAnsi="Times New Roman" w:eastAsia="Times New Roman" w:cs="Times New Roman"/>
          <w:b/>
          <w:i w:val="0"/>
          <w:color w:val="000000"/>
        </w:rPr>
        <w:t>Supplementary Note 6 — Retrospective version manifest (added in revision round 5)</w:t>
      </w:r>
    </w:p>
    <w:p>
      <w:r>
        <w:t>No version-control system was used during development; this is a stated limitation. What exists is a set of dated, hash-identified artefacts that bound what could have changed and when. SHA-256 prefixes and file-system timestamps (UTC) of the retained snapshots:</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268"/>
            <w:shd w:val="clear" w:fill="F2F2F2"/>
          </w:tcPr>
          <w:p>
            <w:pPr>
              <w:spacing w:line="240" w:lineRule="auto" w:after="0" w:before="0"/>
            </w:pPr>
            <w:r>
              <w:rPr>
                <w:b/>
              </w:rPr>
            </w:r>
            <w:r>
              <w:rPr>
                <w:b/>
                <w:sz w:val="16"/>
              </w:rPr>
              <w:t>artefact</w:t>
            </w:r>
          </w:p>
        </w:tc>
        <w:tc>
          <w:tcPr>
            <w:tcW w:type="dxa" w:w="2268"/>
            <w:shd w:val="clear" w:fill="F2F2F2"/>
          </w:tcPr>
          <w:p>
            <w:pPr>
              <w:spacing w:line="240" w:lineRule="auto" w:after="0" w:before="0"/>
            </w:pPr>
            <w:r>
              <w:rPr>
                <w:b/>
              </w:rPr>
            </w:r>
            <w:r>
              <w:rPr>
                <w:b/>
                <w:sz w:val="16"/>
              </w:rPr>
              <w:t>mtime (UTC)</w:t>
            </w:r>
          </w:p>
        </w:tc>
        <w:tc>
          <w:tcPr>
            <w:tcW w:type="dxa" w:w="2268"/>
            <w:shd w:val="clear" w:fill="F2F2F2"/>
          </w:tcPr>
          <w:p>
            <w:pPr>
              <w:spacing w:line="240" w:lineRule="auto" w:after="0" w:before="0"/>
            </w:pPr>
            <w:r>
              <w:rPr>
                <w:b/>
              </w:rPr>
            </w:r>
            <w:r>
              <w:rPr>
                <w:b/>
                <w:sz w:val="16"/>
              </w:rPr>
              <w:t>bytes</w:t>
            </w:r>
          </w:p>
        </w:tc>
        <w:tc>
          <w:tcPr>
            <w:tcW w:type="dxa" w:w="2268"/>
            <w:shd w:val="clear" w:fill="F2F2F2"/>
          </w:tcPr>
          <w:p>
            <w:pPr>
              <w:spacing w:line="240" w:lineRule="auto" w:after="0" w:before="0"/>
            </w:pPr>
            <w:r>
              <w:rPr>
                <w:b/>
              </w:rPr>
            </w:r>
            <w:r>
              <w:rPr>
                <w:b/>
                <w:sz w:val="16"/>
              </w:rPr>
              <w:t>SHA-256 (first 16 hex)</w:t>
            </w:r>
          </w:p>
        </w:tc>
      </w:tr>
      <w:tr>
        <w:trPr>
          <w:cantSplit/>
        </w:trPr>
        <w:tc>
          <w:tcPr>
            <w:tcW w:type="dxa" w:w="2268"/>
          </w:tcPr>
          <w:p>
            <w:pPr>
              <w:spacing w:line="240" w:lineRule="auto" w:after="0" w:before="0"/>
            </w:pPr>
            <w:r/>
            <w:r>
              <w:rPr>
                <w:rFonts w:ascii="Courier New" w:hAnsi="Courier New" w:eastAsia="Courier New" w:cs="Courier New"/>
                <w:color w:val="000000"/>
                <w:sz w:val="16"/>
              </w:rPr>
              <w:t>HEMOGLYPH_DISEASE_GUIDELINE_REGISTRY.json.br</w:t>
            </w:r>
          </w:p>
        </w:tc>
        <w:tc>
          <w:tcPr>
            <w:tcW w:type="dxa" w:w="2268"/>
          </w:tcPr>
          <w:p>
            <w:pPr>
              <w:spacing w:line="240" w:lineRule="auto" w:after="0" w:before="0"/>
            </w:pPr>
            <w:r/>
            <w:r>
              <w:rPr>
                <w:sz w:val="16"/>
              </w:rPr>
              <w:t>2026-10-26 03:25</w:t>
            </w:r>
          </w:p>
        </w:tc>
        <w:tc>
          <w:tcPr>
            <w:tcW w:type="dxa" w:w="2268"/>
          </w:tcPr>
          <w:p>
            <w:pPr>
              <w:spacing w:line="240" w:lineRule="auto" w:after="0" w:before="0"/>
            </w:pPr>
            <w:r/>
            <w:r>
              <w:rPr>
                <w:sz w:val="16"/>
              </w:rPr>
              <w:t>1,232,933</w:t>
            </w:r>
          </w:p>
        </w:tc>
        <w:tc>
          <w:tcPr>
            <w:tcW w:type="dxa" w:w="2268"/>
          </w:tcPr>
          <w:p>
            <w:pPr>
              <w:spacing w:line="240" w:lineRule="auto" w:after="0" w:before="0"/>
            </w:pPr>
            <w:r/>
            <w:r>
              <w:rPr>
                <w:sz w:val="16"/>
              </w:rPr>
              <w:t>0a2eeac0fa1b365d…</w:t>
            </w:r>
          </w:p>
        </w:tc>
      </w:tr>
      <w:tr>
        <w:trPr>
          <w:cantSplit/>
        </w:trPr>
        <w:tc>
          <w:tcPr>
            <w:tcW w:type="dxa" w:w="2268"/>
          </w:tcPr>
          <w:p>
            <w:pPr>
              <w:spacing w:line="240" w:lineRule="auto" w:after="0" w:before="0"/>
            </w:pPr>
            <w:r/>
            <w:r>
              <w:rPr>
                <w:rFonts w:ascii="Courier New" w:hAnsi="Courier New" w:eastAsia="Courier New" w:cs="Courier New"/>
                <w:color w:val="000000"/>
                <w:sz w:val="16"/>
              </w:rPr>
              <w:t>HEMOGLYPH_DISEASE_GUIDELINE_REGISTRY.json.br.bak_v13_1_0</w:t>
            </w:r>
          </w:p>
        </w:tc>
        <w:tc>
          <w:tcPr>
            <w:tcW w:type="dxa" w:w="2268"/>
          </w:tcPr>
          <w:p>
            <w:pPr>
              <w:spacing w:line="240" w:lineRule="auto" w:after="0" w:before="0"/>
            </w:pPr>
            <w:r/>
            <w:r>
              <w:rPr>
                <w:sz w:val="16"/>
              </w:rPr>
              <w:t>2026-10-26 03:25</w:t>
            </w:r>
          </w:p>
        </w:tc>
        <w:tc>
          <w:tcPr>
            <w:tcW w:type="dxa" w:w="2268"/>
          </w:tcPr>
          <w:p>
            <w:pPr>
              <w:spacing w:line="240" w:lineRule="auto" w:after="0" w:before="0"/>
            </w:pPr>
            <w:r/>
            <w:r>
              <w:rPr>
                <w:sz w:val="16"/>
              </w:rPr>
              <w:t>1,186,778</w:t>
            </w:r>
          </w:p>
        </w:tc>
        <w:tc>
          <w:tcPr>
            <w:tcW w:type="dxa" w:w="2268"/>
          </w:tcPr>
          <w:p>
            <w:pPr>
              <w:spacing w:line="240" w:lineRule="auto" w:after="0" w:before="0"/>
            </w:pPr>
            <w:r/>
            <w:r>
              <w:rPr>
                <w:sz w:val="16"/>
              </w:rPr>
              <w:t>cebe06ae07e53f17…</w:t>
            </w:r>
          </w:p>
        </w:tc>
      </w:tr>
      <w:tr>
        <w:trPr>
          <w:cantSplit/>
        </w:trPr>
        <w:tc>
          <w:tcPr>
            <w:tcW w:type="dxa" w:w="2268"/>
          </w:tcPr>
          <w:p>
            <w:pPr>
              <w:spacing w:line="240" w:lineRule="auto" w:after="0" w:before="0"/>
            </w:pPr>
            <w:r/>
            <w:r>
              <w:rPr>
                <w:rFonts w:ascii="Courier New" w:hAnsi="Courier New" w:eastAsia="Courier New" w:cs="Courier New"/>
                <w:color w:val="000000"/>
                <w:sz w:val="16"/>
              </w:rPr>
              <w:t>HEMOGLYPH_DISEASE_GUIDELINE_REGISTRY.json.br.bak_v13_3_0</w:t>
            </w:r>
          </w:p>
        </w:tc>
        <w:tc>
          <w:tcPr>
            <w:tcW w:type="dxa" w:w="2268"/>
          </w:tcPr>
          <w:p>
            <w:pPr>
              <w:spacing w:line="240" w:lineRule="auto" w:after="0" w:before="0"/>
            </w:pPr>
            <w:r/>
            <w:r>
              <w:rPr>
                <w:sz w:val="16"/>
              </w:rPr>
              <w:t>2026-10-26 03:25</w:t>
            </w:r>
          </w:p>
        </w:tc>
        <w:tc>
          <w:tcPr>
            <w:tcW w:type="dxa" w:w="2268"/>
          </w:tcPr>
          <w:p>
            <w:pPr>
              <w:spacing w:line="240" w:lineRule="auto" w:after="0" w:before="0"/>
            </w:pPr>
            <w:r/>
            <w:r>
              <w:rPr>
                <w:sz w:val="16"/>
              </w:rPr>
              <w:t>1,210,768</w:t>
            </w:r>
          </w:p>
        </w:tc>
        <w:tc>
          <w:tcPr>
            <w:tcW w:type="dxa" w:w="2268"/>
          </w:tcPr>
          <w:p>
            <w:pPr>
              <w:spacing w:line="240" w:lineRule="auto" w:after="0" w:before="0"/>
            </w:pPr>
            <w:r/>
            <w:r>
              <w:rPr>
                <w:sz w:val="16"/>
              </w:rPr>
              <w:t>91cdb766fbf5c009…</w:t>
            </w:r>
          </w:p>
        </w:tc>
      </w:tr>
      <w:tr>
        <w:trPr>
          <w:cantSplit/>
        </w:trPr>
        <w:tc>
          <w:tcPr>
            <w:tcW w:type="dxa" w:w="2268"/>
          </w:tcPr>
          <w:p>
            <w:pPr>
              <w:spacing w:line="240" w:lineRule="auto" w:after="0" w:before="0"/>
            </w:pPr>
            <w:r/>
            <w:r>
              <w:rPr>
                <w:rFonts w:ascii="Courier New" w:hAnsi="Courier New" w:eastAsia="Courier New" w:cs="Courier New"/>
                <w:color w:val="000000"/>
                <w:sz w:val="16"/>
              </w:rPr>
              <w:t>HEMOGLYPH_DISEASE_GUIDELINE_REGISTRY.json.br.bak_v13_4_2</w:t>
            </w:r>
          </w:p>
        </w:tc>
        <w:tc>
          <w:tcPr>
            <w:tcW w:type="dxa" w:w="2268"/>
          </w:tcPr>
          <w:p>
            <w:pPr>
              <w:spacing w:line="240" w:lineRule="auto" w:after="0" w:before="0"/>
            </w:pPr>
            <w:r/>
            <w:r>
              <w:rPr>
                <w:sz w:val="16"/>
              </w:rPr>
              <w:t>2026-10-26 03:25</w:t>
            </w:r>
          </w:p>
        </w:tc>
        <w:tc>
          <w:tcPr>
            <w:tcW w:type="dxa" w:w="2268"/>
          </w:tcPr>
          <w:p>
            <w:pPr>
              <w:spacing w:line="240" w:lineRule="auto" w:after="0" w:before="0"/>
            </w:pPr>
            <w:r/>
            <w:r>
              <w:rPr>
                <w:sz w:val="16"/>
              </w:rPr>
              <w:t>1,227,539</w:t>
            </w:r>
          </w:p>
        </w:tc>
        <w:tc>
          <w:tcPr>
            <w:tcW w:type="dxa" w:w="2268"/>
          </w:tcPr>
          <w:p>
            <w:pPr>
              <w:spacing w:line="240" w:lineRule="auto" w:after="0" w:before="0"/>
            </w:pPr>
            <w:r/>
            <w:r>
              <w:rPr>
                <w:sz w:val="16"/>
              </w:rPr>
              <w:t>48a0c2e6c5dcaaf1…</w:t>
            </w:r>
          </w:p>
        </w:tc>
      </w:tr>
      <w:tr>
        <w:trPr>
          <w:cantSplit/>
        </w:trPr>
        <w:tc>
          <w:tcPr>
            <w:tcW w:type="dxa" w:w="2268"/>
          </w:tcPr>
          <w:p>
            <w:pPr>
              <w:spacing w:line="240" w:lineRule="auto" w:after="0" w:before="0"/>
            </w:pPr>
            <w:r/>
            <w:r>
              <w:rPr>
                <w:rFonts w:ascii="Courier New" w:hAnsi="Courier New" w:eastAsia="Courier New" w:cs="Courier New"/>
                <w:color w:val="000000"/>
                <w:sz w:val="16"/>
              </w:rPr>
              <w:t>HEMOGLYPH_DISEASE_GUIDELINE_REGISTRY.json.br.bak_v14_0_0</w:t>
            </w:r>
          </w:p>
        </w:tc>
        <w:tc>
          <w:tcPr>
            <w:tcW w:type="dxa" w:w="2268"/>
          </w:tcPr>
          <w:p>
            <w:pPr>
              <w:spacing w:line="240" w:lineRule="auto" w:after="0" w:before="0"/>
            </w:pPr>
            <w:r/>
            <w:r>
              <w:rPr>
                <w:sz w:val="16"/>
              </w:rPr>
              <w:t>2026-10-26 03:25</w:t>
            </w:r>
          </w:p>
        </w:tc>
        <w:tc>
          <w:tcPr>
            <w:tcW w:type="dxa" w:w="2268"/>
          </w:tcPr>
          <w:p>
            <w:pPr>
              <w:spacing w:line="240" w:lineRule="auto" w:after="0" w:before="0"/>
            </w:pPr>
            <w:r/>
            <w:r>
              <w:rPr>
                <w:sz w:val="16"/>
              </w:rPr>
              <w:t>1,231,539</w:t>
            </w:r>
          </w:p>
        </w:tc>
        <w:tc>
          <w:tcPr>
            <w:tcW w:type="dxa" w:w="2268"/>
          </w:tcPr>
          <w:p>
            <w:pPr>
              <w:spacing w:line="240" w:lineRule="auto" w:after="0" w:before="0"/>
            </w:pPr>
            <w:r/>
            <w:r>
              <w:rPr>
                <w:sz w:val="16"/>
              </w:rPr>
              <w:t>6efc802ea33e7c28…</w:t>
            </w:r>
          </w:p>
        </w:tc>
      </w:tr>
      <w:tr>
        <w:trPr>
          <w:cantSplit/>
        </w:trPr>
        <w:tc>
          <w:tcPr>
            <w:tcW w:type="dxa" w:w="2268"/>
          </w:tcPr>
          <w:p>
            <w:pPr>
              <w:spacing w:line="240" w:lineRule="auto" w:after="0" w:before="0"/>
            </w:pPr>
            <w:r/>
            <w:r>
              <w:rPr>
                <w:rFonts w:ascii="Courier New" w:hAnsi="Courier New" w:eastAsia="Courier New" w:cs="Courier New"/>
                <w:color w:val="000000"/>
                <w:sz w:val="16"/>
              </w:rPr>
              <w:t>HEMOGLYPH_FEATURE_REGISTRY.json.br</w:t>
            </w:r>
          </w:p>
        </w:tc>
        <w:tc>
          <w:tcPr>
            <w:tcW w:type="dxa" w:w="2268"/>
          </w:tcPr>
          <w:p>
            <w:pPr>
              <w:spacing w:line="240" w:lineRule="auto" w:after="0" w:before="0"/>
            </w:pPr>
            <w:r/>
            <w:r>
              <w:rPr>
                <w:sz w:val="16"/>
              </w:rPr>
              <w:t>2026-10-26 03:25</w:t>
            </w:r>
          </w:p>
        </w:tc>
        <w:tc>
          <w:tcPr>
            <w:tcW w:type="dxa" w:w="2268"/>
          </w:tcPr>
          <w:p>
            <w:pPr>
              <w:spacing w:line="240" w:lineRule="auto" w:after="0" w:before="0"/>
            </w:pPr>
            <w:r/>
            <w:r>
              <w:rPr>
                <w:sz w:val="16"/>
              </w:rPr>
              <w:t>3,113,259</w:t>
            </w:r>
          </w:p>
        </w:tc>
        <w:tc>
          <w:tcPr>
            <w:tcW w:type="dxa" w:w="2268"/>
          </w:tcPr>
          <w:p>
            <w:pPr>
              <w:spacing w:line="240" w:lineRule="auto" w:after="0" w:before="0"/>
            </w:pPr>
            <w:r/>
            <w:r>
              <w:rPr>
                <w:sz w:val="16"/>
              </w:rPr>
              <w:t>953d8daa4d0fe4df…</w:t>
            </w:r>
          </w:p>
        </w:tc>
      </w:tr>
      <w:tr>
        <w:trPr>
          <w:cantSplit/>
        </w:trPr>
        <w:tc>
          <w:tcPr>
            <w:tcW w:type="dxa" w:w="2268"/>
          </w:tcPr>
          <w:p>
            <w:pPr>
              <w:spacing w:line="240" w:lineRule="auto" w:after="0" w:before="0"/>
            </w:pPr>
            <w:r/>
            <w:r>
              <w:rPr>
                <w:rFonts w:ascii="Courier New" w:hAnsi="Courier New" w:eastAsia="Courier New" w:cs="Courier New"/>
                <w:color w:val="000000"/>
                <w:sz w:val="16"/>
              </w:rPr>
              <w:t>HEMOGLYPH_GUIDELINE_REGISTRY.json.br</w:t>
            </w:r>
          </w:p>
        </w:tc>
        <w:tc>
          <w:tcPr>
            <w:tcW w:type="dxa" w:w="2268"/>
          </w:tcPr>
          <w:p>
            <w:pPr>
              <w:spacing w:line="240" w:lineRule="auto" w:after="0" w:before="0"/>
            </w:pPr>
            <w:r/>
            <w:r>
              <w:rPr>
                <w:sz w:val="16"/>
              </w:rPr>
              <w:t>2026-10-26 03:25</w:t>
            </w:r>
          </w:p>
        </w:tc>
        <w:tc>
          <w:tcPr>
            <w:tcW w:type="dxa" w:w="2268"/>
          </w:tcPr>
          <w:p>
            <w:pPr>
              <w:spacing w:line="240" w:lineRule="auto" w:after="0" w:before="0"/>
            </w:pPr>
            <w:r/>
            <w:r>
              <w:rPr>
                <w:sz w:val="16"/>
              </w:rPr>
              <w:t>1,232,933</w:t>
            </w:r>
          </w:p>
        </w:tc>
        <w:tc>
          <w:tcPr>
            <w:tcW w:type="dxa" w:w="2268"/>
          </w:tcPr>
          <w:p>
            <w:pPr>
              <w:spacing w:line="240" w:lineRule="auto" w:after="0" w:before="0"/>
            </w:pPr>
            <w:r/>
            <w:r>
              <w:rPr>
                <w:sz w:val="16"/>
              </w:rPr>
              <w:t>0a2eeac0fa1b365d…</w:t>
            </w:r>
          </w:p>
        </w:tc>
      </w:tr>
      <w:tr>
        <w:trPr>
          <w:cantSplit/>
        </w:trPr>
        <w:tc>
          <w:tcPr>
            <w:tcW w:type="dxa" w:w="2268"/>
          </w:tcPr>
          <w:p>
            <w:pPr>
              <w:spacing w:line="240" w:lineRule="auto" w:after="0" w:before="0"/>
            </w:pPr>
            <w:r/>
            <w:r>
              <w:rPr>
                <w:rFonts w:ascii="Courier New" w:hAnsi="Courier New" w:eastAsia="Courier New" w:cs="Courier New"/>
                <w:color w:val="000000"/>
                <w:sz w:val="16"/>
              </w:rPr>
              <w:t>analyse_gidlines.py</w:t>
            </w:r>
          </w:p>
        </w:tc>
        <w:tc>
          <w:tcPr>
            <w:tcW w:type="dxa" w:w="2268"/>
          </w:tcPr>
          <w:p>
            <w:pPr>
              <w:spacing w:line="240" w:lineRule="auto" w:after="0" w:before="0"/>
            </w:pPr>
            <w:r/>
            <w:r>
              <w:rPr>
                <w:sz w:val="16"/>
              </w:rPr>
              <w:t>2026-10-26 03:25</w:t>
            </w:r>
          </w:p>
        </w:tc>
        <w:tc>
          <w:tcPr>
            <w:tcW w:type="dxa" w:w="2268"/>
          </w:tcPr>
          <w:p>
            <w:pPr>
              <w:spacing w:line="240" w:lineRule="auto" w:after="0" w:before="0"/>
            </w:pPr>
            <w:r/>
            <w:r>
              <w:rPr>
                <w:sz w:val="16"/>
              </w:rPr>
              <w:t>975,269</w:t>
            </w:r>
          </w:p>
        </w:tc>
        <w:tc>
          <w:tcPr>
            <w:tcW w:type="dxa" w:w="2268"/>
          </w:tcPr>
          <w:p>
            <w:pPr>
              <w:spacing w:line="240" w:lineRule="auto" w:after="0" w:before="0"/>
            </w:pPr>
            <w:r/>
            <w:r>
              <w:rPr>
                <w:sz w:val="16"/>
              </w:rPr>
              <w:t>6670cf41b944ae12…</w:t>
            </w:r>
          </w:p>
        </w:tc>
      </w:tr>
      <w:tr>
        <w:trPr>
          <w:cantSplit/>
        </w:trPr>
        <w:tc>
          <w:tcPr>
            <w:tcW w:type="dxa" w:w="2268"/>
          </w:tcPr>
          <w:p>
            <w:pPr>
              <w:spacing w:line="240" w:lineRule="auto" w:after="0" w:before="0"/>
            </w:pPr>
            <w:r/>
            <w:r>
              <w:rPr>
                <w:rFonts w:ascii="Courier New" w:hAnsi="Courier New" w:eastAsia="Courier New" w:cs="Courier New"/>
                <w:color w:val="000000"/>
                <w:sz w:val="16"/>
              </w:rPr>
              <w:t>eval/engine_13_4_2_ref/analyse_gidlines.py</w:t>
            </w:r>
          </w:p>
        </w:tc>
        <w:tc>
          <w:tcPr>
            <w:tcW w:type="dxa" w:w="2268"/>
          </w:tcPr>
          <w:p>
            <w:pPr>
              <w:spacing w:line="240" w:lineRule="auto" w:after="0" w:before="0"/>
            </w:pPr>
            <w:r/>
            <w:r>
              <w:rPr>
                <w:sz w:val="16"/>
              </w:rPr>
              <w:t>2026-10-26 03:25</w:t>
            </w:r>
          </w:p>
        </w:tc>
        <w:tc>
          <w:tcPr>
            <w:tcW w:type="dxa" w:w="2268"/>
          </w:tcPr>
          <w:p>
            <w:pPr>
              <w:spacing w:line="240" w:lineRule="auto" w:after="0" w:before="0"/>
            </w:pPr>
            <w:r/>
            <w:r>
              <w:rPr>
                <w:sz w:val="16"/>
              </w:rPr>
              <w:t>945,898</w:t>
            </w:r>
          </w:p>
        </w:tc>
        <w:tc>
          <w:tcPr>
            <w:tcW w:type="dxa" w:w="2268"/>
          </w:tcPr>
          <w:p>
            <w:pPr>
              <w:spacing w:line="240" w:lineRule="auto" w:after="0" w:before="0"/>
            </w:pPr>
            <w:r/>
            <w:r>
              <w:rPr>
                <w:sz w:val="16"/>
              </w:rPr>
              <w:t>1780fab94ee8f213…</w:t>
            </w:r>
          </w:p>
        </w:tc>
      </w:tr>
      <w:tr>
        <w:trPr>
          <w:cantSplit/>
        </w:trPr>
        <w:tc>
          <w:tcPr>
            <w:tcW w:type="dxa" w:w="2268"/>
          </w:tcPr>
          <w:p>
            <w:pPr>
              <w:spacing w:line="240" w:lineRule="auto" w:after="0" w:before="0"/>
            </w:pPr>
            <w:r/>
            <w:r>
              <w:rPr>
                <w:rFonts w:ascii="Courier New" w:hAnsi="Courier New" w:eastAsia="Courier New" w:cs="Courier New"/>
                <w:color w:val="000000"/>
                <w:sz w:val="16"/>
              </w:rPr>
              <w:t>eval/engine_13_4_2_ref/cache_registry.py</w:t>
            </w:r>
          </w:p>
        </w:tc>
        <w:tc>
          <w:tcPr>
            <w:tcW w:type="dxa" w:w="2268"/>
          </w:tcPr>
          <w:p>
            <w:pPr>
              <w:spacing w:line="240" w:lineRule="auto" w:after="0" w:before="0"/>
            </w:pPr>
            <w:r/>
            <w:r>
              <w:rPr>
                <w:sz w:val="16"/>
              </w:rPr>
              <w:t>2026-10-26 03:25</w:t>
            </w:r>
          </w:p>
        </w:tc>
        <w:tc>
          <w:tcPr>
            <w:tcW w:type="dxa" w:w="2268"/>
          </w:tcPr>
          <w:p>
            <w:pPr>
              <w:spacing w:line="240" w:lineRule="auto" w:after="0" w:before="0"/>
            </w:pPr>
            <w:r/>
            <w:r>
              <w:rPr>
                <w:sz w:val="16"/>
              </w:rPr>
              <w:t>3,982</w:t>
            </w:r>
          </w:p>
        </w:tc>
        <w:tc>
          <w:tcPr>
            <w:tcW w:type="dxa" w:w="2268"/>
          </w:tcPr>
          <w:p>
            <w:pPr>
              <w:spacing w:line="240" w:lineRule="auto" w:after="0" w:before="0"/>
            </w:pPr>
            <w:r/>
            <w:r>
              <w:rPr>
                <w:sz w:val="16"/>
              </w:rPr>
              <w:t>123b829a2fce5af7…</w:t>
            </w:r>
          </w:p>
        </w:tc>
      </w:tr>
      <w:tr>
        <w:trPr>
          <w:cantSplit/>
        </w:trPr>
        <w:tc>
          <w:tcPr>
            <w:tcW w:type="dxa" w:w="2268"/>
          </w:tcPr>
          <w:p>
            <w:pPr>
              <w:spacing w:line="240" w:lineRule="auto" w:after="0" w:before="0"/>
            </w:pPr>
            <w:r/>
            <w:r>
              <w:rPr>
                <w:rFonts w:ascii="Courier New" w:hAnsi="Courier New" w:eastAsia="Courier New" w:cs="Courier New"/>
                <w:color w:val="000000"/>
                <w:sz w:val="16"/>
              </w:rPr>
              <w:t>eval/engine_13_4_2_ref/calcu.py</w:t>
            </w:r>
          </w:p>
        </w:tc>
        <w:tc>
          <w:tcPr>
            <w:tcW w:type="dxa" w:w="2268"/>
          </w:tcPr>
          <w:p>
            <w:pPr>
              <w:spacing w:line="240" w:lineRule="auto" w:after="0" w:before="0"/>
            </w:pPr>
            <w:r/>
            <w:r>
              <w:rPr>
                <w:sz w:val="16"/>
              </w:rPr>
              <w:t>2026-10-26 03:25</w:t>
            </w:r>
          </w:p>
        </w:tc>
        <w:tc>
          <w:tcPr>
            <w:tcW w:type="dxa" w:w="2268"/>
          </w:tcPr>
          <w:p>
            <w:pPr>
              <w:spacing w:line="240" w:lineRule="auto" w:after="0" w:before="0"/>
            </w:pPr>
            <w:r/>
            <w:r>
              <w:rPr>
                <w:sz w:val="16"/>
              </w:rPr>
              <w:t>95,606</w:t>
            </w:r>
          </w:p>
        </w:tc>
        <w:tc>
          <w:tcPr>
            <w:tcW w:type="dxa" w:w="2268"/>
          </w:tcPr>
          <w:p>
            <w:pPr>
              <w:spacing w:line="240" w:lineRule="auto" w:after="0" w:before="0"/>
            </w:pPr>
            <w:r/>
            <w:r>
              <w:rPr>
                <w:sz w:val="16"/>
              </w:rPr>
              <w:t>2e850f64cddc4cc4…</w:t>
            </w:r>
          </w:p>
        </w:tc>
      </w:tr>
      <w:tr>
        <w:trPr>
          <w:cantSplit/>
        </w:trPr>
        <w:tc>
          <w:tcPr>
            <w:tcW w:type="dxa" w:w="2268"/>
          </w:tcPr>
          <w:p>
            <w:pPr>
              <w:spacing w:line="240" w:lineRule="auto" w:after="0" w:before="0"/>
            </w:pPr>
            <w:r/>
            <w:r>
              <w:rPr>
                <w:rFonts w:ascii="Courier New" w:hAnsi="Courier New" w:eastAsia="Courier New" w:cs="Courier New"/>
                <w:color w:val="000000"/>
                <w:sz w:val="16"/>
              </w:rPr>
              <w:t>eval/frozen_registry_13_3_0/HEMOGLYPH_DISEASE_GUIDELINE_REGISTRY.json.br</w:t>
            </w:r>
          </w:p>
        </w:tc>
        <w:tc>
          <w:tcPr>
            <w:tcW w:type="dxa" w:w="2268"/>
          </w:tcPr>
          <w:p>
            <w:pPr>
              <w:spacing w:line="240" w:lineRule="auto" w:after="0" w:before="0"/>
            </w:pPr>
            <w:r/>
            <w:r>
              <w:rPr>
                <w:sz w:val="16"/>
              </w:rPr>
              <w:t>2026-10-26 03:25</w:t>
            </w:r>
          </w:p>
        </w:tc>
        <w:tc>
          <w:tcPr>
            <w:tcW w:type="dxa" w:w="2268"/>
          </w:tcPr>
          <w:p>
            <w:pPr>
              <w:spacing w:line="240" w:lineRule="auto" w:after="0" w:before="0"/>
            </w:pPr>
            <w:r/>
            <w:r>
              <w:rPr>
                <w:sz w:val="16"/>
              </w:rPr>
              <w:t>1,210,768</w:t>
            </w:r>
          </w:p>
        </w:tc>
        <w:tc>
          <w:tcPr>
            <w:tcW w:type="dxa" w:w="2268"/>
          </w:tcPr>
          <w:p>
            <w:pPr>
              <w:spacing w:line="240" w:lineRule="auto" w:after="0" w:before="0"/>
            </w:pPr>
            <w:r/>
            <w:r>
              <w:rPr>
                <w:sz w:val="16"/>
              </w:rPr>
              <w:t>91cdb766fbf5c009…</w:t>
            </w:r>
          </w:p>
        </w:tc>
      </w:tr>
    </w:tbl>
    <w:p/>
    <w:p>
      <w:r>
        <w:t xml:space="preserve">Together with the dated SAP amendments (Note 1), the engine change log C1–C16 (Table S1) and the v14/v15 freeze manifests (261 and 316 files), these allow a reader to verify that the frozen artefacts used for every reported number are the ones archived, but </w:t>
      </w:r>
      <w:r>
        <w:rPr>
          <w:b/>
        </w:rPr>
        <w:t>not</w:t>
      </w:r>
      <w:r>
        <w:t xml:space="preserve"> to verify the intent or sequence of individual edits inside the development period. From revision round 5 onwards the project is tracked in Git (repository initialised 2026-10-26 with annotated tag </w:t>
      </w:r>
      <w:r>
        <w:rPr>
          <w:rFonts w:ascii="Courier New" w:hAnsi="Courier New" w:eastAsia="Courier New" w:cs="Courier New"/>
          <w:color w:val="000000"/>
          <w:sz w:val="22"/>
        </w:rPr>
        <w:t>paper1-R1-round5</w:t>
      </w:r>
      <w:r>
        <w:t>, tracking code, manuscripts and scripts; the Brotli registries and data are excluded for size and identified by the SHA-256 values above and in the freeze manifests; every later change is a dated commit).</w:t>
      </w:r>
    </w:p>
    <w:p>
      <w:pPr>
        <w:pStyle w:val="Heading1"/>
      </w:pPr>
      <w:r>
        <w:rPr>
          <w:rFonts w:ascii="Times New Roman" w:hAnsi="Times New Roman" w:eastAsia="Times New Roman" w:cs="Times New Roman"/>
          <w:b/>
          <w:i w:val="0"/>
          <w:color w:val="000000"/>
        </w:rPr>
        <w:t>Supplementary Table S16 — Sepsis companion risk model (post-freeze, engine-external; added in revision round 6)</w:t>
      </w:r>
    </w:p>
    <w:p>
      <w:r>
        <w:t>Trained once on PhysioNet/CinC 2019 set A (5,000-patient public subset; 446 septic), evaluated on the untouched subsets B (280 septic / 4,699) and B2 (280 / 4,711). Threshold for the utility score fixed on set A. Source:.</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rPr>
          <w:cantSplit/>
          <w:tblHeader/>
        </w:trPr>
        <w:tc>
          <w:tcPr>
            <w:tcW w:type="dxa" w:w="1296"/>
            <w:shd w:val="clear" w:fill="F2F2F2"/>
          </w:tcPr>
          <w:p>
            <w:pPr>
              <w:spacing w:line="240" w:lineRule="auto" w:after="0" w:before="0"/>
            </w:pPr>
            <w:r>
              <w:rPr>
                <w:b/>
              </w:rPr>
            </w:r>
            <w:r>
              <w:rPr>
                <w:b/>
                <w:sz w:val="16"/>
              </w:rPr>
              <w:t>set</w:t>
            </w:r>
          </w:p>
        </w:tc>
        <w:tc>
          <w:tcPr>
            <w:tcW w:type="dxa" w:w="1296"/>
            <w:shd w:val="clear" w:fill="F2F2F2"/>
          </w:tcPr>
          <w:p>
            <w:pPr>
              <w:spacing w:line="240" w:lineRule="auto" w:after="0" w:before="0"/>
            </w:pPr>
            <w:r>
              <w:rPr>
                <w:b/>
              </w:rPr>
            </w:r>
            <w:r>
              <w:rPr>
                <w:b/>
                <w:sz w:val="16"/>
              </w:rPr>
              <w:t>model</w:t>
            </w:r>
          </w:p>
        </w:tc>
        <w:tc>
          <w:tcPr>
            <w:tcW w:type="dxa" w:w="1296"/>
            <w:shd w:val="clear" w:fill="F2F2F2"/>
          </w:tcPr>
          <w:p>
            <w:pPr>
              <w:spacing w:line="240" w:lineRule="auto" w:after="0" w:before="0"/>
            </w:pPr>
            <w:r>
              <w:rPr>
                <w:b/>
              </w:rPr>
            </w:r>
            <w:r>
              <w:rPr>
                <w:b/>
                <w:sz w:val="16"/>
              </w:rPr>
              <w:t>hourly AUROC</w:t>
            </w:r>
          </w:p>
        </w:tc>
        <w:tc>
          <w:tcPr>
            <w:tcW w:type="dxa" w:w="1296"/>
            <w:shd w:val="clear" w:fill="F2F2F2"/>
          </w:tcPr>
          <w:p>
            <w:pPr>
              <w:spacing w:line="240" w:lineRule="auto" w:after="0" w:before="0"/>
            </w:pPr>
            <w:r>
              <w:rPr>
                <w:b/>
              </w:rPr>
            </w:r>
            <w:r>
              <w:rPr>
                <w:b/>
                <w:sz w:val="16"/>
              </w:rPr>
              <w:t>hourly AUPRC</w:t>
            </w:r>
          </w:p>
        </w:tc>
        <w:tc>
          <w:tcPr>
            <w:tcW w:type="dxa" w:w="1296"/>
            <w:shd w:val="clear" w:fill="F2F2F2"/>
          </w:tcPr>
          <w:p>
            <w:pPr>
              <w:spacing w:line="240" w:lineRule="auto" w:after="0" w:before="0"/>
            </w:pPr>
            <w:r>
              <w:rPr>
                <w:b/>
              </w:rPr>
            </w:r>
            <w:r>
              <w:rPr>
                <w:b/>
                <w:sz w:val="16"/>
              </w:rPr>
              <w:t>patient-level AUROC</w:t>
            </w:r>
          </w:p>
        </w:tc>
        <w:tc>
          <w:tcPr>
            <w:tcW w:type="dxa" w:w="1296"/>
            <w:shd w:val="clear" w:fill="F2F2F2"/>
          </w:tcPr>
          <w:p>
            <w:pPr>
              <w:spacing w:line="240" w:lineRule="auto" w:after="0" w:before="0"/>
            </w:pPr>
            <w:r>
              <w:rPr>
                <w:b/>
              </w:rPr>
            </w:r>
            <w:r>
              <w:rPr>
                <w:b/>
                <w:sz w:val="16"/>
              </w:rPr>
              <w:t>AUROC at −6 / −12 / −24 h</w:t>
            </w:r>
          </w:p>
        </w:tc>
        <w:tc>
          <w:tcPr>
            <w:tcW w:type="dxa" w:w="1296"/>
            <w:shd w:val="clear" w:fill="F2F2F2"/>
          </w:tcPr>
          <w:p>
            <w:pPr>
              <w:spacing w:line="240" w:lineRule="auto" w:after="0" w:before="0"/>
            </w:pPr>
            <w:r>
              <w:rPr>
                <w:b/>
              </w:rPr>
            </w:r>
            <w:r>
              <w:rPr>
                <w:b/>
                <w:sz w:val="16"/>
              </w:rPr>
              <w:t>PhysioNet utility</w:t>
            </w:r>
          </w:p>
        </w:tc>
      </w:tr>
      <w:tr>
        <w:trPr>
          <w:cantSplit/>
        </w:trPr>
        <w:tc>
          <w:tcPr>
            <w:tcW w:type="dxa" w:w="1296"/>
          </w:tcPr>
          <w:p>
            <w:pPr>
              <w:spacing w:line="240" w:lineRule="auto" w:after="0" w:before="0"/>
            </w:pPr>
            <w:r/>
            <w:r>
              <w:rPr>
                <w:sz w:val="16"/>
              </w:rPr>
              <w:t>A (development)</w:t>
            </w:r>
          </w:p>
        </w:tc>
        <w:tc>
          <w:tcPr>
            <w:tcW w:type="dxa" w:w="1296"/>
          </w:tcPr>
          <w:p>
            <w:pPr>
              <w:spacing w:line="240" w:lineRule="auto" w:after="0" w:before="0"/>
            </w:pPr>
            <w:r/>
            <w:r>
              <w:rPr>
                <w:sz w:val="16"/>
              </w:rPr>
              <w:t>logistic (L2)</w:t>
            </w:r>
          </w:p>
        </w:tc>
        <w:tc>
          <w:tcPr>
            <w:tcW w:type="dxa" w:w="1296"/>
          </w:tcPr>
          <w:p>
            <w:pPr>
              <w:spacing w:line="240" w:lineRule="auto" w:after="0" w:before="0"/>
            </w:pPr>
            <w:r/>
            <w:r>
              <w:rPr>
                <w:sz w:val="16"/>
              </w:rPr>
              <w:t>0.773</w:t>
            </w:r>
          </w:p>
        </w:tc>
        <w:tc>
          <w:tcPr>
            <w:tcW w:type="dxa" w:w="1296"/>
          </w:tcPr>
          <w:p>
            <w:pPr>
              <w:spacing w:line="240" w:lineRule="auto" w:after="0" w:before="0"/>
            </w:pPr>
            <w:r/>
            <w:r>
              <w:rPr>
                <w:sz w:val="16"/>
              </w:rPr>
              <w:t>0.091</w:t>
            </w:r>
          </w:p>
        </w:tc>
        <w:tc>
          <w:tcPr>
            <w:tcW w:type="dxa" w:w="1296"/>
          </w:tcPr>
          <w:p>
            <w:pPr>
              <w:spacing w:line="240" w:lineRule="auto" w:after="0" w:before="0"/>
            </w:pPr>
            <w:r/>
            <w:r>
              <w:rPr>
                <w:sz w:val="16"/>
              </w:rPr>
              <w:t>0.658</w:t>
            </w:r>
          </w:p>
        </w:tc>
        <w:tc>
          <w:tcPr>
            <w:tcW w:type="dxa" w:w="1296"/>
          </w:tcPr>
          <w:p>
            <w:pPr>
              <w:spacing w:line="240" w:lineRule="auto" w:after="0" w:before="0"/>
            </w:pPr>
            <w:r/>
            <w:r>
              <w:rPr>
                <w:sz w:val="16"/>
              </w:rPr>
              <w:t>0.754 / 0.800 / 0.818</w:t>
            </w:r>
          </w:p>
        </w:tc>
        <w:tc>
          <w:tcPr>
            <w:tcW w:type="dxa" w:w="1296"/>
          </w:tcPr>
          <w:p>
            <w:pPr>
              <w:spacing w:line="240" w:lineRule="auto" w:after="0" w:before="0"/>
            </w:pPr>
            <w:r/>
            <w:r>
              <w:rPr>
                <w:sz w:val="16"/>
              </w:rPr>
              <w:t>0.364</w:t>
            </w:r>
          </w:p>
        </w:tc>
      </w:tr>
      <w:tr>
        <w:trPr>
          <w:cantSplit/>
        </w:trPr>
        <w:tc>
          <w:tcPr>
            <w:tcW w:type="dxa" w:w="1296"/>
          </w:tcPr>
          <w:p>
            <w:pPr>
              <w:spacing w:line="240" w:lineRule="auto" w:after="0" w:before="0"/>
            </w:pPr>
            <w:r/>
            <w:r>
              <w:rPr>
                <w:sz w:val="16"/>
              </w:rPr>
              <w:t>A (development)</w:t>
            </w:r>
          </w:p>
        </w:tc>
        <w:tc>
          <w:tcPr>
            <w:tcW w:type="dxa" w:w="1296"/>
          </w:tcPr>
          <w:p>
            <w:pPr>
              <w:spacing w:line="240" w:lineRule="auto" w:after="0" w:before="0"/>
            </w:pPr>
            <w:r/>
            <w:r>
              <w:rPr>
                <w:sz w:val="16"/>
              </w:rPr>
              <w:t>gradient boosting</w:t>
            </w:r>
          </w:p>
        </w:tc>
        <w:tc>
          <w:tcPr>
            <w:tcW w:type="dxa" w:w="1296"/>
          </w:tcPr>
          <w:p>
            <w:pPr>
              <w:spacing w:line="240" w:lineRule="auto" w:after="0" w:before="0"/>
            </w:pPr>
            <w:r/>
            <w:r>
              <w:rPr>
                <w:sz w:val="16"/>
              </w:rPr>
              <w:t>0.934</w:t>
            </w:r>
          </w:p>
        </w:tc>
        <w:tc>
          <w:tcPr>
            <w:tcW w:type="dxa" w:w="1296"/>
          </w:tcPr>
          <w:p>
            <w:pPr>
              <w:spacing w:line="240" w:lineRule="auto" w:after="0" w:before="0"/>
            </w:pPr>
            <w:r/>
            <w:r>
              <w:rPr>
                <w:sz w:val="16"/>
              </w:rPr>
              <w:t>0.319</w:t>
            </w:r>
          </w:p>
        </w:tc>
        <w:tc>
          <w:tcPr>
            <w:tcW w:type="dxa" w:w="1296"/>
          </w:tcPr>
          <w:p>
            <w:pPr>
              <w:spacing w:line="240" w:lineRule="auto" w:after="0" w:before="0"/>
            </w:pPr>
            <w:r/>
            <w:r>
              <w:rPr>
                <w:sz w:val="16"/>
              </w:rPr>
              <w:t>0.832</w:t>
            </w:r>
          </w:p>
        </w:tc>
        <w:tc>
          <w:tcPr>
            <w:tcW w:type="dxa" w:w="1296"/>
          </w:tcPr>
          <w:p>
            <w:pPr>
              <w:spacing w:line="240" w:lineRule="auto" w:after="0" w:before="0"/>
            </w:pPr>
            <w:r/>
            <w:r>
              <w:rPr>
                <w:sz w:val="16"/>
              </w:rPr>
              <w:t>0.950 / 0.909 / 0.865</w:t>
            </w:r>
          </w:p>
        </w:tc>
        <w:tc>
          <w:tcPr>
            <w:tcW w:type="dxa" w:w="1296"/>
          </w:tcPr>
          <w:p>
            <w:pPr>
              <w:spacing w:line="240" w:lineRule="auto" w:after="0" w:before="0"/>
            </w:pPr>
            <w:r/>
            <w:r>
              <w:rPr>
                <w:sz w:val="16"/>
              </w:rPr>
              <w:t>0.689</w:t>
            </w:r>
          </w:p>
        </w:tc>
      </w:tr>
      <w:tr>
        <w:trPr>
          <w:cantSplit/>
        </w:trPr>
        <w:tc>
          <w:tcPr>
            <w:tcW w:type="dxa" w:w="1296"/>
          </w:tcPr>
          <w:p>
            <w:pPr>
              <w:spacing w:line="240" w:lineRule="auto" w:after="0" w:before="0"/>
            </w:pPr>
            <w:r/>
            <w:r>
              <w:rPr>
                <w:sz w:val="16"/>
              </w:rPr>
              <w:t>B (held out)</w:t>
            </w:r>
          </w:p>
        </w:tc>
        <w:tc>
          <w:tcPr>
            <w:tcW w:type="dxa" w:w="1296"/>
          </w:tcPr>
          <w:p>
            <w:pPr>
              <w:spacing w:line="240" w:lineRule="auto" w:after="0" w:before="0"/>
            </w:pPr>
            <w:r/>
            <w:r>
              <w:rPr>
                <w:sz w:val="16"/>
              </w:rPr>
              <w:t>logistic (L2)</w:t>
            </w:r>
          </w:p>
        </w:tc>
        <w:tc>
          <w:tcPr>
            <w:tcW w:type="dxa" w:w="1296"/>
          </w:tcPr>
          <w:p>
            <w:pPr>
              <w:spacing w:line="240" w:lineRule="auto" w:after="0" w:before="0"/>
            </w:pPr>
            <w:r/>
            <w:r>
              <w:rPr>
                <w:sz w:val="16"/>
              </w:rPr>
              <w:t>0.717</w:t>
            </w:r>
          </w:p>
        </w:tc>
        <w:tc>
          <w:tcPr>
            <w:tcW w:type="dxa" w:w="1296"/>
          </w:tcPr>
          <w:p>
            <w:pPr>
              <w:spacing w:line="240" w:lineRule="auto" w:after="0" w:before="0"/>
            </w:pPr>
            <w:r/>
            <w:r>
              <w:rPr>
                <w:sz w:val="16"/>
              </w:rPr>
              <w:t>0.051</w:t>
            </w:r>
          </w:p>
        </w:tc>
        <w:tc>
          <w:tcPr>
            <w:tcW w:type="dxa" w:w="1296"/>
          </w:tcPr>
          <w:p>
            <w:pPr>
              <w:spacing w:line="240" w:lineRule="auto" w:after="0" w:before="0"/>
            </w:pPr>
            <w:r/>
            <w:r>
              <w:rPr>
                <w:sz w:val="16"/>
              </w:rPr>
              <w:t>0.552</w:t>
            </w:r>
          </w:p>
        </w:tc>
        <w:tc>
          <w:tcPr>
            <w:tcW w:type="dxa" w:w="1296"/>
          </w:tcPr>
          <w:p>
            <w:pPr>
              <w:spacing w:line="240" w:lineRule="auto" w:after="0" w:before="0"/>
            </w:pPr>
            <w:r/>
            <w:r>
              <w:rPr>
                <w:sz w:val="16"/>
              </w:rPr>
              <w:t>0.698 / 0.780 / 0.776</w:t>
            </w:r>
          </w:p>
        </w:tc>
        <w:tc>
          <w:tcPr>
            <w:tcW w:type="dxa" w:w="1296"/>
          </w:tcPr>
          <w:p>
            <w:pPr>
              <w:spacing w:line="240" w:lineRule="auto" w:after="0" w:before="0"/>
            </w:pPr>
            <w:r/>
            <w:r>
              <w:rPr>
                <w:sz w:val="16"/>
              </w:rPr>
              <w:t>0.199</w:t>
            </w:r>
          </w:p>
        </w:tc>
      </w:tr>
      <w:tr>
        <w:trPr>
          <w:cantSplit/>
        </w:trPr>
        <w:tc>
          <w:tcPr>
            <w:tcW w:type="dxa" w:w="1296"/>
          </w:tcPr>
          <w:p>
            <w:pPr>
              <w:spacing w:line="240" w:lineRule="auto" w:after="0" w:before="0"/>
            </w:pPr>
            <w:r/>
            <w:r>
              <w:rPr>
                <w:sz w:val="16"/>
              </w:rPr>
              <w:t>B (held out)</w:t>
            </w:r>
          </w:p>
        </w:tc>
        <w:tc>
          <w:tcPr>
            <w:tcW w:type="dxa" w:w="1296"/>
          </w:tcPr>
          <w:p>
            <w:pPr>
              <w:spacing w:line="240" w:lineRule="auto" w:after="0" w:before="0"/>
            </w:pPr>
            <w:r/>
            <w:r>
              <w:rPr>
                <w:sz w:val="16"/>
              </w:rPr>
              <w:t>gradient boosting</w:t>
            </w:r>
          </w:p>
        </w:tc>
        <w:tc>
          <w:tcPr>
            <w:tcW w:type="dxa" w:w="1296"/>
          </w:tcPr>
          <w:p>
            <w:pPr>
              <w:spacing w:line="240" w:lineRule="auto" w:after="0" w:before="0"/>
            </w:pPr>
            <w:r/>
            <w:r>
              <w:rPr>
                <w:sz w:val="16"/>
              </w:rPr>
              <w:t>0.757</w:t>
            </w:r>
          </w:p>
        </w:tc>
        <w:tc>
          <w:tcPr>
            <w:tcW w:type="dxa" w:w="1296"/>
          </w:tcPr>
          <w:p>
            <w:pPr>
              <w:spacing w:line="240" w:lineRule="auto" w:after="0" w:before="0"/>
            </w:pPr>
            <w:r/>
            <w:r>
              <w:rPr>
                <w:sz w:val="16"/>
              </w:rPr>
              <w:t>0.066</w:t>
            </w:r>
          </w:p>
        </w:tc>
        <w:tc>
          <w:tcPr>
            <w:tcW w:type="dxa" w:w="1296"/>
          </w:tcPr>
          <w:p>
            <w:pPr>
              <w:spacing w:line="240" w:lineRule="auto" w:after="0" w:before="0"/>
            </w:pPr>
            <w:r/>
            <w:r>
              <w:rPr>
                <w:sz w:val="16"/>
              </w:rPr>
              <w:t>0.654</w:t>
            </w:r>
          </w:p>
        </w:tc>
        <w:tc>
          <w:tcPr>
            <w:tcW w:type="dxa" w:w="1296"/>
          </w:tcPr>
          <w:p>
            <w:pPr>
              <w:spacing w:line="240" w:lineRule="auto" w:after="0" w:before="0"/>
            </w:pPr>
            <w:r/>
            <w:r>
              <w:rPr>
                <w:sz w:val="16"/>
              </w:rPr>
              <w:t>0.775 / 0.799 / 0.774</w:t>
            </w:r>
          </w:p>
        </w:tc>
        <w:tc>
          <w:tcPr>
            <w:tcW w:type="dxa" w:w="1296"/>
          </w:tcPr>
          <w:p>
            <w:pPr>
              <w:spacing w:line="240" w:lineRule="auto" w:after="0" w:before="0"/>
            </w:pPr>
            <w:r/>
            <w:r>
              <w:rPr>
                <w:sz w:val="16"/>
              </w:rPr>
              <w:t>0.253</w:t>
            </w:r>
          </w:p>
        </w:tc>
      </w:tr>
      <w:tr>
        <w:trPr>
          <w:cantSplit/>
        </w:trPr>
        <w:tc>
          <w:tcPr>
            <w:tcW w:type="dxa" w:w="1296"/>
          </w:tcPr>
          <w:p>
            <w:pPr>
              <w:spacing w:line="240" w:lineRule="auto" w:after="0" w:before="0"/>
            </w:pPr>
            <w:r/>
            <w:r>
              <w:rPr>
                <w:sz w:val="16"/>
              </w:rPr>
              <w:t>B2 (held out)</w:t>
            </w:r>
          </w:p>
        </w:tc>
        <w:tc>
          <w:tcPr>
            <w:tcW w:type="dxa" w:w="1296"/>
          </w:tcPr>
          <w:p>
            <w:pPr>
              <w:spacing w:line="240" w:lineRule="auto" w:after="0" w:before="0"/>
            </w:pPr>
            <w:r/>
            <w:r>
              <w:rPr>
                <w:sz w:val="16"/>
              </w:rPr>
              <w:t>logistic (L2)</w:t>
            </w:r>
          </w:p>
        </w:tc>
        <w:tc>
          <w:tcPr>
            <w:tcW w:type="dxa" w:w="1296"/>
          </w:tcPr>
          <w:p>
            <w:pPr>
              <w:spacing w:line="240" w:lineRule="auto" w:after="0" w:before="0"/>
            </w:pPr>
            <w:r/>
            <w:r>
              <w:rPr>
                <w:sz w:val="16"/>
              </w:rPr>
              <w:t>0.726</w:t>
            </w:r>
          </w:p>
        </w:tc>
        <w:tc>
          <w:tcPr>
            <w:tcW w:type="dxa" w:w="1296"/>
          </w:tcPr>
          <w:p>
            <w:pPr>
              <w:spacing w:line="240" w:lineRule="auto" w:after="0" w:before="0"/>
            </w:pPr>
            <w:r/>
            <w:r>
              <w:rPr>
                <w:sz w:val="16"/>
              </w:rPr>
              <w:t>0.052</w:t>
            </w:r>
          </w:p>
        </w:tc>
        <w:tc>
          <w:tcPr>
            <w:tcW w:type="dxa" w:w="1296"/>
          </w:tcPr>
          <w:p>
            <w:pPr>
              <w:spacing w:line="240" w:lineRule="auto" w:after="0" w:before="0"/>
            </w:pPr>
            <w:r/>
            <w:r>
              <w:rPr>
                <w:sz w:val="16"/>
              </w:rPr>
              <w:t>0.557</w:t>
            </w:r>
          </w:p>
        </w:tc>
        <w:tc>
          <w:tcPr>
            <w:tcW w:type="dxa" w:w="1296"/>
          </w:tcPr>
          <w:p>
            <w:pPr>
              <w:spacing w:line="240" w:lineRule="auto" w:after="0" w:before="0"/>
            </w:pPr>
            <w:r/>
            <w:r>
              <w:rPr>
                <w:sz w:val="16"/>
              </w:rPr>
              <w:t>0.709 / 0.778 / 0.783</w:t>
            </w:r>
          </w:p>
        </w:tc>
        <w:tc>
          <w:tcPr>
            <w:tcW w:type="dxa" w:w="1296"/>
          </w:tcPr>
          <w:p>
            <w:pPr>
              <w:spacing w:line="240" w:lineRule="auto" w:after="0" w:before="0"/>
            </w:pPr>
            <w:r/>
            <w:r>
              <w:rPr>
                <w:sz w:val="16"/>
              </w:rPr>
              <w:t>0.216</w:t>
            </w:r>
          </w:p>
        </w:tc>
      </w:tr>
      <w:tr>
        <w:trPr>
          <w:cantSplit/>
        </w:trPr>
        <w:tc>
          <w:tcPr>
            <w:tcW w:type="dxa" w:w="1296"/>
          </w:tcPr>
          <w:p>
            <w:pPr>
              <w:spacing w:line="240" w:lineRule="auto" w:after="0" w:before="0"/>
            </w:pPr>
            <w:r/>
            <w:r>
              <w:rPr>
                <w:sz w:val="16"/>
              </w:rPr>
              <w:t>B2 (held out)</w:t>
            </w:r>
          </w:p>
        </w:tc>
        <w:tc>
          <w:tcPr>
            <w:tcW w:type="dxa" w:w="1296"/>
          </w:tcPr>
          <w:p>
            <w:pPr>
              <w:spacing w:line="240" w:lineRule="auto" w:after="0" w:before="0"/>
            </w:pPr>
            <w:r/>
            <w:r>
              <w:rPr>
                <w:sz w:val="16"/>
              </w:rPr>
              <w:t>gradient boosting</w:t>
            </w:r>
          </w:p>
        </w:tc>
        <w:tc>
          <w:tcPr>
            <w:tcW w:type="dxa" w:w="1296"/>
          </w:tcPr>
          <w:p>
            <w:pPr>
              <w:spacing w:line="240" w:lineRule="auto" w:after="0" w:before="0"/>
            </w:pPr>
            <w:r/>
            <w:r>
              <w:rPr>
                <w:sz w:val="16"/>
              </w:rPr>
              <w:t>0.750</w:t>
            </w:r>
          </w:p>
        </w:tc>
        <w:tc>
          <w:tcPr>
            <w:tcW w:type="dxa" w:w="1296"/>
          </w:tcPr>
          <w:p>
            <w:pPr>
              <w:spacing w:line="240" w:lineRule="auto" w:after="0" w:before="0"/>
            </w:pPr>
            <w:r/>
            <w:r>
              <w:rPr>
                <w:sz w:val="16"/>
              </w:rPr>
              <w:t>0.068</w:t>
            </w:r>
          </w:p>
        </w:tc>
        <w:tc>
          <w:tcPr>
            <w:tcW w:type="dxa" w:w="1296"/>
          </w:tcPr>
          <w:p>
            <w:pPr>
              <w:spacing w:line="240" w:lineRule="auto" w:after="0" w:before="0"/>
            </w:pPr>
            <w:r/>
            <w:r>
              <w:rPr>
                <w:sz w:val="16"/>
              </w:rPr>
              <w:t>0.631</w:t>
            </w:r>
          </w:p>
        </w:tc>
        <w:tc>
          <w:tcPr>
            <w:tcW w:type="dxa" w:w="1296"/>
          </w:tcPr>
          <w:p>
            <w:pPr>
              <w:spacing w:line="240" w:lineRule="auto" w:after="0" w:before="0"/>
            </w:pPr>
            <w:r/>
            <w:r>
              <w:rPr>
                <w:sz w:val="16"/>
              </w:rPr>
              <w:t>0.774 / 0.765 / 0.786</w:t>
            </w:r>
          </w:p>
        </w:tc>
        <w:tc>
          <w:tcPr>
            <w:tcW w:type="dxa" w:w="1296"/>
          </w:tcPr>
          <w:p>
            <w:pPr>
              <w:spacing w:line="240" w:lineRule="auto" w:after="0" w:before="0"/>
            </w:pPr>
            <w:r/>
            <w:r>
              <w:rPr>
                <w:sz w:val="16"/>
              </w:rPr>
              <w:t>0.220</w:t>
            </w:r>
          </w:p>
        </w:tc>
      </w:tr>
      <w:tr>
        <w:trPr>
          <w:cantSplit/>
        </w:trPr>
        <w:tc>
          <w:tcPr>
            <w:tcW w:type="dxa" w:w="1296"/>
          </w:tcPr>
          <w:p>
            <w:pPr>
              <w:spacing w:line="240" w:lineRule="auto" w:after="0" w:before="0"/>
            </w:pPr>
            <w:r/>
            <w:r>
              <w:rPr>
                <w:sz w:val="16"/>
              </w:rPr>
              <w:t>reference: frozen engine v7 (labs only)</w:t>
            </w:r>
          </w:p>
        </w:tc>
        <w:tc>
          <w:tcPr>
            <w:tcW w:type="dxa" w:w="1296"/>
          </w:tcPr>
          <w:p>
            <w:pPr>
              <w:spacing w:line="240" w:lineRule="auto" w:after="0" w:before="0"/>
            </w:pPr>
            <w:r/>
            <w:r>
              <w:rPr>
                <w:sz w:val="16"/>
              </w:rPr>
              <w:t>rules</w:t>
            </w:r>
          </w:p>
        </w:tc>
        <w:tc>
          <w:tcPr>
            <w:tcW w:type="dxa" w:w="1296"/>
          </w:tcPr>
          <w:p>
            <w:pPr>
              <w:spacing w:line="240" w:lineRule="auto" w:after="0" w:before="0"/>
            </w:pPr>
            <w:r/>
            <w:r>
              <w:rPr>
                <w:sz w:val="16"/>
              </w:rPr>
              <w:t>—</w:t>
            </w:r>
          </w:p>
        </w:tc>
        <w:tc>
          <w:tcPr>
            <w:tcW w:type="dxa" w:w="1296"/>
          </w:tcPr>
          <w:p>
            <w:pPr>
              <w:spacing w:line="240" w:lineRule="auto" w:after="0" w:before="0"/>
            </w:pPr>
            <w:r/>
            <w:r>
              <w:rPr>
                <w:sz w:val="16"/>
              </w:rPr>
              <w:t>—</w:t>
            </w:r>
          </w:p>
        </w:tc>
        <w:tc>
          <w:tcPr>
            <w:tcW w:type="dxa" w:w="1296"/>
          </w:tcPr>
          <w:p>
            <w:pPr>
              <w:spacing w:line="240" w:lineRule="auto" w:after="0" w:before="0"/>
            </w:pPr>
            <w:r/>
            <w:r>
              <w:rPr>
                <w:sz w:val="16"/>
              </w:rPr>
              <w:t>0.600 / 0.610 / 0.588 (A / B / B2)</w:t>
            </w:r>
          </w:p>
        </w:tc>
        <w:tc>
          <w:tcPr>
            <w:tcW w:type="dxa" w:w="1296"/>
          </w:tcPr>
          <w:p>
            <w:pPr>
              <w:spacing w:line="240" w:lineRule="auto" w:after="0" w:before="0"/>
            </w:pPr>
            <w:r/>
            <w:r>
              <w:rPr>
                <w:sz w:val="16"/>
              </w:rPr>
              <w:t>—</w:t>
            </w:r>
          </w:p>
        </w:tc>
        <w:tc>
          <w:tcPr>
            <w:tcW w:type="dxa" w:w="1296"/>
          </w:tcPr>
          <w:p>
            <w:pPr>
              <w:spacing w:line="240" w:lineRule="auto" w:after="0" w:before="0"/>
            </w:pPr>
            <w:r/>
            <w:r>
              <w:rPr>
                <w:sz w:val="16"/>
              </w:rPr>
              <w:t>—</w:t>
            </w:r>
          </w:p>
        </w:tc>
      </w:tr>
    </w:tbl>
    <w:p/>
    <w:p>
      <w:r>
        <w:t>Largest standardised logistic coefficients (signed): respiratory rate +0.49, hours since ICU admission +0.45, creatinine +0.39, base-excess missing −0.35, MAP missing −0.33, SBP missing +0.31, shock index −0.28, heart rate +0.26, 12-h maximum temperature +0.23. Measurement-availability flags carry signal in this dataset (sampling intensity), a known property of the challenge data; the module is reported with its contributing features so each alert can be inspected. The boosting hyper-parameters were regularised once after a first look at set B (training AUROC 0.997 / B 0.719 in the first configuration); B2 was not opened until the final configuration.</w:t>
      </w:r>
    </w:p>
    <w:p>
      <w:pPr>
        <w:pStyle w:val="Heading1"/>
      </w:pPr>
      <w:r>
        <w:rPr>
          <w:rFonts w:ascii="Times New Roman" w:hAnsi="Times New Roman" w:eastAsia="Times New Roman" w:cs="Times New Roman"/>
          <w:b/>
          <w:i w:val="0"/>
          <w:color w:val="000000"/>
        </w:rPr>
        <w:t>Supplementary Note 7 — Evidence triage of the twelve post-review improvement proposals (2026-10-26)</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cantSplit/>
          <w:tblHeader/>
        </w:trPr>
        <w:tc>
          <w:tcPr>
            <w:tcW w:type="dxa" w:w="1814"/>
            <w:shd w:val="clear" w:fill="F2F2F2"/>
          </w:tcPr>
          <w:p>
            <w:pPr>
              <w:spacing w:line="240" w:lineRule="auto" w:after="0" w:before="0"/>
            </w:pPr>
            <w:r>
              <w:rPr>
                <w:b/>
              </w:rPr>
            </w:r>
            <w:r>
              <w:rPr>
                <w:b/>
                <w:sz w:val="16"/>
              </w:rPr>
              <w:t>#</w:t>
            </w:r>
          </w:p>
        </w:tc>
        <w:tc>
          <w:tcPr>
            <w:tcW w:type="dxa" w:w="1814"/>
            <w:shd w:val="clear" w:fill="F2F2F2"/>
          </w:tcPr>
          <w:p>
            <w:pPr>
              <w:spacing w:line="240" w:lineRule="auto" w:after="0" w:before="0"/>
            </w:pPr>
            <w:r>
              <w:rPr>
                <w:b/>
              </w:rPr>
            </w:r>
            <w:r>
              <w:rPr>
                <w:b/>
                <w:sz w:val="16"/>
              </w:rPr>
              <w:t>proposal</w:t>
            </w:r>
          </w:p>
        </w:tc>
        <w:tc>
          <w:tcPr>
            <w:tcW w:type="dxa" w:w="1814"/>
            <w:shd w:val="clear" w:fill="F2F2F2"/>
          </w:tcPr>
          <w:p>
            <w:pPr>
              <w:spacing w:line="240" w:lineRule="auto" w:after="0" w:before="0"/>
            </w:pPr>
            <w:r>
              <w:rPr>
                <w:b/>
              </w:rPr>
            </w:r>
            <w:r>
              <w:rPr>
                <w:b/>
                <w:sz w:val="16"/>
              </w:rPr>
              <w:t>evidence on frozen v7 artefacts</w:t>
            </w:r>
          </w:p>
        </w:tc>
        <w:tc>
          <w:tcPr>
            <w:tcW w:type="dxa" w:w="1814"/>
            <w:shd w:val="clear" w:fill="F2F2F2"/>
          </w:tcPr>
          <w:p>
            <w:pPr>
              <w:spacing w:line="240" w:lineRule="auto" w:after="0" w:before="0"/>
            </w:pPr>
            <w:r>
              <w:rPr>
                <w:b/>
              </w:rPr>
            </w:r>
            <w:r>
              <w:rPr>
                <w:b/>
                <w:sz w:val="16"/>
              </w:rPr>
              <w:t>verdict</w:t>
            </w:r>
          </w:p>
        </w:tc>
        <w:tc>
          <w:tcPr>
            <w:tcW w:type="dxa" w:w="1814"/>
            <w:shd w:val="clear" w:fill="F2F2F2"/>
          </w:tcPr>
          <w:p>
            <w:pPr>
              <w:spacing w:line="240" w:lineRule="auto" w:after="0" w:before="0"/>
            </w:pPr>
            <w:r>
              <w:rPr>
                <w:b/>
              </w:rPr>
            </w:r>
            <w:r>
              <w:rPr>
                <w:b/>
                <w:sz w:val="16"/>
              </w:rPr>
              <w:t>v8 action</w:t>
            </w:r>
          </w:p>
        </w:tc>
      </w:tr>
      <w:tr>
        <w:trPr>
          <w:cantSplit/>
        </w:trPr>
        <w:tc>
          <w:tcPr>
            <w:tcW w:type="dxa" w:w="1814"/>
          </w:tcPr>
          <w:p>
            <w:pPr>
              <w:spacing w:line="240" w:lineRule="auto" w:after="0" w:before="0"/>
            </w:pPr>
            <w:r/>
            <w:r>
              <w:rPr>
                <w:sz w:val="16"/>
              </w:rPr>
              <w:t>1</w:t>
            </w:r>
          </w:p>
        </w:tc>
        <w:tc>
          <w:tcPr>
            <w:tcW w:type="dxa" w:w="1814"/>
          </w:tcPr>
          <w:p>
            <w:pPr>
              <w:spacing w:line="240" w:lineRule="auto" w:after="0" w:before="0"/>
            </w:pPr>
            <w:r/>
            <w:r>
              <w:rPr>
                <w:sz w:val="16"/>
              </w:rPr>
              <w:t>Hybrid rule + interpretable ML for sepsis with vitals, time and utility score</w:t>
            </w:r>
          </w:p>
        </w:tc>
        <w:tc>
          <w:tcPr>
            <w:tcW w:type="dxa" w:w="1814"/>
          </w:tcPr>
          <w:p>
            <w:pPr>
              <w:spacing w:line="240" w:lineRule="auto" w:after="0" w:before="0"/>
            </w:pPr>
            <w:r/>
            <w:r>
              <w:rPr>
                <w:sz w:val="16"/>
              </w:rPr>
              <w:t>companion model: Table S16</w:t>
            </w:r>
          </w:p>
        </w:tc>
        <w:tc>
          <w:tcPr>
            <w:tcW w:type="dxa" w:w="1814"/>
          </w:tcPr>
          <w:p>
            <w:pPr>
              <w:spacing w:line="240" w:lineRule="auto" w:after="0" w:before="0"/>
            </w:pPr>
            <w:r/>
            <w:r>
              <w:rPr>
                <w:sz w:val="16"/>
              </w:rPr>
              <w:t>supported (modest gain)</w:t>
            </w:r>
          </w:p>
        </w:tc>
        <w:tc>
          <w:tcPr>
            <w:tcW w:type="dxa" w:w="1814"/>
          </w:tcPr>
          <w:p>
            <w:pPr>
              <w:spacing w:line="240" w:lineRule="auto" w:after="0" w:before="0"/>
            </w:pPr>
            <w:r/>
            <w:r>
              <w:rPr>
                <w:sz w:val="16"/>
              </w:rPr>
              <w:t>engine-external module, labelled predictive</w:t>
            </w:r>
          </w:p>
        </w:tc>
      </w:tr>
      <w:tr>
        <w:trPr>
          <w:cantSplit/>
        </w:trPr>
        <w:tc>
          <w:tcPr>
            <w:tcW w:type="dxa" w:w="1814"/>
          </w:tcPr>
          <w:p>
            <w:pPr>
              <w:spacing w:line="240" w:lineRule="auto" w:after="0" w:before="0"/>
            </w:pPr>
            <w:r/>
            <w:r>
              <w:rPr>
                <w:sz w:val="16"/>
              </w:rPr>
              <w:t>2a</w:t>
            </w:r>
          </w:p>
        </w:tc>
        <w:tc>
          <w:tcPr>
            <w:tcW w:type="dxa" w:w="1814"/>
          </w:tcPr>
          <w:p>
            <w:pPr>
              <w:spacing w:line="240" w:lineRule="auto" w:after="0" w:before="0"/>
            </w:pPr>
            <w:r/>
            <w:r>
              <w:rPr>
                <w:sz w:val="16"/>
              </w:rPr>
              <w:t>Evidence-state thresholding / adaptive truncation for precision@5</w:t>
            </w:r>
          </w:p>
        </w:tc>
        <w:tc>
          <w:tcPr>
            <w:tcW w:type="dxa" w:w="1814"/>
          </w:tcPr>
          <w:p>
            <w:pPr>
              <w:spacing w:line="240" w:lineRule="auto" w:after="0" w:before="0"/>
            </w:pPr>
            <w:r/>
            <w:r>
              <w:rPr>
                <w:sz w:val="16"/>
              </w:rPr>
              <w:t>precision vs recall on v7 top-5: k = 5 14.2 / 60.8; relative ≥ 0.6 15.3 / 58.8; relative ≥ 0.8 18.1 / 48.9; absolute ≥ 0.6 19.0 / 53.5; absolute ≥ 0.7 23.3 / 43.3; absolute ≥ 0.8 25.7 / 23.4; gap &gt; 0.15 16.7 / 45.4; k = 3 16.5 / 47.9; ceiling under perfect ranking ≈ 21%</w:t>
            </w:r>
          </w:p>
        </w:tc>
        <w:tc>
          <w:tcPr>
            <w:tcW w:type="dxa" w:w="1814"/>
          </w:tcPr>
          <w:p>
            <w:pPr>
              <w:spacing w:line="240" w:lineRule="auto" w:after="0" w:before="0"/>
            </w:pPr>
            <w:r/>
            <w:r>
              <w:rPr>
                <w:sz w:val="16"/>
              </w:rPr>
              <w:t>refuted as an accuracy gain</w:t>
            </w:r>
          </w:p>
        </w:tc>
        <w:tc>
          <w:tcPr>
            <w:tcW w:type="dxa" w:w="1814"/>
          </w:tcPr>
          <w:p>
            <w:pPr>
              <w:spacing w:line="240" w:lineRule="auto" w:after="0" w:before="0"/>
            </w:pPr>
            <w:r/>
            <w:r>
              <w:rPr>
                <w:sz w:val="16"/>
              </w:rPr>
              <w:t xml:space="preserve">descriptive </w:t>
            </w:r>
            <w:r>
              <w:rPr>
                <w:rFonts w:ascii="Courier New" w:hAnsi="Courier New" w:eastAsia="Courier New" w:cs="Courier New"/>
                <w:color w:val="000000"/>
                <w:sz w:val="16"/>
              </w:rPr>
              <w:t>confidence_band</w:t>
            </w:r>
            <w:r>
              <w:rPr>
                <w:sz w:val="16"/>
              </w:rPr>
              <w:t>, no ranking change</w:t>
            </w:r>
          </w:p>
        </w:tc>
      </w:tr>
      <w:tr>
        <w:trPr>
          <w:cantSplit/>
        </w:trPr>
        <w:tc>
          <w:tcPr>
            <w:tcW w:type="dxa" w:w="1814"/>
          </w:tcPr>
          <w:p>
            <w:pPr>
              <w:spacing w:line="240" w:lineRule="auto" w:after="0" w:before="0"/>
            </w:pPr>
            <w:r/>
            <w:r>
              <w:rPr>
                <w:sz w:val="16"/>
              </w:rPr>
              <w:t>2b</w:t>
            </w:r>
          </w:p>
        </w:tc>
        <w:tc>
          <w:tcPr>
            <w:tcW w:type="dxa" w:w="1814"/>
          </w:tcPr>
          <w:p>
            <w:pPr>
              <w:spacing w:line="240" w:lineRule="auto" w:after="0" w:before="0"/>
            </w:pPr>
            <w:r/>
            <w:r>
              <w:rPr>
                <w:sz w:val="16"/>
              </w:rPr>
              <w:t>Asymmetric covering-diagnosis suppression (DKA, GI bleed, pancreatitis)</w:t>
            </w:r>
          </w:p>
        </w:tc>
        <w:tc>
          <w:tcPr>
            <w:tcW w:type="dxa" w:w="1814"/>
          </w:tcPr>
          <w:p>
            <w:pPr>
              <w:spacing w:line="240" w:lineRule="auto" w:after="0" w:before="0"/>
            </w:pPr>
            <w:r/>
            <w:r>
              <w:rPr>
                <w:sz w:val="16"/>
              </w:rPr>
              <w:t>DKA 107 coded: 68 top-5, 7 at 6–10, 26 absent; absent stays lack HCO₃/anion gap/ketones; entities above DKA when missed: diabetes 23, AKI 22, sepsis 18</w:t>
            </w:r>
          </w:p>
        </w:tc>
        <w:tc>
          <w:tcPr>
            <w:tcW w:type="dxa" w:w="1814"/>
          </w:tcPr>
          <w:p>
            <w:pPr>
              <w:spacing w:line="240" w:lineRule="auto" w:after="0" w:before="0"/>
            </w:pPr>
            <w:r/>
            <w:r>
              <w:rPr>
                <w:sz w:val="16"/>
              </w:rPr>
              <w:t>refuted (missing criterion, not suppression)</w:t>
            </w:r>
          </w:p>
        </w:tc>
        <w:tc>
          <w:tcPr>
            <w:tcW w:type="dxa" w:w="1814"/>
          </w:tcPr>
          <w:p>
            <w:pPr>
              <w:spacing w:line="240" w:lineRule="auto" w:after="0" w:before="0"/>
            </w:pPr>
            <w:r/>
            <w:r>
              <w:rPr>
                <w:sz w:val="16"/>
              </w:rPr>
              <w:t>none</w:t>
            </w:r>
          </w:p>
        </w:tc>
      </w:tr>
      <w:tr>
        <w:trPr>
          <w:cantSplit/>
        </w:trPr>
        <w:tc>
          <w:tcPr>
            <w:tcW w:type="dxa" w:w="1814"/>
          </w:tcPr>
          <w:p>
            <w:pPr>
              <w:spacing w:line="240" w:lineRule="auto" w:after="0" w:before="0"/>
            </w:pPr>
            <w:r/>
            <w:r>
              <w:rPr>
                <w:sz w:val="16"/>
              </w:rPr>
              <w:t>3</w:t>
            </w:r>
          </w:p>
        </w:tc>
        <w:tc>
          <w:tcPr>
            <w:tcW w:type="dxa" w:w="1814"/>
          </w:tcPr>
          <w:p>
            <w:pPr>
              <w:spacing w:line="240" w:lineRule="auto" w:after="0" w:before="0"/>
            </w:pPr>
            <w:r/>
            <w:r>
              <w:rPr>
                <w:sz w:val="16"/>
              </w:rPr>
              <w:t>Remove or revive the four 'inert' fusion layers</w:t>
            </w:r>
          </w:p>
        </w:tc>
        <w:tc>
          <w:tcPr>
            <w:tcW w:type="dxa" w:w="1814"/>
          </w:tcPr>
          <w:p>
            <w:pPr>
              <w:spacing w:line="240" w:lineRule="auto" w:after="0" w:before="0"/>
            </w:pPr>
            <w:r/>
            <w:r>
              <w:rPr>
                <w:sz w:val="16"/>
              </w:rPr>
              <w:t>ablation Δ flat@5: Bayesian −1.3, fuzzy +0.3, graph +0.1, risk 0.0; fuzzy/risk carry perturbation robustness and the documented risk models</w:t>
            </w:r>
          </w:p>
        </w:tc>
        <w:tc>
          <w:tcPr>
            <w:tcW w:type="dxa" w:w="1814"/>
          </w:tcPr>
          <w:p>
            <w:pPr>
              <w:spacing w:line="240" w:lineRule="auto" w:after="0" w:before="0"/>
            </w:pPr>
            <w:r/>
            <w:r>
              <w:rPr>
                <w:sz w:val="16"/>
              </w:rPr>
              <w:t>partly</w:t>
            </w:r>
          </w:p>
        </w:tc>
        <w:tc>
          <w:tcPr>
            <w:tcW w:type="dxa" w:w="1814"/>
          </w:tcPr>
          <w:p>
            <w:pPr>
              <w:spacing w:line="240" w:lineRule="auto" w:after="0" w:before="0"/>
            </w:pPr>
            <w:r/>
            <w:r>
              <w:rPr>
                <w:sz w:val="16"/>
              </w:rPr>
              <w:t>kept; reported as such</w:t>
            </w:r>
          </w:p>
        </w:tc>
      </w:tr>
      <w:tr>
        <w:trPr>
          <w:cantSplit/>
        </w:trPr>
        <w:tc>
          <w:tcPr>
            <w:tcW w:type="dxa" w:w="1814"/>
          </w:tcPr>
          <w:p>
            <w:pPr>
              <w:spacing w:line="240" w:lineRule="auto" w:after="0" w:before="0"/>
            </w:pPr>
            <w:r/>
            <w:r>
              <w:rPr>
                <w:sz w:val="16"/>
              </w:rPr>
              <w:t>4</w:t>
            </w:r>
          </w:p>
        </w:tc>
        <w:tc>
          <w:tcPr>
            <w:tcW w:type="dxa" w:w="1814"/>
          </w:tcPr>
          <w:p>
            <w:pPr>
              <w:spacing w:line="240" w:lineRule="auto" w:after="0" w:before="0"/>
            </w:pPr>
            <w:r/>
            <w:r>
              <w:rPr>
                <w:sz w:val="16"/>
              </w:rPr>
              <w:t>'Probable' tiers for CKD, leukocytosis, diabetes</w:t>
            </w:r>
          </w:p>
        </w:tc>
        <w:tc>
          <w:tcPr>
            <w:tcW w:type="dxa" w:w="1814"/>
          </w:tcPr>
          <w:p>
            <w:pPr>
              <w:spacing w:line="240" w:lineRule="auto" w:after="0" w:before="0"/>
            </w:pPr>
            <w:r/>
            <w:r>
              <w:rPr>
                <w:sz w:val="16"/>
              </w:rPr>
              <w:t xml:space="preserve">CKD surfaces as </w:t>
            </w:r>
            <w:r>
              <w:rPr>
                <w:rFonts w:ascii="Courier New" w:hAnsi="Courier New" w:eastAsia="Courier New" w:cs="Courier New"/>
                <w:color w:val="000000"/>
                <w:sz w:val="16"/>
              </w:rPr>
              <w:t>reduced_gfr_chronicity_undetermined</w:t>
            </w:r>
            <w:r>
              <w:rPr>
                <w:sz w:val="16"/>
              </w:rPr>
              <w:t xml:space="preserve"> (renal union 255 vs 250); leukocytosis correctly nested under sepsis; diabetes absent stays lack HbA1c with glucose &lt; 200 mg/dL</w:t>
            </w:r>
          </w:p>
        </w:tc>
        <w:tc>
          <w:tcPr>
            <w:tcW w:type="dxa" w:w="1814"/>
          </w:tcPr>
          <w:p>
            <w:pPr>
              <w:spacing w:line="240" w:lineRule="auto" w:after="0" w:before="0"/>
            </w:pPr>
            <w:r/>
            <w:r>
              <w:rPr>
                <w:sz w:val="16"/>
              </w:rPr>
              <w:t>refuted (would create false positives)</w:t>
            </w:r>
          </w:p>
        </w:tc>
        <w:tc>
          <w:tcPr>
            <w:tcW w:type="dxa" w:w="1814"/>
          </w:tcPr>
          <w:p>
            <w:pPr>
              <w:spacing w:line="240" w:lineRule="auto" w:after="0" w:before="0"/>
            </w:pPr>
            <w:r/>
            <w:r>
              <w:rPr>
                <w:sz w:val="16"/>
              </w:rPr>
              <w:t>none</w:t>
            </w:r>
          </w:p>
        </w:tc>
      </w:tr>
      <w:tr>
        <w:trPr>
          <w:cantSplit/>
        </w:trPr>
        <w:tc>
          <w:tcPr>
            <w:tcW w:type="dxa" w:w="1814"/>
          </w:tcPr>
          <w:p>
            <w:pPr>
              <w:spacing w:line="240" w:lineRule="auto" w:after="0" w:before="0"/>
            </w:pPr>
            <w:r/>
            <w:r>
              <w:rPr>
                <w:sz w:val="16"/>
              </w:rPr>
              <w:t>5</w:t>
            </w:r>
          </w:p>
        </w:tc>
        <w:tc>
          <w:tcPr>
            <w:tcW w:type="dxa" w:w="1814"/>
          </w:tcPr>
          <w:p>
            <w:pPr>
              <w:spacing w:line="240" w:lineRule="auto" w:after="0" w:before="0"/>
            </w:pPr>
            <w:r/>
            <w:r>
              <w:rPr>
                <w:sz w:val="16"/>
              </w:rPr>
              <w:t xml:space="preserve">Prune registry, drop 28 </w:t>
            </w:r>
            <w:r>
              <w:rPr>
                <w:rFonts w:ascii="Courier New" w:hAnsi="Courier New" w:eastAsia="Courier New" w:cs="Courier New"/>
                <w:color w:val="000000"/>
                <w:sz w:val="16"/>
              </w:rPr>
              <w:t>unverified_source</w:t>
            </w:r>
            <w:r>
              <w:rPr>
                <w:sz w:val="16"/>
              </w:rPr>
              <w:t xml:space="preserve"> rules, remove 388 unused sources</w:t>
            </w:r>
          </w:p>
        </w:tc>
        <w:tc>
          <w:tcPr>
            <w:tcW w:type="dxa" w:w="1814"/>
          </w:tcPr>
          <w:p>
            <w:pPr>
              <w:spacing w:line="240" w:lineRule="auto" w:after="0" w:before="0"/>
            </w:pPr>
            <w:r/>
            <w:r>
              <w:rPr>
                <w:sz w:val="16"/>
              </w:rPr>
              <w:t>the 28 rules are correct toxicology/transfusion/endocrine thresholds; ablation 0.0 only because eICU has no such cases</w:t>
            </w:r>
          </w:p>
        </w:tc>
        <w:tc>
          <w:tcPr>
            <w:tcW w:type="dxa" w:w="1814"/>
          </w:tcPr>
          <w:p>
            <w:pPr>
              <w:spacing w:line="240" w:lineRule="auto" w:after="0" w:before="0"/>
            </w:pPr>
            <w:r/>
            <w:r>
              <w:rPr>
                <w:sz w:val="16"/>
              </w:rPr>
              <w:t>partly</w:t>
            </w:r>
          </w:p>
        </w:tc>
        <w:tc>
          <w:tcPr>
            <w:tcW w:type="dxa" w:w="1814"/>
          </w:tcPr>
          <w:p>
            <w:pPr>
              <w:spacing w:line="240" w:lineRule="auto" w:after="0" w:before="0"/>
            </w:pPr>
            <w:r/>
            <w:r>
              <w:rPr>
                <w:sz w:val="16"/>
              </w:rPr>
              <w:t>registry 14.2.0: re-sourced with 13 Crossref DOIs; 0 unverified; unused sources retained as provenance</w:t>
            </w:r>
          </w:p>
        </w:tc>
      </w:tr>
      <w:tr>
        <w:trPr>
          <w:cantSplit/>
        </w:trPr>
        <w:tc>
          <w:tcPr>
            <w:tcW w:type="dxa" w:w="1814"/>
          </w:tcPr>
          <w:p>
            <w:pPr>
              <w:spacing w:line="240" w:lineRule="auto" w:after="0" w:before="0"/>
            </w:pPr>
            <w:r/>
            <w:r>
              <w:rPr>
                <w:sz w:val="16"/>
              </w:rPr>
              <w:t>6</w:t>
            </w:r>
          </w:p>
        </w:tc>
        <w:tc>
          <w:tcPr>
            <w:tcW w:type="dxa" w:w="1814"/>
          </w:tcPr>
          <w:p>
            <w:pPr>
              <w:spacing w:line="240" w:lineRule="auto" w:after="0" w:before="0"/>
            </w:pPr>
            <w:r/>
            <w:r>
              <w:rPr>
                <w:sz w:val="16"/>
              </w:rPr>
              <w:t>Audit and expand the syndrome layer</w:t>
            </w:r>
          </w:p>
        </w:tc>
        <w:tc>
          <w:tcPr>
            <w:tcW w:type="dxa" w:w="1814"/>
          </w:tcPr>
          <w:p>
            <w:pPr>
              <w:spacing w:line="240" w:lineRule="auto" w:after="0" w:before="0"/>
            </w:pPr>
            <w:r/>
            <w:r>
              <w:rPr>
                <w:sz w:val="16"/>
              </w:rPr>
              <w:t>no matched evaluation set for new syndromes</w:t>
            </w:r>
          </w:p>
        </w:tc>
        <w:tc>
          <w:tcPr>
            <w:tcW w:type="dxa" w:w="1814"/>
          </w:tcPr>
          <w:p>
            <w:pPr>
              <w:spacing w:line="240" w:lineRule="auto" w:after="0" w:before="0"/>
            </w:pPr>
            <w:r/>
            <w:r>
              <w:rPr>
                <w:sz w:val="16"/>
              </w:rPr>
              <w:t>deferred</w:t>
            </w:r>
          </w:p>
        </w:tc>
        <w:tc>
          <w:tcPr>
            <w:tcW w:type="dxa" w:w="1814"/>
          </w:tcPr>
          <w:p>
            <w:pPr>
              <w:spacing w:line="240" w:lineRule="auto" w:after="0" w:before="0"/>
            </w:pPr>
            <w:r/>
            <w:r>
              <w:rPr>
                <w:sz w:val="16"/>
              </w:rPr>
              <w:t>clinician audit (resource)</w:t>
            </w:r>
          </w:p>
        </w:tc>
      </w:tr>
      <w:tr>
        <w:trPr>
          <w:cantSplit/>
        </w:trPr>
        <w:tc>
          <w:tcPr>
            <w:tcW w:type="dxa" w:w="1814"/>
          </w:tcPr>
          <w:p>
            <w:pPr>
              <w:spacing w:line="240" w:lineRule="auto" w:after="0" w:before="0"/>
            </w:pPr>
            <w:r/>
            <w:r>
              <w:rPr>
                <w:sz w:val="16"/>
              </w:rPr>
              <w:t>7</w:t>
            </w:r>
          </w:p>
        </w:tc>
        <w:tc>
          <w:tcPr>
            <w:tcW w:type="dxa" w:w="1814"/>
          </w:tcPr>
          <w:p>
            <w:pPr>
              <w:spacing w:line="240" w:lineRule="auto" w:after="0" w:before="0"/>
            </w:pPr>
            <w:r/>
            <w:r>
              <w:rPr>
                <w:sz w:val="16"/>
              </w:rPr>
              <w:t>Medication/history context as risk and trend rules</w:t>
            </w:r>
          </w:p>
        </w:tc>
        <w:tc>
          <w:tcPr>
            <w:tcW w:type="dxa" w:w="1814"/>
          </w:tcPr>
          <w:p>
            <w:pPr>
              <w:spacing w:line="240" w:lineRule="auto" w:after="0" w:before="0"/>
            </w:pPr>
            <w:r/>
            <w:r>
              <w:rPr>
                <w:sz w:val="16"/>
              </w:rPr>
              <w:t xml:space="preserve">context predicates and </w:t>
            </w:r>
            <w:r>
              <w:rPr>
                <w:rFonts w:ascii="Courier New" w:hAnsi="Courier New" w:eastAsia="Courier New" w:cs="Courier New"/>
                <w:color w:val="000000"/>
                <w:sz w:val="16"/>
              </w:rPr>
              <w:t>documented_history</w:t>
            </w:r>
            <w:r>
              <w:rPr>
                <w:sz w:val="16"/>
              </w:rPr>
              <w:t xml:space="preserve"> tier already present; not measurable on labs-only eICU</w:t>
            </w:r>
          </w:p>
        </w:tc>
        <w:tc>
          <w:tcPr>
            <w:tcW w:type="dxa" w:w="1814"/>
          </w:tcPr>
          <w:p>
            <w:pPr>
              <w:spacing w:line="240" w:lineRule="auto" w:after="0" w:before="0"/>
            </w:pPr>
            <w:r/>
            <w:r>
              <w:rPr>
                <w:sz w:val="16"/>
              </w:rPr>
              <w:t>already present</w:t>
            </w:r>
          </w:p>
        </w:tc>
        <w:tc>
          <w:tcPr>
            <w:tcW w:type="dxa" w:w="1814"/>
          </w:tcPr>
          <w:p>
            <w:pPr>
              <w:spacing w:line="240" w:lineRule="auto" w:after="0" w:before="0"/>
            </w:pPr>
            <w:r/>
            <w:r>
              <w:rPr>
                <w:sz w:val="16"/>
              </w:rPr>
              <w:t>none</w:t>
            </w:r>
          </w:p>
        </w:tc>
      </w:tr>
      <w:tr>
        <w:trPr>
          <w:cantSplit/>
        </w:trPr>
        <w:tc>
          <w:tcPr>
            <w:tcW w:type="dxa" w:w="1814"/>
          </w:tcPr>
          <w:p>
            <w:pPr>
              <w:spacing w:line="240" w:lineRule="auto" w:after="0" w:before="0"/>
            </w:pPr>
            <w:r/>
            <w:r>
              <w:rPr>
                <w:sz w:val="16"/>
              </w:rPr>
              <w:t>8</w:t>
            </w:r>
          </w:p>
        </w:tc>
        <w:tc>
          <w:tcPr>
            <w:tcW w:type="dxa" w:w="1814"/>
          </w:tcPr>
          <w:p>
            <w:pPr>
              <w:spacing w:line="240" w:lineRule="auto" w:after="0" w:before="0"/>
            </w:pPr>
            <w:r/>
            <w:r>
              <w:rPr>
                <w:sz w:val="16"/>
              </w:rPr>
              <w:t>Derived indices (NLR, PLR, MELD, Child-Pugh, CURB-65, HAS-BLED, CHA₂DS₂-VASc, APRI, BARD, corrected Ca, osmolal gap, delta-delta)</w:t>
            </w:r>
          </w:p>
        </w:tc>
        <w:tc>
          <w:tcPr>
            <w:tcW w:type="dxa" w:w="1814"/>
          </w:tcPr>
          <w:p>
            <w:pPr>
              <w:spacing w:line="240" w:lineRule="auto" w:after="0" w:before="0"/>
            </w:pPr>
            <w:r/>
            <w:r>
              <w:rPr>
                <w:sz w:val="16"/>
              </w:rPr>
              <w:t>present: corrected Ca, NLR, delta ratio, osmolal gap, effective osmolality, glucose-corrected Na, FIB-4, APRI, HOMA; scores needing clinical inputs excluded</w:t>
            </w:r>
          </w:p>
        </w:tc>
        <w:tc>
          <w:tcPr>
            <w:tcW w:type="dxa" w:w="1814"/>
          </w:tcPr>
          <w:p>
            <w:pPr>
              <w:spacing w:line="240" w:lineRule="auto" w:after="0" w:before="0"/>
            </w:pPr>
            <w:r/>
            <w:r>
              <w:rPr>
                <w:sz w:val="16"/>
              </w:rPr>
              <w:t>partly</w:t>
            </w:r>
          </w:p>
        </w:tc>
        <w:tc>
          <w:tcPr>
            <w:tcW w:type="dxa" w:w="1814"/>
          </w:tcPr>
          <w:p>
            <w:pPr>
              <w:spacing w:line="240" w:lineRule="auto" w:after="0" w:before="0"/>
            </w:pPr>
            <w:r/>
            <w:r>
              <w:rPr>
                <w:sz w:val="16"/>
              </w:rPr>
              <w:t>MELD/MELD-Na and PLR added</w:t>
            </w:r>
          </w:p>
        </w:tc>
      </w:tr>
      <w:tr>
        <w:trPr>
          <w:cantSplit/>
        </w:trPr>
        <w:tc>
          <w:tcPr>
            <w:tcW w:type="dxa" w:w="1814"/>
          </w:tcPr>
          <w:p>
            <w:pPr>
              <w:spacing w:line="240" w:lineRule="auto" w:after="0" w:before="0"/>
            </w:pPr>
            <w:r/>
            <w:r>
              <w:rPr>
                <w:sz w:val="16"/>
              </w:rPr>
              <w:t>9</w:t>
            </w:r>
          </w:p>
        </w:tc>
        <w:tc>
          <w:tcPr>
            <w:tcW w:type="dxa" w:w="1814"/>
          </w:tcPr>
          <w:p>
            <w:pPr>
              <w:spacing w:line="240" w:lineRule="auto" w:after="0" w:before="0"/>
            </w:pPr>
            <w:r/>
            <w:r>
              <w:rPr>
                <w:sz w:val="16"/>
              </w:rPr>
              <w:t>Post-hoc calibration map with disclosure</w:t>
            </w:r>
          </w:p>
        </w:tc>
        <w:tc>
          <w:tcPr>
            <w:tcW w:type="dxa" w:w="1814"/>
          </w:tcPr>
          <w:p>
            <w:pPr>
              <w:spacing w:line="240" w:lineRule="auto" w:after="0" w:before="0"/>
            </w:pPr>
            <w:r/>
            <w:r>
              <w:rPr>
                <w:sz w:val="16"/>
              </w:rPr>
              <w:t>already in v7 (ECE 0.162 → 0.003; Fig. 8, Table S10)</w:t>
            </w:r>
          </w:p>
        </w:tc>
        <w:tc>
          <w:tcPr>
            <w:tcW w:type="dxa" w:w="1814"/>
          </w:tcPr>
          <w:p>
            <w:pPr>
              <w:spacing w:line="240" w:lineRule="auto" w:after="0" w:before="0"/>
            </w:pPr>
            <w:r/>
            <w:r>
              <w:rPr>
                <w:sz w:val="16"/>
              </w:rPr>
              <w:t>already present</w:t>
            </w:r>
          </w:p>
        </w:tc>
        <w:tc>
          <w:tcPr>
            <w:tcW w:type="dxa" w:w="1814"/>
          </w:tcPr>
          <w:p>
            <w:pPr>
              <w:spacing w:line="240" w:lineRule="auto" w:after="0" w:before="0"/>
            </w:pPr>
            <w:r/>
            <w:r>
              <w:rPr>
                <w:sz w:val="16"/>
              </w:rPr>
              <w:t>none</w:t>
            </w:r>
          </w:p>
        </w:tc>
      </w:tr>
      <w:tr>
        <w:trPr>
          <w:cantSplit/>
        </w:trPr>
        <w:tc>
          <w:tcPr>
            <w:tcW w:type="dxa" w:w="1814"/>
          </w:tcPr>
          <w:p>
            <w:pPr>
              <w:spacing w:line="240" w:lineRule="auto" w:after="0" w:before="0"/>
            </w:pPr>
            <w:r/>
            <w:r>
              <w:rPr>
                <w:sz w:val="16"/>
              </w:rPr>
              <w:t>10</w:t>
            </w:r>
          </w:p>
        </w:tc>
        <w:tc>
          <w:tcPr>
            <w:tcW w:type="dxa" w:w="1814"/>
          </w:tcPr>
          <w:p>
            <w:pPr>
              <w:spacing w:line="240" w:lineRule="auto" w:after="0" w:before="0"/>
            </w:pPr>
            <w:r/>
            <w:r>
              <w:rPr>
                <w:sz w:val="16"/>
              </w:rPr>
              <w:t>Thyroid and liver rules</w:t>
            </w:r>
          </w:p>
        </w:tc>
        <w:tc>
          <w:tcPr>
            <w:tcW w:type="dxa" w:w="1814"/>
          </w:tcPr>
          <w:p>
            <w:pPr>
              <w:spacing w:line="240" w:lineRule="auto" w:after="0" w:before="0"/>
            </w:pPr>
            <w:r/>
            <w:r>
              <w:rPr>
                <w:sz w:val="16"/>
              </w:rPr>
              <w:t>thyroid AUROC 0.979 (TSH) / 0.798 (self-report); HCV 0.925; ILPD 0.704 (label noise)</w:t>
            </w:r>
          </w:p>
        </w:tc>
        <w:tc>
          <w:tcPr>
            <w:tcW w:type="dxa" w:w="1814"/>
          </w:tcPr>
          <w:p>
            <w:pPr>
              <w:spacing w:line="240" w:lineRule="auto" w:after="0" w:before="0"/>
            </w:pPr>
            <w:r/>
            <w:r>
              <w:rPr>
                <w:sz w:val="16"/>
              </w:rPr>
              <w:t>no action supported</w:t>
            </w:r>
          </w:p>
        </w:tc>
        <w:tc>
          <w:tcPr>
            <w:tcW w:type="dxa" w:w="1814"/>
          </w:tcPr>
          <w:p>
            <w:pPr>
              <w:spacing w:line="240" w:lineRule="auto" w:after="0" w:before="0"/>
            </w:pPr>
            <w:r/>
            <w:r>
              <w:rPr>
                <w:sz w:val="16"/>
              </w:rPr>
              <w:t>none</w:t>
            </w:r>
          </w:p>
        </w:tc>
      </w:tr>
      <w:tr>
        <w:trPr>
          <w:cantSplit/>
        </w:trPr>
        <w:tc>
          <w:tcPr>
            <w:tcW w:type="dxa" w:w="1814"/>
          </w:tcPr>
          <w:p>
            <w:pPr>
              <w:spacing w:line="240" w:lineRule="auto" w:after="0" w:before="0"/>
            </w:pPr>
            <w:r/>
            <w:r>
              <w:rPr>
                <w:sz w:val="16"/>
              </w:rPr>
              <w:t>11</w:t>
            </w:r>
          </w:p>
        </w:tc>
        <w:tc>
          <w:tcPr>
            <w:tcW w:type="dxa" w:w="1814"/>
          </w:tcPr>
          <w:p>
            <w:pPr>
              <w:spacing w:line="240" w:lineRule="auto" w:after="0" w:before="0"/>
            </w:pPr>
            <w:r/>
            <w:r>
              <w:rPr>
                <w:sz w:val="16"/>
              </w:rPr>
              <w:t>Fuzzy thresholds for perturbation</w:t>
            </w:r>
          </w:p>
        </w:tc>
        <w:tc>
          <w:tcPr>
            <w:tcW w:type="dxa" w:w="1814"/>
          </w:tcPr>
          <w:p>
            <w:pPr>
              <w:spacing w:line="240" w:lineRule="auto" w:after="0" w:before="0"/>
            </w:pPr>
            <w:r/>
            <w:r>
              <w:rPr>
                <w:sz w:val="16"/>
              </w:rPr>
              <w:t>fuzzy layer active; 753/755 by design</w:t>
            </w:r>
          </w:p>
        </w:tc>
        <w:tc>
          <w:tcPr>
            <w:tcW w:type="dxa" w:w="1814"/>
          </w:tcPr>
          <w:p>
            <w:pPr>
              <w:spacing w:line="240" w:lineRule="auto" w:after="0" w:before="0"/>
            </w:pPr>
            <w:r/>
            <w:r>
              <w:rPr>
                <w:sz w:val="16"/>
              </w:rPr>
              <w:t>already present</w:t>
            </w:r>
          </w:p>
        </w:tc>
        <w:tc>
          <w:tcPr>
            <w:tcW w:type="dxa" w:w="1814"/>
          </w:tcPr>
          <w:p>
            <w:pPr>
              <w:spacing w:line="240" w:lineRule="auto" w:after="0" w:before="0"/>
            </w:pPr>
            <w:r/>
            <w:r>
              <w:rPr>
                <w:sz w:val="16"/>
              </w:rPr>
              <w:t>none</w:t>
            </w:r>
          </w:p>
        </w:tc>
      </w:tr>
      <w:tr>
        <w:trPr>
          <w:cantSplit/>
        </w:trPr>
        <w:tc>
          <w:tcPr>
            <w:tcW w:type="dxa" w:w="1814"/>
          </w:tcPr>
          <w:p>
            <w:pPr>
              <w:spacing w:line="240" w:lineRule="auto" w:after="0" w:before="0"/>
            </w:pPr>
            <w:r/>
            <w:r>
              <w:rPr>
                <w:sz w:val="16"/>
              </w:rPr>
              <w:t>12</w:t>
            </w:r>
          </w:p>
        </w:tc>
        <w:tc>
          <w:tcPr>
            <w:tcW w:type="dxa" w:w="1814"/>
          </w:tcPr>
          <w:p>
            <w:pPr>
              <w:spacing w:line="240" w:lineRule="auto" w:after="0" w:before="0"/>
            </w:pPr>
            <w:r/>
            <w:r>
              <w:rPr>
                <w:sz w:val="16"/>
              </w:rPr>
              <w:t>LLM extraction front end; path A/B/C on 'untrained'</w:t>
            </w:r>
          </w:p>
        </w:tc>
        <w:tc>
          <w:tcPr>
            <w:tcW w:type="dxa" w:w="1814"/>
          </w:tcPr>
          <w:p>
            <w:pPr>
              <w:spacing w:line="240" w:lineRule="auto" w:after="0" w:before="0"/>
            </w:pPr>
            <w:r/>
            <w:r>
              <w:rPr>
                <w:sz w:val="16"/>
              </w:rPr>
              <w:t>path C: engine stays untrained; supervised components only as labelled companions</w:t>
            </w:r>
          </w:p>
        </w:tc>
        <w:tc>
          <w:tcPr>
            <w:tcW w:type="dxa" w:w="1814"/>
          </w:tcPr>
          <w:p>
            <w:pPr>
              <w:spacing w:line="240" w:lineRule="auto" w:after="0" w:before="0"/>
            </w:pPr>
            <w:r/>
            <w:r>
              <w:rPr>
                <w:sz w:val="16"/>
              </w:rPr>
              <w:t>decided</w:t>
            </w:r>
          </w:p>
        </w:tc>
        <w:tc>
          <w:tcPr>
            <w:tcW w:type="dxa" w:w="1814"/>
          </w:tcPr>
          <w:p>
            <w:pPr>
              <w:spacing w:line="240" w:lineRule="auto" w:after="0" w:before="0"/>
            </w:pPr>
            <w:r/>
            <w:r>
              <w:rPr>
                <w:sz w:val="16"/>
              </w:rPr>
              <w:t>item 1 is the first such component</w:t>
            </w:r>
          </w:p>
        </w:tc>
      </w:tr>
    </w:tbl>
    <w:p/>
    <w:p>
      <w:r>
        <w:t xml:space="preserve">Gate for v8 : batteries 151/151, 124/124, 77/78 (same pre-existing miss); healthy sweep 0/1,000; perturbation 753/755; 680 unit tests passed + 4 new; eICU labs-only counts identical to v7 in every group. The Supplementary Note 6 manifest refers to the v7 artefacts; the v8 registry (14.2.0) is archived at </w:t>
      </w:r>
      <w:r>
        <w:rPr>
          <w:rFonts w:ascii="Courier New" w:hAnsi="Courier New" w:eastAsia="Courier New" w:cs="Courier New"/>
          <w:color w:val="000000"/>
          <w:sz w:val="22"/>
        </w:rPr>
        <w:t>release/registry_14.2.0/</w:t>
      </w:r>
      <w:r>
        <w:t xml:space="preserve"> with SHA-256 sums and the v7 registry at </w:t>
      </w:r>
      <w:r>
        <w:rPr>
          <w:rFonts w:ascii="Courier New" w:hAnsi="Courier New" w:eastAsia="Courier New" w:cs="Courier New"/>
          <w:color w:val="000000"/>
          <w:sz w:val="22"/>
        </w:rPr>
        <w:t>release/registry_14.1.0/</w:t>
      </w:r>
      <w:r>
        <w:t>.</w:t>
      </w:r>
    </w:p>
    <w:p>
      <w:pPr>
        <w:pStyle w:val="Heading1"/>
      </w:pPr>
      <w:r>
        <w:rPr>
          <w:rFonts w:ascii="Times New Roman" w:hAnsi="Times New Roman" w:eastAsia="Times New Roman" w:cs="Times New Roman"/>
          <w:b/>
          <w:i w:val="0"/>
          <w:color w:val="000000"/>
        </w:rPr>
        <w:t>Supplementary Note 8 — Source-concordance audit of 200 sampled rules (non-clinical; added in revision round 9, 2026-10-26)</w:t>
      </w:r>
    </w:p>
    <w:p>
      <w:r>
        <w:rPr>
          <w:b/>
        </w:rPr>
        <w:t>Purpose and scope.</w:t>
      </w:r>
      <w:r>
        <w:t xml:space="preserve"> This audit asks one narrow question: does the executable rule transcribe what its cited source says</w:t>
      </w:r>
    </w:p>
    <w:p>
      <w:r>
        <w:t xml:space="preserve">(analyte, operator/threshold, population qualifier, disease attribution)? It does </w:t>
      </w:r>
      <w:r>
        <w:rPr>
          <w:b/>
        </w:rPr>
        <w:t>not</w:t>
      </w:r>
      <w:r>
        <w:t xml:space="preserve"> assess clinical validity: a rule</w:t>
      </w:r>
    </w:p>
    <w:p>
      <w:r>
        <w:t>can be transcribed perfectly and still be clinically wrong, and no clinician took part. The protocol was frozen before</w:t>
      </w:r>
    </w:p>
    <w:p>
      <w:r>
        <w:t>sampling (</w:t>
      </w:r>
      <w:r>
        <w:rPr>
          <w:rFonts w:ascii="Courier New" w:hAnsi="Courier New" w:eastAsia="Courier New" w:cs="Courier New"/>
          <w:color w:val="000000"/>
          <w:sz w:val="22"/>
        </w:rPr>
        <w:t>eval/source_audit/PROTOCOL.md</w:t>
      </w:r>
      <w:r>
        <w:t>).</w:t>
      </w:r>
    </w:p>
    <w:p>
      <w:r>
        <w:rPr>
          <w:b/>
        </w:rPr>
        <w:t>Sampling.</w:t>
      </w:r>
      <w:r>
        <w:t xml:space="preserve"> Seed 20261026; 100 of the 272 curated anchor rules (stratum A); 100 executable candidates (stratum B), split</w:t>
      </w:r>
    </w:p>
    <w:p>
      <w:r>
        <w:t>50/50 between B1 "eICU-relevant" (feature present in &gt;= 50 % of eICU first panels and disease in an evaluated label group;</w:t>
      </w:r>
    </w:p>
    <w:p>
      <w:r>
        <w:t>141 eligible) and B2 uniform from the remaining 32,760 candidates. Registry 14.1.0 (frozen v7).</w:t>
      </w:r>
    </w:p>
    <w:p>
      <w:r>
        <w:rPr>
          <w:b/>
        </w:rPr>
        <w:t>Source retrieval.</w:t>
      </w:r>
      <w:r>
        <w:t xml:space="preserve"> The 200 rules cite 92 unique locators. From the audit sandbox, 43 returned HTTP 403 (publisher</w:t>
      </w:r>
    </w:p>
    <w:p>
      <w:r>
        <w:t>paywalls: Wiley, OUP, Lippincott, Endocrine Society, AHA, ADA), 7 returned 404/406 (including the WHO essential</w:t>
      </w:r>
    </w:p>
    <w:p>
      <w:r>
        <w:t>diagnostics list URL cited by 13 rules and both kdigo.org guideline pages, whose PDFs were then retrieved directly), and 42</w:t>
      </w:r>
    </w:p>
    <w:p>
      <w:r>
        <w:t>returned a page; for paywalled DOIs the Crossref title and PubMed abstract were obtained instead. Net: 12 rules had no</w:t>
      </w:r>
    </w:p>
    <w:p>
      <w:r>
        <w:t>retrievable text at all, 55 only a title/abstract, 46 cite only generic methodological sources (WHO essential diagnostics</w:t>
      </w:r>
    </w:p>
    <w:p>
      <w:r>
        <w:t>list, CLSI EP28, CLSI C59) that cannot by construction contain a disease-specific threshold, and 71 a landing page or a</w:t>
      </w:r>
    </w:p>
    <w:p>
      <w:r>
        <w:t>full text in which the specific statement was looked for.</w:t>
      </w:r>
    </w:p>
    <w:p>
      <w:r>
        <w:rPr>
          <w:b/>
        </w:rPr>
        <w:t>Labels (single rater: AI agent, declared; see Addendum).</w:t>
      </w:r>
      <w:r>
        <w:t xml:space="preserve"> Tie-break: when in doubt,</w:t>
      </w:r>
    </w:p>
    <w:p>
      <w:r>
        <w:t>UNRESOLVABLE, never CONCORDANT. A rule was called DISCORDANT only when a reachable source was clearly about a different</w:t>
      </w:r>
    </w:p>
    <w:p>
      <w:r>
        <w:t>disease (attribution error) or when a retrieved full text was on-topic and demonstrably did not contain the rule's</w:t>
      </w:r>
    </w:p>
    <w:p>
      <w:r>
        <w:t>threshold or definition.</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cantSplit/>
          <w:tblHeader/>
        </w:trPr>
        <w:tc>
          <w:tcPr>
            <w:tcW w:type="dxa" w:w="1134"/>
            <w:shd w:val="clear" w:fill="F2F2F2"/>
          </w:tcPr>
          <w:p>
            <w:pPr>
              <w:spacing w:line="240" w:lineRule="auto" w:after="0" w:before="0"/>
            </w:pPr>
            <w:r>
              <w:rPr>
                <w:b/>
              </w:rPr>
            </w:r>
            <w:r>
              <w:rPr>
                <w:b/>
                <w:sz w:val="16"/>
              </w:rPr>
              <w:t>Stratum</w:t>
            </w:r>
          </w:p>
        </w:tc>
        <w:tc>
          <w:tcPr>
            <w:tcW w:type="dxa" w:w="1134"/>
            <w:shd w:val="clear" w:fill="F2F2F2"/>
          </w:tcPr>
          <w:p>
            <w:pPr>
              <w:spacing w:line="240" w:lineRule="auto" w:after="0" w:before="0"/>
            </w:pPr>
            <w:r>
              <w:rPr>
                <w:b/>
              </w:rPr>
            </w:r>
            <w:r>
              <w:rPr>
                <w:b/>
                <w:sz w:val="16"/>
              </w:rPr>
              <w:t>n</w:t>
            </w:r>
          </w:p>
        </w:tc>
        <w:tc>
          <w:tcPr>
            <w:tcW w:type="dxa" w:w="1134"/>
            <w:shd w:val="clear" w:fill="F2F2F2"/>
          </w:tcPr>
          <w:p>
            <w:pPr>
              <w:spacing w:line="240" w:lineRule="auto" w:after="0" w:before="0"/>
            </w:pPr>
            <w:r>
              <w:rPr>
                <w:b/>
              </w:rPr>
            </w:r>
            <w:r>
              <w:rPr>
                <w:b/>
                <w:sz w:val="16"/>
              </w:rPr>
              <w:t>Concordant</w:t>
            </w:r>
          </w:p>
        </w:tc>
        <w:tc>
          <w:tcPr>
            <w:tcW w:type="dxa" w:w="1134"/>
            <w:shd w:val="clear" w:fill="F2F2F2"/>
          </w:tcPr>
          <w:p>
            <w:pPr>
              <w:spacing w:line="240" w:lineRule="auto" w:after="0" w:before="0"/>
            </w:pPr>
            <w:r>
              <w:rPr>
                <w:b/>
              </w:rPr>
            </w:r>
            <w:r>
              <w:rPr>
                <w:b/>
                <w:sz w:val="16"/>
              </w:rPr>
              <w:t>Discordant</w:t>
            </w:r>
          </w:p>
        </w:tc>
        <w:tc>
          <w:tcPr>
            <w:tcW w:type="dxa" w:w="1134"/>
            <w:shd w:val="clear" w:fill="F2F2F2"/>
          </w:tcPr>
          <w:p>
            <w:pPr>
              <w:spacing w:line="240" w:lineRule="auto" w:after="0" w:before="0"/>
            </w:pPr>
            <w:r>
              <w:rPr>
                <w:b/>
              </w:rPr>
            </w:r>
            <w:r>
              <w:rPr>
                <w:b/>
                <w:sz w:val="16"/>
              </w:rPr>
              <w:t>Unresolvable</w:t>
            </w:r>
          </w:p>
        </w:tc>
        <w:tc>
          <w:tcPr>
            <w:tcW w:type="dxa" w:w="1134"/>
            <w:shd w:val="clear" w:fill="F2F2F2"/>
          </w:tcPr>
          <w:p>
            <w:pPr>
              <w:spacing w:line="240" w:lineRule="auto" w:after="0" w:before="0"/>
            </w:pPr>
            <w:r>
              <w:rPr>
                <w:b/>
              </w:rPr>
            </w:r>
            <w:r>
              <w:rPr>
                <w:b/>
                <w:sz w:val="16"/>
              </w:rPr>
              <w:t>Discordant / resolvable (Wilson 95 % CI)</w:t>
            </w:r>
          </w:p>
        </w:tc>
        <w:tc>
          <w:tcPr>
            <w:tcW w:type="dxa" w:w="1134"/>
            <w:shd w:val="clear" w:fill="F2F2F2"/>
          </w:tcPr>
          <w:p>
            <w:pPr>
              <w:spacing w:line="240" w:lineRule="auto" w:after="0" w:before="0"/>
            </w:pPr>
            <w:r>
              <w:rPr>
                <w:b/>
              </w:rPr>
            </w:r>
            <w:r>
              <w:rPr>
                <w:b/>
                <w:sz w:val="16"/>
              </w:rPr>
              <w:t>Discordant / all (95 % CI)</w:t>
            </w:r>
          </w:p>
        </w:tc>
        <w:tc>
          <w:tcPr>
            <w:tcW w:type="dxa" w:w="1134"/>
            <w:shd w:val="clear" w:fill="F2F2F2"/>
          </w:tcPr>
          <w:p>
            <w:pPr>
              <w:spacing w:line="240" w:lineRule="auto" w:after="0" w:before="0"/>
            </w:pPr>
            <w:r>
              <w:rPr>
                <w:b/>
              </w:rPr>
            </w:r>
            <w:r>
              <w:rPr>
                <w:b/>
                <w:sz w:val="16"/>
              </w:rPr>
              <w:t>Unresolvable / all (95 % CI)</w:t>
            </w:r>
          </w:p>
        </w:tc>
      </w:tr>
      <w:tr>
        <w:trPr>
          <w:cantSplit/>
        </w:trPr>
        <w:tc>
          <w:tcPr>
            <w:tcW w:type="dxa" w:w="1134"/>
          </w:tcPr>
          <w:p>
            <w:pPr>
              <w:spacing w:line="240" w:lineRule="auto" w:after="0" w:before="0"/>
            </w:pPr>
            <w:r/>
            <w:r>
              <w:rPr>
                <w:sz w:val="16"/>
              </w:rPr>
              <w:t>A anchors</w:t>
            </w:r>
          </w:p>
        </w:tc>
        <w:tc>
          <w:tcPr>
            <w:tcW w:type="dxa" w:w="1134"/>
          </w:tcPr>
          <w:p>
            <w:pPr>
              <w:spacing w:line="240" w:lineRule="auto" w:after="0" w:before="0"/>
            </w:pPr>
            <w:r/>
            <w:r>
              <w:rPr>
                <w:sz w:val="16"/>
              </w:rPr>
              <w:t>100</w:t>
            </w:r>
          </w:p>
        </w:tc>
        <w:tc>
          <w:tcPr>
            <w:tcW w:type="dxa" w:w="1134"/>
          </w:tcPr>
          <w:p>
            <w:pPr>
              <w:spacing w:line="240" w:lineRule="auto" w:after="0" w:before="0"/>
            </w:pPr>
            <w:r/>
            <w:r>
              <w:rPr>
                <w:sz w:val="16"/>
              </w:rPr>
              <w:t>1</w:t>
            </w:r>
          </w:p>
        </w:tc>
        <w:tc>
          <w:tcPr>
            <w:tcW w:type="dxa" w:w="1134"/>
          </w:tcPr>
          <w:p>
            <w:pPr>
              <w:spacing w:line="240" w:lineRule="auto" w:after="0" w:before="0"/>
            </w:pPr>
            <w:r/>
            <w:r>
              <w:rPr>
                <w:sz w:val="16"/>
              </w:rPr>
              <w:t>7</w:t>
            </w:r>
          </w:p>
        </w:tc>
        <w:tc>
          <w:tcPr>
            <w:tcW w:type="dxa" w:w="1134"/>
          </w:tcPr>
          <w:p>
            <w:pPr>
              <w:spacing w:line="240" w:lineRule="auto" w:after="0" w:before="0"/>
            </w:pPr>
            <w:r/>
            <w:r>
              <w:rPr>
                <w:sz w:val="16"/>
              </w:rPr>
              <w:t>92</w:t>
            </w:r>
          </w:p>
        </w:tc>
        <w:tc>
          <w:tcPr>
            <w:tcW w:type="dxa" w:w="1134"/>
          </w:tcPr>
          <w:p>
            <w:pPr>
              <w:spacing w:line="240" w:lineRule="auto" w:after="0" w:before="0"/>
            </w:pPr>
            <w:r/>
            <w:r>
              <w:rPr>
                <w:sz w:val="16"/>
              </w:rPr>
              <w:t>7/8 = 87.5 % (52.9–97.8)</w:t>
            </w:r>
          </w:p>
        </w:tc>
        <w:tc>
          <w:tcPr>
            <w:tcW w:type="dxa" w:w="1134"/>
          </w:tcPr>
          <w:p>
            <w:pPr>
              <w:spacing w:line="240" w:lineRule="auto" w:after="0" w:before="0"/>
            </w:pPr>
            <w:r/>
            <w:r>
              <w:rPr>
                <w:sz w:val="16"/>
              </w:rPr>
              <w:t>7.0 % (3.4–13.7)</w:t>
            </w:r>
          </w:p>
        </w:tc>
        <w:tc>
          <w:tcPr>
            <w:tcW w:type="dxa" w:w="1134"/>
          </w:tcPr>
          <w:p>
            <w:pPr>
              <w:spacing w:line="240" w:lineRule="auto" w:after="0" w:before="0"/>
            </w:pPr>
            <w:r/>
            <w:r>
              <w:rPr>
                <w:sz w:val="16"/>
              </w:rPr>
              <w:t>92.0 % (85.0–95.9)</w:t>
            </w:r>
          </w:p>
        </w:tc>
      </w:tr>
      <w:tr>
        <w:trPr>
          <w:cantSplit/>
        </w:trPr>
        <w:tc>
          <w:tcPr>
            <w:tcW w:type="dxa" w:w="1134"/>
          </w:tcPr>
          <w:p>
            <w:pPr>
              <w:spacing w:line="240" w:lineRule="auto" w:after="0" w:before="0"/>
            </w:pPr>
            <w:r/>
            <w:r>
              <w:rPr>
                <w:sz w:val="16"/>
              </w:rPr>
              <w:t>B1 eICU-relevant candidates</w:t>
            </w:r>
          </w:p>
        </w:tc>
        <w:tc>
          <w:tcPr>
            <w:tcW w:type="dxa" w:w="1134"/>
          </w:tcPr>
          <w:p>
            <w:pPr>
              <w:spacing w:line="240" w:lineRule="auto" w:after="0" w:before="0"/>
            </w:pPr>
            <w:r/>
            <w:r>
              <w:rPr>
                <w:sz w:val="16"/>
              </w:rPr>
              <w:t>50</w:t>
            </w:r>
          </w:p>
        </w:tc>
        <w:tc>
          <w:tcPr>
            <w:tcW w:type="dxa" w:w="1134"/>
          </w:tcPr>
          <w:p>
            <w:pPr>
              <w:spacing w:line="240" w:lineRule="auto" w:after="0" w:before="0"/>
            </w:pPr>
            <w:r/>
            <w:r>
              <w:rPr>
                <w:sz w:val="16"/>
              </w:rPr>
              <w:t>0</w:t>
            </w:r>
          </w:p>
        </w:tc>
        <w:tc>
          <w:tcPr>
            <w:tcW w:type="dxa" w:w="1134"/>
          </w:tcPr>
          <w:p>
            <w:pPr>
              <w:spacing w:line="240" w:lineRule="auto" w:after="0" w:before="0"/>
            </w:pPr>
            <w:r/>
            <w:r>
              <w:rPr>
                <w:sz w:val="16"/>
              </w:rPr>
              <w:t>7</w:t>
            </w:r>
          </w:p>
        </w:tc>
        <w:tc>
          <w:tcPr>
            <w:tcW w:type="dxa" w:w="1134"/>
          </w:tcPr>
          <w:p>
            <w:pPr>
              <w:spacing w:line="240" w:lineRule="auto" w:after="0" w:before="0"/>
            </w:pPr>
            <w:r/>
            <w:r>
              <w:rPr>
                <w:sz w:val="16"/>
              </w:rPr>
              <w:t>43</w:t>
            </w:r>
          </w:p>
        </w:tc>
        <w:tc>
          <w:tcPr>
            <w:tcW w:type="dxa" w:w="1134"/>
          </w:tcPr>
          <w:p>
            <w:pPr>
              <w:spacing w:line="240" w:lineRule="auto" w:after="0" w:before="0"/>
            </w:pPr>
            <w:r/>
            <w:r>
              <w:rPr>
                <w:sz w:val="16"/>
              </w:rPr>
              <w:t>7/7 = 100 % (64.6–100)</w:t>
            </w:r>
          </w:p>
        </w:tc>
        <w:tc>
          <w:tcPr>
            <w:tcW w:type="dxa" w:w="1134"/>
          </w:tcPr>
          <w:p>
            <w:pPr>
              <w:spacing w:line="240" w:lineRule="auto" w:after="0" w:before="0"/>
            </w:pPr>
            <w:r/>
            <w:r>
              <w:rPr>
                <w:sz w:val="16"/>
              </w:rPr>
              <w:t>14.0 % (7.0–26.2)</w:t>
            </w:r>
          </w:p>
        </w:tc>
        <w:tc>
          <w:tcPr>
            <w:tcW w:type="dxa" w:w="1134"/>
          </w:tcPr>
          <w:p>
            <w:pPr>
              <w:spacing w:line="240" w:lineRule="auto" w:after="0" w:before="0"/>
            </w:pPr>
            <w:r/>
            <w:r>
              <w:rPr>
                <w:sz w:val="16"/>
              </w:rPr>
              <w:t>86.0 % (73.8–93.0)</w:t>
            </w:r>
          </w:p>
        </w:tc>
      </w:tr>
      <w:tr>
        <w:trPr>
          <w:cantSplit/>
        </w:trPr>
        <w:tc>
          <w:tcPr>
            <w:tcW w:type="dxa" w:w="1134"/>
          </w:tcPr>
          <w:p>
            <w:pPr>
              <w:spacing w:line="240" w:lineRule="auto" w:after="0" w:before="0"/>
            </w:pPr>
            <w:r/>
            <w:r>
              <w:rPr>
                <w:sz w:val="16"/>
              </w:rPr>
              <w:t>B2 other candidates</w:t>
            </w:r>
          </w:p>
        </w:tc>
        <w:tc>
          <w:tcPr>
            <w:tcW w:type="dxa" w:w="1134"/>
          </w:tcPr>
          <w:p>
            <w:pPr>
              <w:spacing w:line="240" w:lineRule="auto" w:after="0" w:before="0"/>
            </w:pPr>
            <w:r/>
            <w:r>
              <w:rPr>
                <w:sz w:val="16"/>
              </w:rPr>
              <w:t>50</w:t>
            </w:r>
          </w:p>
        </w:tc>
        <w:tc>
          <w:tcPr>
            <w:tcW w:type="dxa" w:w="1134"/>
          </w:tcPr>
          <w:p>
            <w:pPr>
              <w:spacing w:line="240" w:lineRule="auto" w:after="0" w:before="0"/>
            </w:pPr>
            <w:r/>
            <w:r>
              <w:rPr>
                <w:sz w:val="16"/>
              </w:rPr>
              <w:t>0</w:t>
            </w:r>
          </w:p>
        </w:tc>
        <w:tc>
          <w:tcPr>
            <w:tcW w:type="dxa" w:w="1134"/>
          </w:tcPr>
          <w:p>
            <w:pPr>
              <w:spacing w:line="240" w:lineRule="auto" w:after="0" w:before="0"/>
            </w:pPr>
            <w:r/>
            <w:r>
              <w:rPr>
                <w:sz w:val="16"/>
              </w:rPr>
              <w:t>1</w:t>
            </w:r>
          </w:p>
        </w:tc>
        <w:tc>
          <w:tcPr>
            <w:tcW w:type="dxa" w:w="1134"/>
          </w:tcPr>
          <w:p>
            <w:pPr>
              <w:spacing w:line="240" w:lineRule="auto" w:after="0" w:before="0"/>
            </w:pPr>
            <w:r/>
            <w:r>
              <w:rPr>
                <w:sz w:val="16"/>
              </w:rPr>
              <w:t>49</w:t>
            </w:r>
          </w:p>
        </w:tc>
        <w:tc>
          <w:tcPr>
            <w:tcW w:type="dxa" w:w="1134"/>
          </w:tcPr>
          <w:p>
            <w:pPr>
              <w:spacing w:line="240" w:lineRule="auto" w:after="0" w:before="0"/>
            </w:pPr>
            <w:r/>
            <w:r>
              <w:rPr>
                <w:sz w:val="16"/>
              </w:rPr>
              <w:t>1/1 (20.7–100)</w:t>
            </w:r>
          </w:p>
        </w:tc>
        <w:tc>
          <w:tcPr>
            <w:tcW w:type="dxa" w:w="1134"/>
          </w:tcPr>
          <w:p>
            <w:pPr>
              <w:spacing w:line="240" w:lineRule="auto" w:after="0" w:before="0"/>
            </w:pPr>
            <w:r/>
            <w:r>
              <w:rPr>
                <w:sz w:val="16"/>
              </w:rPr>
              <w:t>2.0 % (0.4–10.5)</w:t>
            </w:r>
          </w:p>
        </w:tc>
        <w:tc>
          <w:tcPr>
            <w:tcW w:type="dxa" w:w="1134"/>
          </w:tcPr>
          <w:p>
            <w:pPr>
              <w:spacing w:line="240" w:lineRule="auto" w:after="0" w:before="0"/>
            </w:pPr>
            <w:r/>
            <w:r>
              <w:rPr>
                <w:sz w:val="16"/>
              </w:rPr>
              <w:t>98.0 % (89.5–99.6)</w:t>
            </w:r>
          </w:p>
        </w:tc>
      </w:tr>
      <w:tr>
        <w:trPr>
          <w:cantSplit/>
        </w:trPr>
        <w:tc>
          <w:tcPr>
            <w:tcW w:type="dxa" w:w="1134"/>
          </w:tcPr>
          <w:p>
            <w:pPr>
              <w:spacing w:line="240" w:lineRule="auto" w:after="0" w:before="0"/>
            </w:pPr>
            <w:r/>
            <w:r>
              <w:rPr>
                <w:sz w:val="16"/>
              </w:rPr>
              <w:t>All</w:t>
            </w:r>
          </w:p>
        </w:tc>
        <w:tc>
          <w:tcPr>
            <w:tcW w:type="dxa" w:w="1134"/>
          </w:tcPr>
          <w:p>
            <w:pPr>
              <w:spacing w:line="240" w:lineRule="auto" w:after="0" w:before="0"/>
            </w:pPr>
            <w:r/>
            <w:r>
              <w:rPr>
                <w:sz w:val="16"/>
              </w:rPr>
              <w:t>200</w:t>
            </w:r>
          </w:p>
        </w:tc>
        <w:tc>
          <w:tcPr>
            <w:tcW w:type="dxa" w:w="1134"/>
          </w:tcPr>
          <w:p>
            <w:pPr>
              <w:spacing w:line="240" w:lineRule="auto" w:after="0" w:before="0"/>
            </w:pPr>
            <w:r/>
            <w:r>
              <w:rPr>
                <w:sz w:val="16"/>
              </w:rPr>
              <w:t>1</w:t>
            </w:r>
          </w:p>
        </w:tc>
        <w:tc>
          <w:tcPr>
            <w:tcW w:type="dxa" w:w="1134"/>
          </w:tcPr>
          <w:p>
            <w:pPr>
              <w:spacing w:line="240" w:lineRule="auto" w:after="0" w:before="0"/>
            </w:pPr>
            <w:r/>
            <w:r>
              <w:rPr>
                <w:sz w:val="16"/>
              </w:rPr>
              <w:t>15</w:t>
            </w:r>
          </w:p>
        </w:tc>
        <w:tc>
          <w:tcPr>
            <w:tcW w:type="dxa" w:w="1134"/>
          </w:tcPr>
          <w:p>
            <w:pPr>
              <w:spacing w:line="240" w:lineRule="auto" w:after="0" w:before="0"/>
            </w:pPr>
            <w:r/>
            <w:r>
              <w:rPr>
                <w:sz w:val="16"/>
              </w:rPr>
              <w:t>184</w:t>
            </w:r>
          </w:p>
        </w:tc>
        <w:tc>
          <w:tcPr>
            <w:tcW w:type="dxa" w:w="1134"/>
          </w:tcPr>
          <w:p>
            <w:pPr>
              <w:spacing w:line="240" w:lineRule="auto" w:after="0" w:before="0"/>
            </w:pPr>
            <w:r/>
            <w:r>
              <w:rPr>
                <w:sz w:val="16"/>
              </w:rPr>
              <w:t>15/16 = 93.8 % (71.7–98.9)</w:t>
            </w:r>
          </w:p>
        </w:tc>
        <w:tc>
          <w:tcPr>
            <w:tcW w:type="dxa" w:w="1134"/>
          </w:tcPr>
          <w:p>
            <w:pPr>
              <w:spacing w:line="240" w:lineRule="auto" w:after="0" w:before="0"/>
            </w:pPr>
            <w:r/>
            <w:r>
              <w:rPr>
                <w:sz w:val="16"/>
              </w:rPr>
              <w:t>7.5 % (4.6–12.0)</w:t>
            </w:r>
          </w:p>
        </w:tc>
        <w:tc>
          <w:tcPr>
            <w:tcW w:type="dxa" w:w="1134"/>
          </w:tcPr>
          <w:p>
            <w:pPr>
              <w:spacing w:line="240" w:lineRule="auto" w:after="0" w:before="0"/>
            </w:pPr>
            <w:r/>
            <w:r>
              <w:rPr>
                <w:sz w:val="16"/>
              </w:rPr>
              <w:t>92.0 % (87.4–95.1)</w:t>
            </w:r>
          </w:p>
        </w:tc>
      </w:tr>
    </w:tbl>
    <w:p/>
    <w:p>
      <w:r>
        <w:rPr>
          <w:b/>
        </w:rPr>
        <w:t>How to read this.</w:t>
      </w:r>
      <w:r>
        <w:t xml:space="preserve"> The resolvable subset is tiny (16/200) and strongly selected: an attribution error is visible from a</w:t>
      </w:r>
    </w:p>
    <w:p>
      <w:r>
        <w:t xml:space="preserve">source </w:t>
      </w:r>
      <w:r>
        <w:rPr>
          <w:i/>
        </w:rPr>
        <w:t>title</w:t>
      </w:r>
      <w:r>
        <w:t xml:space="preserve">, whereas confirming concordance needs the </w:t>
      </w:r>
      <w:r>
        <w:rPr>
          <w:i/>
        </w:rPr>
        <w:t>full text</w:t>
      </w:r>
      <w:r>
        <w:t xml:space="preserve"> behind a paywall, so discordant rules are far easier</w:t>
      </w:r>
    </w:p>
    <w:p>
      <w:r>
        <w:t xml:space="preserve">to detect than concordant ones in this environment. The 94 % discordance among resolvable rules is therefore </w:t>
      </w:r>
      <w:r>
        <w:rPr>
          <w:b/>
        </w:rPr>
        <w:t>not</w:t>
      </w:r>
      <w:r>
        <w:t xml:space="preserve"> an</w:t>
      </w:r>
    </w:p>
    <w:p>
      <w:r>
        <w:t>estimate of the registry's discordance rate; the defensible statements are (i) at least 7.5 % (4.6–12.0) of sampled rules</w:t>
      </w:r>
    </w:p>
    <w:p>
      <w:r>
        <w:t>are demonstrably discordant with their cited source, (ii) 92 % could not be verified from the locator the registry</w:t>
      </w:r>
    </w:p>
    <w:p>
      <w:r>
        <w:t>provides, and (iii) the dominant failure is provenance granularity — organisation-level URLs, generic methodological</w:t>
      </w:r>
    </w:p>
    <w:p>
      <w:r>
        <w:t>standards and homepages instead of section-level citations — which makes the registry, as released, **not auditable</w:t>
      </w:r>
    </w:p>
    <w:p>
      <w:r>
        <w:t>rule-by-rule from its own locators*</w:t>
      </w:r>
      <w:r>
        <w:rPr>
          <w:i/>
        </w:rPr>
        <w:t xml:space="preserve">. Seven of the 15 discordances are attribution errors in </w:t>
      </w:r>
      <w:r>
        <w:t>curated anchors* (e.g. a</w:t>
      </w:r>
    </w:p>
    <w:p>
      <w:r>
        <w:t>hypernatraemia rule citing the hyponatraemia guideline; acquired haemophilia A citing the rare-coagulation-disorders</w:t>
      </w:r>
    </w:p>
    <w:p>
      <w:r>
        <w:t>guideline that excludes it); eight are thresholds or definitions absent from an on-topic source, the most consequential</w:t>
      </w:r>
    </w:p>
    <w:p>
      <w:r>
        <w:t>being an AKI "diagnostic criterion" defined by a fixed creatinine &gt; 1.1 mg/dL and attributed to KDIGO 2012, which defines</w:t>
      </w:r>
    </w:p>
    <w:p>
      <w:r>
        <w:t>AKI only by change from baseline (this candidate rule is one of the B1 rules most likely to have fired in eICU).</w:t>
      </w:r>
    </w:p>
    <w:p>
      <w:r>
        <w:rPr>
          <w:b/>
        </w:rPr>
        <w:t>Discordant rules (all 15, verbatim).</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268"/>
            <w:shd w:val="clear" w:fill="F2F2F2"/>
          </w:tcPr>
          <w:p>
            <w:pPr>
              <w:spacing w:line="240" w:lineRule="auto" w:after="0" w:before="0"/>
            </w:pPr>
            <w:r>
              <w:rPr>
                <w:b/>
              </w:rPr>
            </w:r>
            <w:r>
              <w:rPr>
                <w:b/>
                <w:sz w:val="16"/>
              </w:rPr>
              <w:t>rule_id</w:t>
            </w:r>
          </w:p>
        </w:tc>
        <w:tc>
          <w:tcPr>
            <w:tcW w:type="dxa" w:w="2268"/>
            <w:shd w:val="clear" w:fill="F2F2F2"/>
          </w:tcPr>
          <w:p>
            <w:pPr>
              <w:spacing w:line="240" w:lineRule="auto" w:after="0" w:before="0"/>
            </w:pPr>
            <w:r>
              <w:rPr>
                <w:b/>
              </w:rPr>
            </w:r>
            <w:r>
              <w:rPr>
                <w:b/>
                <w:sz w:val="16"/>
              </w:rPr>
              <w:t>stratum</w:t>
            </w:r>
          </w:p>
        </w:tc>
        <w:tc>
          <w:tcPr>
            <w:tcW w:type="dxa" w:w="2268"/>
            <w:shd w:val="clear" w:fill="F2F2F2"/>
          </w:tcPr>
          <w:p>
            <w:pPr>
              <w:spacing w:line="240" w:lineRule="auto" w:after="0" w:before="0"/>
            </w:pPr>
            <w:r>
              <w:rPr>
                <w:b/>
              </w:rPr>
            </w:r>
            <w:r>
              <w:rPr>
                <w:b/>
                <w:sz w:val="16"/>
              </w:rPr>
              <w:t>disease</w:t>
            </w:r>
          </w:p>
        </w:tc>
        <w:tc>
          <w:tcPr>
            <w:tcW w:type="dxa" w:w="2268"/>
            <w:shd w:val="clear" w:fill="F2F2F2"/>
          </w:tcPr>
          <w:p>
            <w:pPr>
              <w:spacing w:line="240" w:lineRule="auto" w:after="0" w:before="0"/>
            </w:pPr>
            <w:r>
              <w:rPr>
                <w:b/>
              </w:rPr>
            </w:r>
            <w:r>
              <w:rPr>
                <w:b/>
                <w:sz w:val="16"/>
              </w:rPr>
              <w:t>finding</w:t>
            </w:r>
          </w:p>
        </w:tc>
      </w:tr>
      <w:tr>
        <w:trPr>
          <w:cantSplit/>
        </w:trPr>
        <w:tc>
          <w:tcPr>
            <w:tcW w:type="dxa" w:w="2268"/>
          </w:tcPr>
          <w:p>
            <w:pPr>
              <w:spacing w:line="240" w:lineRule="auto" w:after="0" w:before="0"/>
            </w:pPr>
            <w:r/>
            <w:r>
              <w:rPr>
                <w:rFonts w:ascii="Courier New" w:hAnsi="Courier New" w:eastAsia="Courier New" w:cs="Courier New"/>
                <w:color w:val="000000"/>
                <w:sz w:val="16"/>
              </w:rPr>
              <w:t>hypernatremia_severe_155_cur13</w:t>
            </w:r>
          </w:p>
        </w:tc>
        <w:tc>
          <w:tcPr>
            <w:tcW w:type="dxa" w:w="2268"/>
          </w:tcPr>
          <w:p>
            <w:pPr>
              <w:spacing w:line="240" w:lineRule="auto" w:after="0" w:before="0"/>
            </w:pPr>
            <w:r/>
            <w:r>
              <w:rPr>
                <w:sz w:val="16"/>
              </w:rPr>
              <w:t>A</w:t>
            </w:r>
          </w:p>
        </w:tc>
        <w:tc>
          <w:tcPr>
            <w:tcW w:type="dxa" w:w="2268"/>
          </w:tcPr>
          <w:p>
            <w:pPr>
              <w:spacing w:line="240" w:lineRule="auto" w:after="0" w:before="0"/>
            </w:pPr>
            <w:r/>
            <w:r>
              <w:rPr>
                <w:sz w:val="16"/>
              </w:rPr>
              <w:t>hypernatremia</w:t>
            </w:r>
          </w:p>
        </w:tc>
        <w:tc>
          <w:tcPr>
            <w:tcW w:type="dxa" w:w="2268"/>
          </w:tcPr>
          <w:p>
            <w:pPr>
              <w:spacing w:line="240" w:lineRule="auto" w:after="0" w:before="0"/>
            </w:pPr>
            <w:r/>
            <w:r>
              <w:rPr>
                <w:sz w:val="16"/>
              </w:rPr>
              <w:t>attribution: hypernatraemia &gt;155 cites the EJE 2014 hyponatraemia guideline, which does not address hypernatraemia</w:t>
            </w:r>
          </w:p>
        </w:tc>
      </w:tr>
      <w:tr>
        <w:trPr>
          <w:cantSplit/>
        </w:trPr>
        <w:tc>
          <w:tcPr>
            <w:tcW w:type="dxa" w:w="2268"/>
          </w:tcPr>
          <w:p>
            <w:pPr>
              <w:spacing w:line="240" w:lineRule="auto" w:after="0" w:before="0"/>
            </w:pPr>
            <w:r/>
            <w:r>
              <w:rPr>
                <w:rFonts w:ascii="Courier New" w:hAnsi="Courier New" w:eastAsia="Courier New" w:cs="Courier New"/>
                <w:color w:val="000000"/>
                <w:sz w:val="16"/>
              </w:rPr>
              <w:t>pseudohypoparathyroidism_hypocalcemia_high_pth_normal_renal_cur13</w:t>
            </w:r>
          </w:p>
        </w:tc>
        <w:tc>
          <w:tcPr>
            <w:tcW w:type="dxa" w:w="2268"/>
          </w:tcPr>
          <w:p>
            <w:pPr>
              <w:spacing w:line="240" w:lineRule="auto" w:after="0" w:before="0"/>
            </w:pPr>
            <w:r/>
            <w:r>
              <w:rPr>
                <w:sz w:val="16"/>
              </w:rPr>
              <w:t>A</w:t>
            </w:r>
          </w:p>
        </w:tc>
        <w:tc>
          <w:tcPr>
            <w:tcW w:type="dxa" w:w="2268"/>
          </w:tcPr>
          <w:p>
            <w:pPr>
              <w:spacing w:line="240" w:lineRule="auto" w:after="0" w:before="0"/>
            </w:pPr>
            <w:r/>
            <w:r>
              <w:rPr>
                <w:sz w:val="16"/>
              </w:rPr>
              <w:t>pseudohypoparathyroidism</w:t>
            </w:r>
          </w:p>
        </w:tc>
        <w:tc>
          <w:tcPr>
            <w:tcW w:type="dxa" w:w="2268"/>
          </w:tcPr>
          <w:p>
            <w:pPr>
              <w:spacing w:line="240" w:lineRule="auto" w:after="0" w:before="0"/>
            </w:pPr>
            <w:r/>
            <w:r>
              <w:rPr>
                <w:sz w:val="16"/>
              </w:rPr>
              <w:t>attribution: pseudohypoparathyroidism criteria cite the primary hyperparathyroidism workshop guideline (different disease)</w:t>
            </w:r>
          </w:p>
        </w:tc>
      </w:tr>
      <w:tr>
        <w:trPr>
          <w:cantSplit/>
        </w:trPr>
        <w:tc>
          <w:tcPr>
            <w:tcW w:type="dxa" w:w="2268"/>
          </w:tcPr>
          <w:p>
            <w:pPr>
              <w:spacing w:line="240" w:lineRule="auto" w:after="0" w:before="0"/>
            </w:pPr>
            <w:r/>
            <w:r>
              <w:rPr>
                <w:rFonts w:ascii="Courier New" w:hAnsi="Courier New" w:eastAsia="Courier New" w:cs="Courier New"/>
                <w:color w:val="000000"/>
                <w:sz w:val="16"/>
              </w:rPr>
              <w:t>hypomagnesemia_severe_1_2_cur13</w:t>
            </w:r>
          </w:p>
        </w:tc>
        <w:tc>
          <w:tcPr>
            <w:tcW w:type="dxa" w:w="2268"/>
          </w:tcPr>
          <w:p>
            <w:pPr>
              <w:spacing w:line="240" w:lineRule="auto" w:after="0" w:before="0"/>
            </w:pPr>
            <w:r/>
            <w:r>
              <w:rPr>
                <w:sz w:val="16"/>
              </w:rPr>
              <w:t>A</w:t>
            </w:r>
          </w:p>
        </w:tc>
        <w:tc>
          <w:tcPr>
            <w:tcW w:type="dxa" w:w="2268"/>
          </w:tcPr>
          <w:p>
            <w:pPr>
              <w:spacing w:line="240" w:lineRule="auto" w:after="0" w:before="0"/>
            </w:pPr>
            <w:r/>
            <w:r>
              <w:rPr>
                <w:sz w:val="16"/>
              </w:rPr>
              <w:t>hypomagnesemia</w:t>
            </w:r>
          </w:p>
        </w:tc>
        <w:tc>
          <w:tcPr>
            <w:tcW w:type="dxa" w:w="2268"/>
          </w:tcPr>
          <w:p>
            <w:pPr>
              <w:spacing w:line="240" w:lineRule="auto" w:after="0" w:before="0"/>
            </w:pPr>
            <w:r/>
            <w:r>
              <w:rPr>
                <w:sz w:val="16"/>
              </w:rPr>
              <w:t>attribution: severe hypomagnesaemia &lt;1.2 mg/dL cites the KDIGO potassium/dyskalaemia conference report</w:t>
            </w:r>
          </w:p>
        </w:tc>
      </w:tr>
      <w:tr>
        <w:trPr>
          <w:cantSplit/>
        </w:trPr>
        <w:tc>
          <w:tcPr>
            <w:tcW w:type="dxa" w:w="2268"/>
          </w:tcPr>
          <w:p>
            <w:pPr>
              <w:spacing w:line="240" w:lineRule="auto" w:after="0" w:before="0"/>
            </w:pPr>
            <w:r/>
            <w:r>
              <w:rPr>
                <w:rFonts w:ascii="Courier New" w:hAnsi="Courier New" w:eastAsia="Courier New" w:cs="Courier New"/>
                <w:color w:val="000000"/>
                <w:sz w:val="16"/>
              </w:rPr>
              <w:t>septic_shock_severe_lactic_acidosis_sepsis3_lactate_4_cur13</w:t>
            </w:r>
          </w:p>
        </w:tc>
        <w:tc>
          <w:tcPr>
            <w:tcW w:type="dxa" w:w="2268"/>
          </w:tcPr>
          <w:p>
            <w:pPr>
              <w:spacing w:line="240" w:lineRule="auto" w:after="0" w:before="0"/>
            </w:pPr>
            <w:r/>
            <w:r>
              <w:rPr>
                <w:sz w:val="16"/>
              </w:rPr>
              <w:t>A</w:t>
            </w:r>
          </w:p>
        </w:tc>
        <w:tc>
          <w:tcPr>
            <w:tcW w:type="dxa" w:w="2268"/>
          </w:tcPr>
          <w:p>
            <w:pPr>
              <w:spacing w:line="240" w:lineRule="auto" w:after="0" w:before="0"/>
            </w:pPr>
            <w:r/>
            <w:r>
              <w:rPr>
                <w:sz w:val="16"/>
              </w:rPr>
              <w:t>septic_shock_severe_lactic_acidosis</w:t>
            </w:r>
          </w:p>
        </w:tc>
        <w:tc>
          <w:tcPr>
            <w:tcW w:type="dxa" w:w="2268"/>
          </w:tcPr>
          <w:p>
            <w:pPr>
              <w:spacing w:line="240" w:lineRule="auto" w:after="0" w:before="0"/>
            </w:pPr>
            <w:r/>
            <w:r>
              <w:rPr>
                <w:sz w:val="16"/>
              </w:rPr>
              <w:t>threshold: cited Sepsis-3 defines septic shock with lactate &gt;2 mmol/L; the &gt;4 mmol/L cut-off is not in the cited source (it derives from the SSC resuscitation bundle)</w:t>
            </w:r>
          </w:p>
        </w:tc>
      </w:tr>
      <w:tr>
        <w:trPr>
          <w:cantSplit/>
        </w:trPr>
        <w:tc>
          <w:tcPr>
            <w:tcW w:type="dxa" w:w="2268"/>
          </w:tcPr>
          <w:p>
            <w:pPr>
              <w:spacing w:line="240" w:lineRule="auto" w:after="0" w:before="0"/>
            </w:pPr>
            <w:r/>
            <w:r>
              <w:rPr>
                <w:rFonts w:ascii="Courier New" w:hAnsi="Courier New" w:eastAsia="Courier New" w:cs="Courier New"/>
                <w:color w:val="000000"/>
                <w:sz w:val="16"/>
              </w:rPr>
              <w:t>hyperprolactinemia_pituitary_2023_prolactin_elevated_cur13</w:t>
            </w:r>
          </w:p>
        </w:tc>
        <w:tc>
          <w:tcPr>
            <w:tcW w:type="dxa" w:w="2268"/>
          </w:tcPr>
          <w:p>
            <w:pPr>
              <w:spacing w:line="240" w:lineRule="auto" w:after="0" w:before="0"/>
            </w:pPr>
            <w:r/>
            <w:r>
              <w:rPr>
                <w:sz w:val="16"/>
              </w:rPr>
              <w:t>A</w:t>
            </w:r>
          </w:p>
        </w:tc>
        <w:tc>
          <w:tcPr>
            <w:tcW w:type="dxa" w:w="2268"/>
          </w:tcPr>
          <w:p>
            <w:pPr>
              <w:spacing w:line="240" w:lineRule="auto" w:after="0" w:before="0"/>
            </w:pPr>
            <w:r/>
            <w:r>
              <w:rPr>
                <w:sz w:val="16"/>
              </w:rPr>
              <w:t>hyperprolactinemia</w:t>
            </w:r>
          </w:p>
        </w:tc>
        <w:tc>
          <w:tcPr>
            <w:tcW w:type="dxa" w:w="2268"/>
          </w:tcPr>
          <w:p>
            <w:pPr>
              <w:spacing w:line="240" w:lineRule="auto" w:after="0" w:before="0"/>
            </w:pPr>
            <w:r/>
            <w:r>
              <w:rPr>
                <w:sz w:val="16"/>
              </w:rPr>
              <w:t>threshold: Pituitary Society 2023 consensus (full text retrieved) defers to assay-specific reference ranges and does not state 25 ng/mL</w:t>
            </w:r>
          </w:p>
        </w:tc>
      </w:tr>
      <w:tr>
        <w:trPr>
          <w:cantSplit/>
        </w:trPr>
        <w:tc>
          <w:tcPr>
            <w:tcW w:type="dxa" w:w="2268"/>
          </w:tcPr>
          <w:p>
            <w:pPr>
              <w:spacing w:line="240" w:lineRule="auto" w:after="0" w:before="0"/>
            </w:pPr>
            <w:r/>
            <w:r>
              <w:rPr>
                <w:rFonts w:ascii="Courier New" w:hAnsi="Courier New" w:eastAsia="Courier New" w:cs="Courier New"/>
                <w:color w:val="000000"/>
                <w:sz w:val="16"/>
              </w:rPr>
              <w:t>hepatitis_a_igm_anti_hav_positive_cur13</w:t>
            </w:r>
          </w:p>
        </w:tc>
        <w:tc>
          <w:tcPr>
            <w:tcW w:type="dxa" w:w="2268"/>
          </w:tcPr>
          <w:p>
            <w:pPr>
              <w:spacing w:line="240" w:lineRule="auto" w:after="0" w:before="0"/>
            </w:pPr>
            <w:r/>
            <w:r>
              <w:rPr>
                <w:sz w:val="16"/>
              </w:rPr>
              <w:t>A</w:t>
            </w:r>
          </w:p>
        </w:tc>
        <w:tc>
          <w:tcPr>
            <w:tcW w:type="dxa" w:w="2268"/>
          </w:tcPr>
          <w:p>
            <w:pPr>
              <w:spacing w:line="240" w:lineRule="auto" w:after="0" w:before="0"/>
            </w:pPr>
            <w:r/>
            <w:r>
              <w:rPr>
                <w:sz w:val="16"/>
              </w:rPr>
              <w:t>hepatitis_a</w:t>
            </w:r>
          </w:p>
        </w:tc>
        <w:tc>
          <w:tcPr>
            <w:tcW w:type="dxa" w:w="2268"/>
          </w:tcPr>
          <w:p>
            <w:pPr>
              <w:spacing w:line="240" w:lineRule="auto" w:after="0" w:before="0"/>
            </w:pPr>
            <w:r/>
            <w:r>
              <w:rPr>
                <w:sz w:val="16"/>
              </w:rPr>
              <w:t>attribution: hepatitis A IgM criterion cites the EASL hepatitis E guideline</w:t>
            </w:r>
          </w:p>
        </w:tc>
      </w:tr>
      <w:tr>
        <w:trPr>
          <w:cantSplit/>
        </w:trPr>
        <w:tc>
          <w:tcPr>
            <w:tcW w:type="dxa" w:w="2268"/>
          </w:tcPr>
          <w:p>
            <w:pPr>
              <w:spacing w:line="240" w:lineRule="auto" w:after="0" w:before="0"/>
            </w:pPr>
            <w:r/>
            <w:r>
              <w:rPr>
                <w:rFonts w:ascii="Courier New" w:hAnsi="Courier New" w:eastAsia="Courier New" w:cs="Courier New"/>
                <w:color w:val="000000"/>
                <w:sz w:val="16"/>
              </w:rPr>
              <w:t>acquired_hemophilia_a_reanchor_scre_v13_4</w:t>
            </w:r>
          </w:p>
        </w:tc>
        <w:tc>
          <w:tcPr>
            <w:tcW w:type="dxa" w:w="2268"/>
          </w:tcPr>
          <w:p>
            <w:pPr>
              <w:spacing w:line="240" w:lineRule="auto" w:after="0" w:before="0"/>
            </w:pPr>
            <w:r/>
            <w:r>
              <w:rPr>
                <w:sz w:val="16"/>
              </w:rPr>
              <w:t>A</w:t>
            </w:r>
          </w:p>
        </w:tc>
        <w:tc>
          <w:tcPr>
            <w:tcW w:type="dxa" w:w="2268"/>
          </w:tcPr>
          <w:p>
            <w:pPr>
              <w:spacing w:line="240" w:lineRule="auto" w:after="0" w:before="0"/>
            </w:pPr>
            <w:r/>
            <w:r>
              <w:rPr>
                <w:sz w:val="16"/>
              </w:rPr>
              <w:t>acquired_hemophilia_a</w:t>
            </w:r>
          </w:p>
        </w:tc>
        <w:tc>
          <w:tcPr>
            <w:tcW w:type="dxa" w:w="2268"/>
          </w:tcPr>
          <w:p>
            <w:pPr>
              <w:spacing w:line="240" w:lineRule="auto" w:after="0" w:before="0"/>
            </w:pPr>
            <w:r/>
            <w:r>
              <w:rPr>
                <w:sz w:val="16"/>
              </w:rPr>
              <w:t>attribution: acquired haemophilia A cites the BSH rare coagulation disorders guideline, which excludes FVIII deficiency (covered by a separate BSH guideline)</w:t>
            </w:r>
          </w:p>
        </w:tc>
      </w:tr>
      <w:tr>
        <w:trPr>
          <w:cantSplit/>
        </w:trPr>
        <w:tc>
          <w:tcPr>
            <w:tcW w:type="dxa" w:w="2268"/>
          </w:tcPr>
          <w:p>
            <w:pPr>
              <w:spacing w:line="240" w:lineRule="auto" w:after="0" w:before="0"/>
            </w:pPr>
            <w:r/>
            <w:r>
              <w:rPr>
                <w:rFonts w:ascii="Courier New" w:hAnsi="Courier New" w:eastAsia="Courier New" w:cs="Courier New"/>
                <w:color w:val="000000"/>
                <w:sz w:val="16"/>
              </w:rPr>
              <w:t>diabetes_insipidus_nephrogenic_hypokalemia_risk</w:t>
            </w:r>
          </w:p>
        </w:tc>
        <w:tc>
          <w:tcPr>
            <w:tcW w:type="dxa" w:w="2268"/>
          </w:tcPr>
          <w:p>
            <w:pPr>
              <w:spacing w:line="240" w:lineRule="auto" w:after="0" w:before="0"/>
            </w:pPr>
            <w:r/>
            <w:r>
              <w:rPr>
                <w:sz w:val="16"/>
              </w:rPr>
              <w:t>B1</w:t>
            </w:r>
          </w:p>
        </w:tc>
        <w:tc>
          <w:tcPr>
            <w:tcW w:type="dxa" w:w="2268"/>
          </w:tcPr>
          <w:p>
            <w:pPr>
              <w:spacing w:line="240" w:lineRule="auto" w:after="0" w:before="0"/>
            </w:pPr>
            <w:r/>
            <w:r>
              <w:rPr>
                <w:sz w:val="16"/>
              </w:rPr>
              <w:t>diabetes_insipidus_nephrogenic</w:t>
            </w:r>
          </w:p>
        </w:tc>
        <w:tc>
          <w:tcPr>
            <w:tcW w:type="dxa" w:w="2268"/>
          </w:tcPr>
          <w:p>
            <w:pPr>
              <w:spacing w:line="240" w:lineRule="auto" w:after="0" w:before="0"/>
            </w:pPr>
            <w:r/>
            <w:r>
              <w:rPr>
                <w:sz w:val="16"/>
              </w:rPr>
              <w:t>attribution/statement: nephrogenic diabetes insipidus screen by potassium &lt;=3.0 cites KDIGO CKD 2024 (full PDF retrieved); no such statement</w:t>
            </w:r>
          </w:p>
        </w:tc>
      </w:tr>
      <w:tr>
        <w:trPr>
          <w:cantSplit/>
        </w:trPr>
        <w:tc>
          <w:tcPr>
            <w:tcW w:type="dxa" w:w="2268"/>
          </w:tcPr>
          <w:p>
            <w:pPr>
              <w:spacing w:line="240" w:lineRule="auto" w:after="0" w:before="0"/>
            </w:pPr>
            <w:r/>
            <w:r>
              <w:rPr>
                <w:rFonts w:ascii="Courier New" w:hAnsi="Courier New" w:eastAsia="Courier New" w:cs="Courier New"/>
                <w:color w:val="000000"/>
                <w:sz w:val="16"/>
              </w:rPr>
              <w:t>hyponatremia_hyperkalemia_pattern_diagnostic_criterion_1_v1</w:t>
            </w:r>
          </w:p>
        </w:tc>
        <w:tc>
          <w:tcPr>
            <w:tcW w:type="dxa" w:w="2268"/>
          </w:tcPr>
          <w:p>
            <w:pPr>
              <w:spacing w:line="240" w:lineRule="auto" w:after="0" w:before="0"/>
            </w:pPr>
            <w:r/>
            <w:r>
              <w:rPr>
                <w:sz w:val="16"/>
              </w:rPr>
              <w:t>B1</w:t>
            </w:r>
          </w:p>
        </w:tc>
        <w:tc>
          <w:tcPr>
            <w:tcW w:type="dxa" w:w="2268"/>
          </w:tcPr>
          <w:p>
            <w:pPr>
              <w:spacing w:line="240" w:lineRule="auto" w:after="0" w:before="0"/>
            </w:pPr>
            <w:r/>
            <w:r>
              <w:rPr>
                <w:sz w:val="16"/>
              </w:rPr>
              <w:t>hyponatremia_hyperkalemia_pattern</w:t>
            </w:r>
          </w:p>
        </w:tc>
        <w:tc>
          <w:tcPr>
            <w:tcW w:type="dxa" w:w="2268"/>
          </w:tcPr>
          <w:p>
            <w:pPr>
              <w:spacing w:line="240" w:lineRule="auto" w:after="0" w:before="0"/>
            </w:pPr>
            <w:r/>
            <w:r>
              <w:rPr>
                <w:sz w:val="16"/>
              </w:rPr>
              <w:t>threshold: Endocrine Society PAI 2016 guideline (full text retrieved) names hyperkalaemia as a feature but states no potassium threshold; 5.5 mmol/L not in source</w:t>
            </w:r>
          </w:p>
        </w:tc>
      </w:tr>
      <w:tr>
        <w:trPr>
          <w:cantSplit/>
        </w:trPr>
        <w:tc>
          <w:tcPr>
            <w:tcW w:type="dxa" w:w="2268"/>
          </w:tcPr>
          <w:p>
            <w:pPr>
              <w:spacing w:line="240" w:lineRule="auto" w:after="0" w:before="0"/>
            </w:pPr>
            <w:r/>
            <w:r>
              <w:rPr>
                <w:rFonts w:ascii="Courier New" w:hAnsi="Courier New" w:eastAsia="Courier New" w:cs="Courier New"/>
                <w:color w:val="000000"/>
                <w:sz w:val="16"/>
              </w:rPr>
              <w:t>acute_kidney_injury_v1_f13_3</w:t>
            </w:r>
          </w:p>
        </w:tc>
        <w:tc>
          <w:tcPr>
            <w:tcW w:type="dxa" w:w="2268"/>
          </w:tcPr>
          <w:p>
            <w:pPr>
              <w:spacing w:line="240" w:lineRule="auto" w:after="0" w:before="0"/>
            </w:pPr>
            <w:r/>
            <w:r>
              <w:rPr>
                <w:sz w:val="16"/>
              </w:rPr>
              <w:t>B1</w:t>
            </w:r>
          </w:p>
        </w:tc>
        <w:tc>
          <w:tcPr>
            <w:tcW w:type="dxa" w:w="2268"/>
          </w:tcPr>
          <w:p>
            <w:pPr>
              <w:spacing w:line="240" w:lineRule="auto" w:after="0" w:before="0"/>
            </w:pPr>
            <w:r/>
            <w:r>
              <w:rPr>
                <w:sz w:val="16"/>
              </w:rPr>
              <w:t>acute_kidney_injury</w:t>
            </w:r>
          </w:p>
        </w:tc>
        <w:tc>
          <w:tcPr>
            <w:tcW w:type="dxa" w:w="2268"/>
          </w:tcPr>
          <w:p>
            <w:pPr>
              <w:spacing w:line="240" w:lineRule="auto" w:after="0" w:before="0"/>
            </w:pPr>
            <w:r/>
            <w:r>
              <w:rPr>
                <w:sz w:val="16"/>
              </w:rPr>
              <w:t>definition: AKI 'diagnostic criterion' by fixed creatinine &gt;1.1 mg/dL / eGFR &lt;60 cites KDIGO AKI 2012 (full PDF retrieved), which defines AKI only by change from baseline (&gt;=0.3 mg/dL in 48 h or &gt;=1.5x in 7 days)</w:t>
            </w:r>
          </w:p>
        </w:tc>
      </w:tr>
      <w:tr>
        <w:trPr>
          <w:cantSplit/>
        </w:trPr>
        <w:tc>
          <w:tcPr>
            <w:tcW w:type="dxa" w:w="2268"/>
          </w:tcPr>
          <w:p>
            <w:pPr>
              <w:spacing w:line="240" w:lineRule="auto" w:after="0" w:before="0"/>
            </w:pPr>
            <w:r/>
            <w:r>
              <w:rPr>
                <w:rFonts w:ascii="Courier New" w:hAnsi="Courier New" w:eastAsia="Courier New" w:cs="Courier New"/>
                <w:color w:val="000000"/>
                <w:sz w:val="16"/>
              </w:rPr>
              <w:t>hyperkalemia_pattern_staging_severity_1_v1</w:t>
            </w:r>
          </w:p>
        </w:tc>
        <w:tc>
          <w:tcPr>
            <w:tcW w:type="dxa" w:w="2268"/>
          </w:tcPr>
          <w:p>
            <w:pPr>
              <w:spacing w:line="240" w:lineRule="auto" w:after="0" w:before="0"/>
            </w:pPr>
            <w:r/>
            <w:r>
              <w:rPr>
                <w:sz w:val="16"/>
              </w:rPr>
              <w:t>B1</w:t>
            </w:r>
          </w:p>
        </w:tc>
        <w:tc>
          <w:tcPr>
            <w:tcW w:type="dxa" w:w="2268"/>
          </w:tcPr>
          <w:p>
            <w:pPr>
              <w:spacing w:line="240" w:lineRule="auto" w:after="0" w:before="0"/>
            </w:pPr>
            <w:r/>
            <w:r>
              <w:rPr>
                <w:sz w:val="16"/>
              </w:rPr>
              <w:t>hyperkalemia_pattern</w:t>
            </w:r>
          </w:p>
        </w:tc>
        <w:tc>
          <w:tcPr>
            <w:tcW w:type="dxa" w:w="2268"/>
          </w:tcPr>
          <w:p>
            <w:pPr>
              <w:spacing w:line="240" w:lineRule="auto" w:after="0" w:before="0"/>
            </w:pPr>
            <w:r/>
            <w:r>
              <w:rPr>
                <w:sz w:val="16"/>
              </w:rPr>
              <w:t>statement absent: hyperkalaemia &gt;6.5 severity cites WHO essential diagnostics list (404) and KDIGO AKI 2012 (full PDF retrieved) - no potassium threshold in the source</w:t>
            </w:r>
          </w:p>
        </w:tc>
      </w:tr>
      <w:tr>
        <w:trPr>
          <w:cantSplit/>
        </w:trPr>
        <w:tc>
          <w:tcPr>
            <w:tcW w:type="dxa" w:w="2268"/>
          </w:tcPr>
          <w:p>
            <w:pPr>
              <w:spacing w:line="240" w:lineRule="auto" w:after="0" w:before="0"/>
            </w:pPr>
            <w:r/>
            <w:r>
              <w:rPr>
                <w:rFonts w:ascii="Courier New" w:hAnsi="Courier New" w:eastAsia="Courier New" w:cs="Courier New"/>
                <w:color w:val="000000"/>
                <w:sz w:val="16"/>
              </w:rPr>
              <w:t>hyperkalemia_acidosis_pattern_screening_1_v1</w:t>
            </w:r>
          </w:p>
        </w:tc>
        <w:tc>
          <w:tcPr>
            <w:tcW w:type="dxa" w:w="2268"/>
          </w:tcPr>
          <w:p>
            <w:pPr>
              <w:spacing w:line="240" w:lineRule="auto" w:after="0" w:before="0"/>
            </w:pPr>
            <w:r/>
            <w:r>
              <w:rPr>
                <w:sz w:val="16"/>
              </w:rPr>
              <w:t>B1</w:t>
            </w:r>
          </w:p>
        </w:tc>
        <w:tc>
          <w:tcPr>
            <w:tcW w:type="dxa" w:w="2268"/>
          </w:tcPr>
          <w:p>
            <w:pPr>
              <w:spacing w:line="240" w:lineRule="auto" w:after="0" w:before="0"/>
            </w:pPr>
            <w:r/>
            <w:r>
              <w:rPr>
                <w:sz w:val="16"/>
              </w:rPr>
              <w:t>hyperkalemia_acidosis_pattern</w:t>
            </w:r>
          </w:p>
        </w:tc>
        <w:tc>
          <w:tcPr>
            <w:tcW w:type="dxa" w:w="2268"/>
          </w:tcPr>
          <w:p>
            <w:pPr>
              <w:spacing w:line="240" w:lineRule="auto" w:after="0" w:before="0"/>
            </w:pPr>
            <w:r/>
            <w:r>
              <w:rPr>
                <w:sz w:val="16"/>
              </w:rPr>
              <w:t>statement absent: potassium &gt;5.5 pattern cites KDIGO AKI 2012 (full PDF retrieved) - no threshold in source</w:t>
            </w:r>
          </w:p>
        </w:tc>
      </w:tr>
      <w:tr>
        <w:trPr>
          <w:cantSplit/>
        </w:trPr>
        <w:tc>
          <w:tcPr>
            <w:tcW w:type="dxa" w:w="2268"/>
          </w:tcPr>
          <w:p>
            <w:pPr>
              <w:spacing w:line="240" w:lineRule="auto" w:after="0" w:before="0"/>
            </w:pPr>
            <w:r/>
            <w:r>
              <w:rPr>
                <w:rFonts w:ascii="Courier New" w:hAnsi="Courier New" w:eastAsia="Courier New" w:cs="Courier New"/>
                <w:color w:val="000000"/>
                <w:sz w:val="16"/>
              </w:rPr>
              <w:t>hyperkalemia_pattern_diagnostic_criterion_1_v1</w:t>
            </w:r>
          </w:p>
        </w:tc>
        <w:tc>
          <w:tcPr>
            <w:tcW w:type="dxa" w:w="2268"/>
          </w:tcPr>
          <w:p>
            <w:pPr>
              <w:spacing w:line="240" w:lineRule="auto" w:after="0" w:before="0"/>
            </w:pPr>
            <w:r/>
            <w:r>
              <w:rPr>
                <w:sz w:val="16"/>
              </w:rPr>
              <w:t>B1</w:t>
            </w:r>
          </w:p>
        </w:tc>
        <w:tc>
          <w:tcPr>
            <w:tcW w:type="dxa" w:w="2268"/>
          </w:tcPr>
          <w:p>
            <w:pPr>
              <w:spacing w:line="240" w:lineRule="auto" w:after="0" w:before="0"/>
            </w:pPr>
            <w:r/>
            <w:r>
              <w:rPr>
                <w:sz w:val="16"/>
              </w:rPr>
              <w:t>hyperkalemia_pattern</w:t>
            </w:r>
          </w:p>
        </w:tc>
        <w:tc>
          <w:tcPr>
            <w:tcW w:type="dxa" w:w="2268"/>
          </w:tcPr>
          <w:p>
            <w:pPr>
              <w:spacing w:line="240" w:lineRule="auto" w:after="0" w:before="0"/>
            </w:pPr>
            <w:r/>
            <w:r>
              <w:rPr>
                <w:sz w:val="16"/>
              </w:rPr>
              <w:t>statement absent: potassium &gt;5.5 'diagnostic criterion' cites KDIGO AKI 2012 (full PDF retrieved) - no threshold in source</w:t>
            </w:r>
          </w:p>
        </w:tc>
      </w:tr>
      <w:tr>
        <w:trPr>
          <w:cantSplit/>
        </w:trPr>
        <w:tc>
          <w:tcPr>
            <w:tcW w:type="dxa" w:w="2268"/>
          </w:tcPr>
          <w:p>
            <w:pPr>
              <w:spacing w:line="240" w:lineRule="auto" w:after="0" w:before="0"/>
            </w:pPr>
            <w:r/>
            <w:r>
              <w:rPr>
                <w:rFonts w:ascii="Courier New" w:hAnsi="Courier New" w:eastAsia="Courier New" w:cs="Courier New"/>
                <w:color w:val="000000"/>
                <w:sz w:val="16"/>
              </w:rPr>
              <w:t>hypokalemia_pattern_screening_1_v1</w:t>
            </w:r>
          </w:p>
        </w:tc>
        <w:tc>
          <w:tcPr>
            <w:tcW w:type="dxa" w:w="2268"/>
          </w:tcPr>
          <w:p>
            <w:pPr>
              <w:spacing w:line="240" w:lineRule="auto" w:after="0" w:before="0"/>
            </w:pPr>
            <w:r/>
            <w:r>
              <w:rPr>
                <w:sz w:val="16"/>
              </w:rPr>
              <w:t>B1</w:t>
            </w:r>
          </w:p>
        </w:tc>
        <w:tc>
          <w:tcPr>
            <w:tcW w:type="dxa" w:w="2268"/>
          </w:tcPr>
          <w:p>
            <w:pPr>
              <w:spacing w:line="240" w:lineRule="auto" w:after="0" w:before="0"/>
            </w:pPr>
            <w:r/>
            <w:r>
              <w:rPr>
                <w:sz w:val="16"/>
              </w:rPr>
              <w:t>hypokalemia_pattern</w:t>
            </w:r>
          </w:p>
        </w:tc>
        <w:tc>
          <w:tcPr>
            <w:tcW w:type="dxa" w:w="2268"/>
          </w:tcPr>
          <w:p>
            <w:pPr>
              <w:spacing w:line="240" w:lineRule="auto" w:after="0" w:before="0"/>
            </w:pPr>
            <w:r/>
            <w:r>
              <w:rPr>
                <w:sz w:val="16"/>
              </w:rPr>
              <w:t>statement absent: potassium &lt;3.5 pattern cites KDIGO AKI 2012 (full PDF retrieved) - no threshold in source</w:t>
            </w:r>
          </w:p>
        </w:tc>
      </w:tr>
      <w:tr>
        <w:trPr>
          <w:cantSplit/>
        </w:trPr>
        <w:tc>
          <w:tcPr>
            <w:tcW w:type="dxa" w:w="2268"/>
          </w:tcPr>
          <w:p>
            <w:pPr>
              <w:spacing w:line="240" w:lineRule="auto" w:after="0" w:before="0"/>
            </w:pPr>
            <w:r/>
            <w:r>
              <w:rPr>
                <w:rFonts w:ascii="Courier New" w:hAnsi="Courier New" w:eastAsia="Courier New" w:cs="Courier New"/>
                <w:color w:val="000000"/>
                <w:sz w:val="16"/>
              </w:rPr>
              <w:t>ckd_stage_g2_hypokalemia_risk_v1</w:t>
            </w:r>
          </w:p>
        </w:tc>
        <w:tc>
          <w:tcPr>
            <w:tcW w:type="dxa" w:w="2268"/>
          </w:tcPr>
          <w:p>
            <w:pPr>
              <w:spacing w:line="240" w:lineRule="auto" w:after="0" w:before="0"/>
            </w:pPr>
            <w:r/>
            <w:r>
              <w:rPr>
                <w:sz w:val="16"/>
              </w:rPr>
              <w:t>B2</w:t>
            </w:r>
          </w:p>
        </w:tc>
        <w:tc>
          <w:tcPr>
            <w:tcW w:type="dxa" w:w="2268"/>
          </w:tcPr>
          <w:p>
            <w:pPr>
              <w:spacing w:line="240" w:lineRule="auto" w:after="0" w:before="0"/>
            </w:pPr>
            <w:r/>
            <w:r>
              <w:rPr>
                <w:sz w:val="16"/>
              </w:rPr>
              <w:t>ckd_stage_g2</w:t>
            </w:r>
          </w:p>
        </w:tc>
        <w:tc>
          <w:tcPr>
            <w:tcW w:type="dxa" w:w="2268"/>
          </w:tcPr>
          <w:p>
            <w:pPr>
              <w:spacing w:line="240" w:lineRule="auto" w:after="0" w:before="0"/>
            </w:pPr>
            <w:r/>
            <w:r>
              <w:rPr>
                <w:sz w:val="16"/>
              </w:rPr>
              <w:t>attribution/statement: 'CKD stage G2' screen by potassium &lt;=3.0 cites KDIGO CKD 2024 (full PDF retrieved); G2 is defined by eGFR 60-89, potassium plays no role</w:t>
            </w:r>
          </w:p>
        </w:tc>
      </w:tr>
    </w:tbl>
    <w:p/>
    <w:p>
      <w:r>
        <w:rPr>
          <w:b/>
        </w:rPr>
        <w:t>Concordant rule.</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268"/>
            <w:shd w:val="clear" w:fill="F2F2F2"/>
          </w:tcPr>
          <w:p>
            <w:pPr>
              <w:spacing w:line="240" w:lineRule="auto" w:after="0" w:before="0"/>
            </w:pPr>
            <w:r>
              <w:rPr>
                <w:b/>
              </w:rPr>
            </w:r>
            <w:r>
              <w:rPr>
                <w:b/>
                <w:sz w:val="16"/>
              </w:rPr>
              <w:t>rule_id</w:t>
            </w:r>
          </w:p>
        </w:tc>
        <w:tc>
          <w:tcPr>
            <w:tcW w:type="dxa" w:w="2268"/>
            <w:shd w:val="clear" w:fill="F2F2F2"/>
          </w:tcPr>
          <w:p>
            <w:pPr>
              <w:spacing w:line="240" w:lineRule="auto" w:after="0" w:before="0"/>
            </w:pPr>
            <w:r>
              <w:rPr>
                <w:b/>
              </w:rPr>
            </w:r>
            <w:r>
              <w:rPr>
                <w:b/>
                <w:sz w:val="16"/>
              </w:rPr>
              <w:t>stratum</w:t>
            </w:r>
          </w:p>
        </w:tc>
        <w:tc>
          <w:tcPr>
            <w:tcW w:type="dxa" w:w="2268"/>
            <w:shd w:val="clear" w:fill="F2F2F2"/>
          </w:tcPr>
          <w:p>
            <w:pPr>
              <w:spacing w:line="240" w:lineRule="auto" w:after="0" w:before="0"/>
            </w:pPr>
            <w:r>
              <w:rPr>
                <w:b/>
              </w:rPr>
            </w:r>
            <w:r>
              <w:rPr>
                <w:b/>
                <w:sz w:val="16"/>
              </w:rPr>
              <w:t>disease</w:t>
            </w:r>
          </w:p>
        </w:tc>
        <w:tc>
          <w:tcPr>
            <w:tcW w:type="dxa" w:w="2268"/>
            <w:shd w:val="clear" w:fill="F2F2F2"/>
          </w:tcPr>
          <w:p>
            <w:pPr>
              <w:spacing w:line="240" w:lineRule="auto" w:after="0" w:before="0"/>
            </w:pPr>
            <w:r>
              <w:rPr>
                <w:b/>
              </w:rPr>
            </w:r>
            <w:r>
              <w:rPr>
                <w:b/>
                <w:sz w:val="16"/>
              </w:rPr>
              <w:t>finding</w:t>
            </w:r>
          </w:p>
        </w:tc>
      </w:tr>
      <w:tr>
        <w:trPr>
          <w:cantSplit/>
        </w:trPr>
        <w:tc>
          <w:tcPr>
            <w:tcW w:type="dxa" w:w="2268"/>
          </w:tcPr>
          <w:p>
            <w:pPr>
              <w:spacing w:line="240" w:lineRule="auto" w:after="0" w:before="0"/>
            </w:pPr>
            <w:r/>
            <w:r>
              <w:rPr>
                <w:rFonts w:ascii="Courier New" w:hAnsi="Courier New" w:eastAsia="Courier New" w:cs="Courier New"/>
                <w:color w:val="000000"/>
                <w:sz w:val="16"/>
              </w:rPr>
              <w:t>chronic_kidney_disease_kdigo_2024_albuminuria_a2_cur13</w:t>
            </w:r>
          </w:p>
        </w:tc>
        <w:tc>
          <w:tcPr>
            <w:tcW w:type="dxa" w:w="2268"/>
          </w:tcPr>
          <w:p>
            <w:pPr>
              <w:spacing w:line="240" w:lineRule="auto" w:after="0" w:before="0"/>
            </w:pPr>
            <w:r/>
            <w:r>
              <w:rPr>
                <w:sz w:val="16"/>
              </w:rPr>
              <w:t>A</w:t>
            </w:r>
          </w:p>
        </w:tc>
        <w:tc>
          <w:tcPr>
            <w:tcW w:type="dxa" w:w="2268"/>
          </w:tcPr>
          <w:p>
            <w:pPr>
              <w:spacing w:line="240" w:lineRule="auto" w:after="0" w:before="0"/>
            </w:pPr>
            <w:r/>
            <w:r>
              <w:rPr>
                <w:sz w:val="16"/>
              </w:rPr>
              <w:t>chronic_kidney_disease</w:t>
            </w:r>
          </w:p>
        </w:tc>
        <w:tc>
          <w:tcPr>
            <w:tcW w:type="dxa" w:w="2268"/>
          </w:tcPr>
          <w:p>
            <w:pPr>
              <w:spacing w:line="240" w:lineRule="auto" w:after="0" w:before="0"/>
            </w:pPr>
            <w:r/>
            <w:r>
              <w:rPr>
                <w:sz w:val="16"/>
              </w:rPr>
              <w:t>KDIGO CKD 2024 (full PDF retrieved): ACR 30-300 mg/g = A2, ACR &gt;30 mg/g is a marker of kidney damage; rule threshold, analyte and disease match (chronicity &gt;3 months handled by engine context, not by this rule)</w:t>
            </w:r>
          </w:p>
        </w:tc>
      </w:tr>
    </w:tbl>
    <w:p/>
    <w:p>
      <w:r>
        <w:rPr>
          <w:b/>
        </w:rPr>
        <w:t>Consequence.</w:t>
      </w:r>
      <w:r>
        <w:t xml:space="preserve"> Registry 15 will carry section-level locators (document + section/table + page) for every executable rule,</w:t>
      </w:r>
    </w:p>
    <w:p>
      <w:r>
        <w:t>the 46 generic-source candidates will be retired or re-sourced, and the five anchor attribution errors found here are</w:t>
      </w:r>
    </w:p>
    <w:p>
      <w:r>
        <w:t>corrected in the next release with a dated change-log entry; none of these changes alters the frozen v7 results reported in</w:t>
      </w:r>
    </w:p>
    <w:p>
      <w:r>
        <w:t xml:space="preserve">this paper. Files: </w:t>
      </w:r>
      <w:r>
        <w:rPr>
          <w:rFonts w:ascii="Courier New" w:hAnsi="Courier New" w:eastAsia="Courier New" w:cs="Courier New"/>
          <w:color w:val="000000"/>
          <w:sz w:val="22"/>
        </w:rPr>
        <w:t>eval/source_audit/{PROTOCOL.md, sample_200.csv, summary_rater1.json, source_access_status.json}</w:t>
      </w:r>
      <w:r>
        <w:t>.</w:t>
      </w:r>
    </w:p>
    <w:p>
      <w:pPr>
        <w:pStyle w:val="Heading1"/>
      </w:pPr>
      <w:r>
        <w:rPr>
          <w:rFonts w:ascii="Times New Roman" w:hAnsi="Times New Roman" w:eastAsia="Times New Roman" w:cs="Times New Roman"/>
          <w:b/>
          <w:i w:val="0"/>
          <w:color w:val="000000"/>
        </w:rPr>
        <w:t>Supplementary Note 8 — Addendum (2026-10-27): rater statement</w:t>
      </w:r>
    </w:p>
    <w:p>
      <w:r>
        <w:t>The audit reported in Note 8 and in main-text Section 3.2 is single-rater. The rater was an AI agent working under the first author's supervision; this is declared in the main text and in the GenAI declaration. The second-rater arm written into the protocol did not yield a dataset that met the protocol's validity rule (a CONCORDANT or DISCORDANT label must be supported by the verbatim source sentence containing the criterion) and is therefore not reported; no inter-rater reliability is claimed. For future runs the protocol requires a mandatory verbatim-quotation field with page or section for every non-UNRESOLVABLE verdict and a five-rule spot check against the sources for each rater before scoring.</w:t>
      </w:r>
    </w:p>
    <w:p>
      <w:pPr>
        <w:pStyle w:val="Heading1"/>
      </w:pPr>
      <w:r>
        <w:rPr>
          <w:rFonts w:ascii="Times New Roman" w:hAnsi="Times New Roman" w:eastAsia="Times New Roman" w:cs="Times New Roman"/>
          <w:b/>
          <w:i w:val="0"/>
          <w:color w:val="000000"/>
        </w:rPr>
        <w:t>Supplementary Note 9 — Post-freeze development version (v8); moved verbatim from the main text</w:t>
      </w:r>
    </w:p>
    <w:p>
      <w:r>
        <w:t xml:space="preserve">Engine v8 (2026-10-26) differs from the frozen v7 in three presentation- or index-level additions—MELD/MELD-Na (Kamath 2001; Kim 2008; OPTN formula with sodium clamped to 125–137 mmol/L and creatinine capped at 4 mg/dL; computed only when bilirubin &gt; 2 mg/dL or INR &gt; 1.5) and the platelet-to-lymphocyte ratio as derived patterns with </w:t>
      </w:r>
      <w:r>
        <w:rPr>
          <w:rFonts w:ascii="Courier New" w:hAnsi="Courier New" w:eastAsia="Courier New" w:cs="Courier New"/>
          <w:color w:val="000000"/>
          <w:sz w:val="22"/>
        </w:rPr>
        <w:t>supports = []</w:t>
      </w:r>
      <w:r>
        <w:t xml:space="preserve">, and a </w:t>
      </w:r>
      <w:r>
        <w:rPr>
          <w:rFonts w:ascii="Courier New" w:hAnsi="Courier New" w:eastAsia="Courier New" w:cs="Courier New"/>
          <w:color w:val="000000"/>
          <w:sz w:val="22"/>
        </w:rPr>
        <w:t>confidence_band</w:t>
      </w:r>
      <w:r>
        <w:t>/</w:t>
      </w:r>
      <w:r>
        <w:rPr>
          <w:rFonts w:ascii="Courier New" w:hAnsi="Courier New" w:eastAsia="Courier New" w:cs="Courier New"/>
          <w:color w:val="000000"/>
          <w:sz w:val="22"/>
        </w:rPr>
        <w:t>concise</w:t>
      </w:r>
      <w:r>
        <w:t xml:space="preserve"> field on each differential entry (bands ≥ 0.70 high, 0.60–0.69 moderate, 0.50–0.59 low, otherwise consider; descriptive, calibrated on the development set only). The gate exists because MELD was derived in, and is calibrated for, patients with established hepatic dysfunction; computed on a panel with normal bilirubin and INR it reduces to a creatinine term and would mislabel isolated kidney injury as liver prognosis. The remaining difference is registry 14.2.0, which re-sources 28 rules (9 source records) with Crossref-resolved DOIs and changes no rule logic, threshold, weight or executable flag (</w:t>
      </w:r>
      <w:r>
        <w:rPr>
          <w:rFonts w:ascii="Courier New" w:hAnsi="Courier New" w:eastAsia="Courier New" w:cs="Courier New"/>
          <w:color w:val="000000"/>
          <w:sz w:val="22"/>
        </w:rPr>
        <w:t>eval/registry_patches/patch_14_2_0.py</w:t>
      </w:r>
      <w:r>
        <w:t>). The sepsis companion (</w:t>
      </w:r>
      <w:r>
        <w:rPr>
          <w:rFonts w:ascii="Courier New" w:hAnsi="Courier New" w:eastAsia="Courier New" w:cs="Courier New"/>
          <w:color w:val="000000"/>
          <w:sz w:val="22"/>
        </w:rPr>
        <w:t>eval/sepsis_ml/sepsis_risk_module.py</w:t>
      </w:r>
      <w:r>
        <w:t>) uses the same three PhysioNet/CinC 2019 subsets as the engine evaluation (set A 4,871 patients for training; sets B 4,558 and B2 4,991 held out; Table 2); features are listed in the script; the logistic model is class-balanced L2 (C = 0.05); the gradient-boosting reference uses depth ≤ 4, ≤ 15 leaves, ≥ 300 samples per leaf, L2 = 5 and early stopping on 15% of set A. The alert threshold for the utility score was chosen on set A over a grid of score quantiles. Disclosure: the boosting hyper-parameters were tightened once after a first evaluation on set B showed over-fitting (training AUROC 0.997, set B 0.719); set B2 was not opened until the final configuration. Patient-level AUROC uses the maximum score over hours before the shifted label for septic patients and over all hours for non-septic patients; horizon AUROC compares the score exactly h hours before onset with a random hour of each non-septic patient. The v8 gate (</w:t>
      </w:r>
      <w:r>
        <w:rPr>
          <w:rFonts w:ascii="Courier New" w:hAnsi="Courier New" w:eastAsia="Courier New" w:cs="Courier New"/>
          <w:color w:val="000000"/>
          <w:sz w:val="22"/>
        </w:rPr>
        <w:t>eval/results/gate_v8/</w:t>
      </w:r>
      <w:r>
        <w:t>) repeats the v7 gate (three vignette batteries, 1,000-panel healthy sweep, 755-pair perturbation battery, unit tests, eICU labs-only run) with a pre-stated non-inferiority margin of 0.5 recall points.</w:t>
      </w:r>
    </w:p>
    <w:p>
      <w:r>
        <w:t>Engine v8.1 (2026-10-26) added a property-based test suite (determinism, unit invariance, directional monotonicity for 14 analyte–direction pairs, absent-analyte and context invariants), fixed the one defect it exposed (the final finding-demotion pass capped a well-supported finding beneath a presumptive explainer scoring &lt; 0.80; the existing rule that a weak explainer organises but does not lower a finding is now applied uniformly) and added a reporting-only measurement-uncertainty layer (biological-variation-based probability that a value truly lies outside its reference limit; no effect on any score). Its development gate reproduced every safety-battery result; eICU flat recall@3/5/10 was 48.4/61.0/74.1% versus 47.9/60.8/74.1% for v8, a difference inside the v7 confidence intervals and reported as parity.</w:t>
      </w:r>
    </w:p>
    <w:p>
      <w:pPr>
        <w:pStyle w:val="Heading3"/>
      </w:pPr>
      <w:r>
        <w:rPr>
          <w:rFonts w:ascii="Times New Roman" w:hAnsi="Times New Roman" w:eastAsia="Times New Roman" w:cs="Times New Roman"/>
          <w:b/>
          <w:i/>
          <w:color w:val="000000"/>
        </w:rPr>
        <w:t>Note 9 addendum — hybrid arm and the limits of post-freeze improvement (declared experiment, 2026-10-27)</w:t>
      </w:r>
    </w:p>
    <w:p>
      <w:r>
        <w:t>To test whether a trained layer on top of the frozen engine would raise recall, a 5-fold out-of-fold gradient-boosting probability per label group (identical inputs: raw analytes, age, sex) was combined with the frozen v7 group probability by a parameter-free rule, max(engine, ML). On the group-level metric (same 2,432 scorable labels) recall@5 was 58.8 % for the engine, 60.6 % for the hybrid (+1.8, 95 % bootstrap CI +1.2 to +2.5), 59.8 % when the ML term was allowed only for the six groups without a single-analyte criterion (+1.0), and 68.8 % for ML alone (+10.0). The ML-only gain comes from sepsis (94 %), diabetes (91 %) and CKD (65 %) — cohort priors learned from the labels — while ML loses most single-analyte groups (hyponatraemia 38 %, metabolic acidosis 12 %, hypomagnesaemia 3 %). A taxonomy of the engine's DKA misses (40 of 108) found only 2 panels meeting ADA criteria that the engine failed; 32 had bicarbonate ≥ 18 mmol/L or glucose &lt; 250 mg/dL at the first panel (resolving or treated DKA) and 5 had glucose without acid–base data. Together with the earlier input arms (full in-window time series 63.7 → 63.2 %; documented history +2.9 points, mostly echo), these results indicate that the frozen figure is bounded by the reference standard rather than by rule content, and no post-freeze rule change was made (</w:t>
      </w:r>
      <w:r>
        <w:rPr>
          <w:rFonts w:ascii="Courier New" w:hAnsi="Courier New" w:eastAsia="Courier New" w:cs="Courier New"/>
          <w:color w:val="000000"/>
          <w:sz w:val="22"/>
        </w:rPr>
        <w:t>eval/hybrid_arm.py</w:t>
      </w:r>
      <w:r>
        <w:t>).</w:t>
      </w:r>
    </w:p>
    <w:p>
      <w:pPr>
        <w:pStyle w:val="Heading1"/>
      </w:pPr>
      <w:r>
        <w:rPr>
          <w:rFonts w:ascii="Times New Roman" w:hAnsi="Times New Roman" w:eastAsia="Times New Roman" w:cs="Times New Roman"/>
          <w:b/>
          <w:i w:val="0"/>
          <w:color w:val="000000"/>
        </w:rPr>
        <w:t>Supplementary Note 10 — External cohorts and case reports; moved verbatim from the main text</w:t>
      </w:r>
    </w:p>
    <w:p>
      <w:r>
        <w:t>On the UCI thyroid referral set (6,932 scored records) AUROC was 0.979 (0.974–0.983) for hypothyroidism and 0.798 (0.783–0.814) for hyperthyroidism; on the HCV cohort (n = 615) 0.925 (0.881–0.962) for any liver disease and 0.909 (0.837–0.969) for cirrhosis; on ILPD (n = 583) 0.704 (0.661–0.747). In MIMIC-IV demo (235 admissions, ICD-coded) top-5/10 recall was 47.9/61.7% for v6 in quarantine round 1 and 47.5/62.1% for the post-hoc v7 re-run. On 50 PMC case reports given only the laboratory paragraph, the specific diagnosis was in the top-5 in 26% and the correct syndrome in 68% (automatic parsing: 10% and 44%) (Table 4).</w:t>
      </w:r>
    </w:p>
    <w:p>
      <w:pPr>
        <w:pStyle w:val="Heading1"/>
      </w:pPr>
      <w:r>
        <w:rPr>
          <w:rFonts w:ascii="Times New Roman" w:hAnsi="Times New Roman" w:eastAsia="Times New Roman" w:cs="Times New Roman"/>
          <w:b/>
          <w:i w:val="0"/>
          <w:color w:val="000000"/>
        </w:rPr>
        <w:t>Supplementary Note 11 — Calibration, subgroups and robustness; moved verbatim from the main text</w:t>
      </w:r>
    </w:p>
    <w:p>
      <w:r>
        <w:t xml:space="preserve">Pooled over 52,689 stay–group units, AUROC was 0.797 but raw scores were over-confident: calibration slope 0.25, ECE 0.162, Brier 0.117 (Fig. 8). Split-half cross-fitted isotonic recalibration reduced ECE to 0.003 within eICU—evidence that ranks are recalibrable, not a transferable calibration. Raw scores are therefore ranks, not probabilities. Twenty-seven of 29 groups with ≥10 labels had AUROC above 0.5 after Benjamini–Hochberg adjustment (exceptions: malnutrition, hypocalcaemia). Recall@5 was 62.3% in men and 58.5% in women, 58–64% across age bands and 59–61% across the three largest ethnicity strata (Supplementary Table S4); three strata in one US dataset do not support a fairness claim. The engine contains no race or ethnicity term, and its optional </w:t>
      </w:r>
      <w:r>
        <w:rPr>
          <w:rFonts w:ascii="Courier New" w:hAnsi="Courier New" w:eastAsia="Courier New" w:cs="Courier New"/>
          <w:color w:val="000000"/>
          <w:sz w:val="22"/>
        </w:rPr>
        <w:t>ethnicity</w:t>
      </w:r>
      <w:r>
        <w:t xml:space="preserve"> field is parsed but never read. The release passed the non-regression gate: 689/689 unit tests, 352/353 adversarial vignettes (alcoholic pancreatitis ranked second behind alcohol-use disorder, deliberately not patched), 753/755 perturbation pairs (both failures are replicates of one thiazide-hyponatraemia vignette under 3% noise) and the SI/conventional unit-twin battery (Supplementary Note 4).</w:t>
      </w:r>
    </w:p>
    <w:p>
      <w:pPr>
        <w:pStyle w:val="Heading1"/>
      </w:pPr>
      <w:r>
        <w:rPr>
          <w:rFonts w:ascii="Times New Roman" w:hAnsi="Times New Roman" w:eastAsia="Times New Roman" w:cs="Times New Roman"/>
          <w:b/>
          <w:i w:val="0"/>
          <w:color w:val="000000"/>
        </w:rPr>
        <w:t>Supplementary Note 12 — Full-length Methods and Results text of revision R5 (verbatim; condensed in the main text for length — superseded where it differs from the main text)</w:t>
      </w:r>
    </w:p>
    <w:p>
      <w:pPr>
        <w:pStyle w:val="Heading3"/>
      </w:pPr>
      <w:r>
        <w:rPr>
          <w:rFonts w:ascii="Times New Roman" w:hAnsi="Times New Roman" w:eastAsia="Times New Roman" w:cs="Times New Roman"/>
          <w:b/>
          <w:i/>
          <w:color w:val="000000"/>
        </w:rPr>
        <w:t>R5 Methods</w:t>
      </w:r>
    </w:p>
    <w:p>
      <w:pPr>
        <w:pStyle w:val="Heading3"/>
      </w:pPr>
      <w:r>
        <w:rPr>
          <w:rFonts w:ascii="Times New Roman" w:hAnsi="Times New Roman" w:eastAsia="Times New Roman" w:cs="Times New Roman"/>
          <w:b/>
          <w:i/>
          <w:color w:val="000000"/>
        </w:rPr>
        <w:t>2.1 Engine</w:t>
      </w:r>
    </w:p>
    <w:p>
      <w:r>
        <w:t>Hemoglyph (</w:t>
      </w:r>
      <w:r>
        <w:rPr>
          <w:rFonts w:ascii="Courier New" w:hAnsi="Courier New" w:eastAsia="Courier New" w:cs="Courier New"/>
          <w:color w:val="000000"/>
          <w:sz w:val="22"/>
        </w:rPr>
        <w:t>analyse_gidlines.py</w:t>
      </w:r>
      <w:r>
        <w:t xml:space="preserve"> [sic—historical file name], v7) processes a panel in five stages: normalisation (UCUM units, aliases, age/sex reference intervals, 100 derived indices); a rule layer over registry 14.1.0 (33,183 executable leaves, where a leaf is one registry record with a machine-evaluable condition on at least one analyte, a disease identifier and an </w:t>
      </w:r>
      <w:r>
        <w:rPr>
          <w:rFonts w:ascii="Courier New" w:hAnsi="Courier New" w:eastAsia="Courier New" w:cs="Courier New"/>
          <w:color w:val="000000"/>
          <w:sz w:val="22"/>
        </w:rPr>
        <w:t>executable: true</w:t>
      </w:r>
      <w:r>
        <w:t xml:space="preserve"> flag—retired, template and empty-expression records are kept for provenance but never evaluated—a count that moved from 34,005 in release 13.1.0 through 33,230 (13.3.0), 33,170 (13.4.2) and 33,178 (14.0.0) as 1,307 rules were retired and 485 guideline-sourced rules were added, Supplementary Table S10; each with analyte conditions, population gates, evidence role—diagnostic criterion weight 6, supportive or screening weight 3—disease identifier and source); an expert syndrome layer (~900 constellations with anchor strengths 0.95/0.88/0.80/0.72/0.45, operators absent/between/neg/present and context predicates for pregnancy, age, sex, medication, condition, family history and encounter); fixed-weight fusion (weights 0.35 rule engine, 0.25 Bayesian, 0.20 fuzzy, 0.10 knowledge graph, 0.10 risk models, set by the first author as a judgement that explicit criteria should dominate, with four context profiles, e.g. toxicology 0.55 for rules; no weight was derived from or tuned on any evaluation dataset, and Table 1 reports the sensitivity to them) with an expert floor (the fused score of a diagnosis cannot fall below 0.90 × the rule-layer vote, so that the four other layers can modulate but never veto a guideline rule). The Bayesian layer has 75 disease nodes with hand-coded prevalence priors (constants or age bands, e.g. type 2 diabetes 0.08, CKD 0.10) and hand-coded likelihood ratios for 68 of them, taken from diagnostic-accuracy literature cited in code comments (e.g. lipase ≥ 3 × ULN, LR+ 18 for acute pancreatitis); none is estimated from data, so the engine remains untrained in the sense that no parameter was fitted to any patient record; and ranking hygiene (causal attribution via a disease–finding explanation graph, covering-diagnosis suppression of explained findings, KDIGO chronicity [17], ADA glycaemic criteria [18], UDMI acuity [19], maximum 25 entries). Engine changes between releases (C1–C16) are listed with dates in Supplementary Table S1; none was fitted to outcome data and no rule was written for a specific missed case. This is supported by the dated change log and by the fact that every change is expressed as a guideline citation plus a synthetic vignette rather than a parameter value; no version-control history exists for the development period, so the statement cannot be audited by commit diff and is offered as a documented process claim, not a verified one.</w:t>
      </w:r>
    </w:p>
    <w:p>
      <w:pPr>
        <w:pStyle w:val="Heading3"/>
      </w:pPr>
      <w:r>
        <w:rPr>
          <w:rFonts w:ascii="Times New Roman" w:hAnsi="Times New Roman" w:eastAsia="Times New Roman" w:cs="Times New Roman"/>
          <w:b/>
          <w:i/>
          <w:color w:val="000000"/>
        </w:rPr>
        <w:t>2.2 Knowledge base construction and provenance</w:t>
      </w:r>
    </w:p>
    <w:p>
      <w:r>
        <w:t xml:space="preserve">'AI assistance' means the following. For each guideline source the first author prompted a general-purpose LLM with the source text or citation and a fixed JSON schema; the model returned candidate rule records (analyte, operator, threshold, unit, population gate, evidence role, disease identifier, source locator). These records were not individually edited by a human: they were accepted or rejected by automated audits (schema validity, analyte exists in the 2,045-analyte feature registry, unit convertible, threshold within physiological range, no duplicate or contradictory record, context gate present where the guideline requires one, source locator resolvable) and carry the status </w:t>
      </w:r>
      <w:r>
        <w:rPr>
          <w:rFonts w:ascii="Courier New" w:hAnsi="Courier New" w:eastAsia="Courier New" w:cs="Courier New"/>
          <w:color w:val="000000"/>
          <w:sz w:val="22"/>
        </w:rPr>
        <w:t>candidate_requires_specialist_validation</w:t>
      </w:r>
      <w:r>
        <w:t xml:space="preserve">. The 272 anchor rules were written or line-edited by hand by the first author from the primary guideline text and carry higher weight; the 13 demoted anchors and all rules retired between releases were removed by rule-level review of defect reports, not by outcome data. No record of the proportion of candidate rules that a human read exists, and we therefore describe the bulk as AI-drafted and automatically audited, not human-reviewed. Sources: KDIGO, ADA, WHO, ACC/AHA, EASL, ATA, ESC, CLSI, Tietz and others listed in the registry. Source locators were verified with </w:t>
      </w:r>
      <w:r>
        <w:rPr>
          <w:rFonts w:ascii="Courier New" w:hAnsi="Courier New" w:eastAsia="Courier New" w:cs="Courier New"/>
          <w:color w:val="000000"/>
          <w:sz w:val="22"/>
        </w:rPr>
        <w:t>registry_source_verify.py</w:t>
      </w:r>
      <w:r>
        <w:t xml:space="preserve"> (Crossref resolution, HTTP reachability). Counts by release: 13.3.0, 33,230 rules/747 sources; 13.4.2, 33,170/781; 14.1.0, 33,183/785.</w:t>
      </w:r>
    </w:p>
    <w:p>
      <w:pPr>
        <w:pStyle w:val="Heading3"/>
      </w:pPr>
      <w:r>
        <w:rPr>
          <w:rFonts w:ascii="Times New Roman" w:hAnsi="Times New Roman" w:eastAsia="Times New Roman" w:cs="Times New Roman"/>
          <w:b/>
          <w:i/>
          <w:color w:val="000000"/>
        </w:rPr>
        <w:t>2.3 Pre-specification, freezes and quarantine</w:t>
      </w:r>
    </w:p>
    <w:p>
      <w:r>
        <w:t>The SAP (Supplementary Note 1) fixed metrics, label maps, thresholds and comparators; 15 amendments are dated and justified. Freezes v14 and v15 recorded SHA-256 manifests. Quarantine round 1 (MIMIC-IV demo; NHANES 2013–14; sepsis set B) used superiority criteria and failed; round 2 (NHANES 2015–16; sepsis set B2; healthy sweep with a new seed) used non-inferiority criteria specified before execution and passed. Two data-loader defects discovered during round 2 (string patient identifiers; a dropped derived NHANES variable) were fixed before scoring without touching the engine and are documented.</w:t>
      </w:r>
    </w:p>
    <w:p>
      <w:pPr>
        <w:pStyle w:val="Heading3"/>
      </w:pPr>
      <w:r>
        <w:rPr>
          <w:rFonts w:ascii="Times New Roman" w:hAnsi="Times New Roman" w:eastAsia="Times New Roman" w:cs="Times New Roman"/>
          <w:b/>
          <w:i/>
          <w:color w:val="000000"/>
        </w:rPr>
        <w:t>2.4 Datasets and reference standards</w:t>
      </w:r>
    </w:p>
    <w:p>
      <w:r>
        <w:t>Data sources, reference standards and their roles are summarised in Table 2. eICU-CRD demo v2.0.1 [20]: 2,520 stays → 2,512 adults → 2,314 with ≥ 8 analytes in the first panel; reference = clinician problem list mapped by regular expressions to 31 groups (audit on 400 stays: precision 100%, sensitivity 98.3%; per-group values in Supplementary Table S9). MIMIC-IV demo [21]: 235 admissions, ICD-10 reference. NHANES 2013–14, 2015–16, 2017–18: 3,000 randomly sampled adults per cycle with biochemistry and CBC; references per ADA, KDIGO, WHO and ACG criteria and self-reported diagnoses. PhysioNet/CinC 2019 [22]: set A 4,871 patients (439 sepsis), set B 4,558 (268), set B2 4,991; Sepsis-3 onset label; the post-hoc concurrent analysis (labs and vitals within ±6 h of onset) used 247 cases and 600 dwell-time-matched controls drawn from set B2 only, which is why Table 3 reports it for B2 alone. UCI thyroid0387 [23], UCI HCV [24], ILPD [25], PMC-Patients 50 case reports [26]. Participant flow in Supplementary Table S3.</w:t>
      </w:r>
    </w:p>
    <w:p>
      <w:pPr>
        <w:pStyle w:val="Heading3"/>
      </w:pPr>
      <w:r>
        <w:rPr>
          <w:rFonts w:ascii="Times New Roman" w:hAnsi="Times New Roman" w:eastAsia="Times New Roman" w:cs="Times New Roman"/>
          <w:b/>
          <w:i/>
          <w:color w:val="000000"/>
        </w:rPr>
        <w:t>2.5 Metrics</w:t>
      </w:r>
    </w:p>
    <w:p>
      <w:r>
        <w:t xml:space="preserve">Primary: flat recall@k of clinician-listed diagnoses (k = 3, 5, 10). Secondary: two-tier recall; panel-supported recall (labels whose first panel met a guideline criterion fixed in </w:t>
      </w:r>
      <w:r>
        <w:rPr>
          <w:rFonts w:ascii="Courier New" w:hAnsi="Courier New" w:eastAsia="Courier New" w:cs="Courier New"/>
          <w:color w:val="000000"/>
          <w:sz w:val="22"/>
        </w:rPr>
        <w:t>panel_supported_metric.py</w:t>
      </w:r>
      <w:r>
        <w:t xml:space="preserve"> before scoring; groups without a single criterion excluded); per-group AUROC of the group score. Screening: AUROC and false-assertion rate in all-normal adults. Sepsis: AUROC of the sepsis-group score. Calibration: calibration slope and intercept, ECE (10 equal-frequency bins), Brier with cluster-bootstrap CI, log-loss and decision curves before and after cross-fitted isotonic regression [27]. Ablation: the frozen engine with one component disabled or altered per arm (each of five fusion layers, syndrome layer, registry, anchor-only registry, </w:t>
      </w:r>
      <w:r>
        <w:rPr>
          <w:rFonts w:ascii="Courier New" w:hAnsi="Courier New" w:eastAsia="Courier New" w:cs="Courier New"/>
          <w:color w:val="000000"/>
          <w:sz w:val="22"/>
        </w:rPr>
        <w:t>unverified_source</w:t>
      </w:r>
      <w:r>
        <w:t xml:space="preserve"> rules removed, fusion-weight and shrinkage settings), scored on the same 2,314 stays.</w:t>
      </w:r>
    </w:p>
    <w:p>
      <w:pPr>
        <w:pStyle w:val="Heading3"/>
      </w:pPr>
      <w:r>
        <w:rPr>
          <w:rFonts w:ascii="Times New Roman" w:hAnsi="Times New Roman" w:eastAsia="Times New Roman" w:cs="Times New Roman"/>
          <w:b/>
          <w:i/>
          <w:color w:val="000000"/>
        </w:rPr>
        <w:t>2.6 Comparators</w:t>
      </w:r>
    </w:p>
    <w:p>
      <w:r>
        <w:t>B1, raw key-analyte threshold; B2, gradient boosting and logistic regression trained on the same analytes, five-fold out-of-fold; registry-off ablation; LLM: an unnamed frontier model run by the authors through a chat interface on 2026-10-21 (n = 60), 2026-10-22 (n = 100) and 2026-10-23 (n = 240), re-read 2026-10-24 and alternative prompt 2026-10-25; the interface exposes no temperature or sampling parameters, so these are the provider defaults; the LLM was accessed through the Arena.ai agent platform, which routes requests among several frontier model families (including GPT, Claude and Gemini) and does not expose the specific model or version to the user; 'unnamed frontier LLM' therefore denotes a capability tier, not a verified identity, and the comparison cannot be reproduced against a named model version—a limitation stated in the Discussion; blinded to labels, with a fixed prompt requesting ten ranked diagnoses from the identical panel, age and sex; 40 panels re-read for test–retest and read with an alternative prompt; scoring against the frozen engine v7 by the same label map and script. Prompts, outputs and the full protocol are released (Supplementary Note 2).</w:t>
      </w:r>
    </w:p>
    <w:p>
      <w:pPr>
        <w:pStyle w:val="Heading3"/>
      </w:pPr>
      <w:r>
        <w:rPr>
          <w:rFonts w:ascii="Times New Roman" w:hAnsi="Times New Roman" w:eastAsia="Times New Roman" w:cs="Times New Roman"/>
          <w:b/>
          <w:i/>
          <w:color w:val="000000"/>
        </w:rPr>
        <w:t>2.7 Post-freeze development version (v8)</w:t>
      </w:r>
    </w:p>
    <w:p>
      <w:r>
        <w:t>After the freeze, twelve review-driven improvement proposals were tested against the frozen artefacts before any code was changed; the procedure, the four supported and eight refuted proposals, and the resulting development version v8 are described in Supplementary Note 9. No frozen number in this paper derives from v8.</w:t>
      </w:r>
    </w:p>
    <w:p>
      <w:pPr>
        <w:pStyle w:val="Heading3"/>
      </w:pPr>
      <w:r>
        <w:rPr>
          <w:rFonts w:ascii="Times New Roman" w:hAnsi="Times New Roman" w:eastAsia="Times New Roman" w:cs="Times New Roman"/>
          <w:b/>
          <w:i/>
          <w:color w:val="000000"/>
        </w:rPr>
        <w:t>2.8 Source-concordance audit</w:t>
      </w:r>
    </w:p>
    <w:p>
      <w:r>
        <w:t>Protocol frozen before sampling (</w:t>
      </w:r>
      <w:r>
        <w:rPr>
          <w:rFonts w:ascii="Courier New" w:hAnsi="Courier New" w:eastAsia="Courier New" w:cs="Courier New"/>
          <w:color w:val="000000"/>
          <w:sz w:val="22"/>
        </w:rPr>
        <w:t>eval/source_audit/PROTOCOL.md</w:t>
      </w:r>
      <w:r>
        <w:t>). Seed 20261026; 100 of 272 curated anchors and 100 executable candidates (50 "eICU-relevant": feature present in ≥ 50% of eICU first panels and disease in an evaluated label group; 50 uniform from the rest), registry 14.1.0. Fields compared: analyte, operator/threshold with unit, population qualifier, disease attribution. Labels CONCORDANT / DISCORDANT / UNRESOLVABLE with the tie-break "when in doubt, unresolvable"; unresolvable is never counted as concordant. Sources were retrieved by the registry locator (curl, 20 s), with Crossref title and PubMed abstract as fall-back for paywalled DOIs and direct PDF retrieval for KDIGO guidelines. Rates are reported with two denominators (resolvable and all sampled) and Wilson 95% CIs. The rater was an AI agent under the first author's supervision (declared); the protocol's second-rater arm did not yield a valid dataset under the quotation rule and no inter-rater reliability is claimed.</w:t>
      </w:r>
    </w:p>
    <w:p>
      <w:pPr>
        <w:pStyle w:val="Heading3"/>
      </w:pPr>
      <w:r>
        <w:rPr>
          <w:rFonts w:ascii="Times New Roman" w:hAnsi="Times New Roman" w:eastAsia="Times New Roman" w:cs="Times New Roman"/>
          <w:b/>
          <w:i/>
          <w:color w:val="000000"/>
        </w:rPr>
        <w:t>2.9 Statistics and software</w:t>
      </w:r>
    </w:p>
    <w:p>
      <w:r>
        <w:t>Labels are nested in stays (ICC 0.04); eICU proportions and paired differences use stay-cluster bootstrap (4,000 resamples) and the cluster-adjusted McNemar test [28,29]; Wilson intervals elsewhere; 1,000-sample bootstrap or DeLong for AUROC; NHANES AUROCs additionally weighted by examination weights; Benjamini–Hochberg across per-group tests. Python 3.11/3.13, numpy, pandas, scikit-learn. Reporting follows TRIPOD+AI [30], adapted for a system that is not fitted to data (model-training items answered "not applicable" with justification), with the DECIDE-AI early-stage items consulted for the Limitations; the completed checklist is Supplementary Note 5.7.</w:t>
      </w:r>
    </w:p>
    <w:p>
      <w:pPr>
        <w:pStyle w:val="Heading3"/>
      </w:pPr>
      <w:r>
        <w:rPr>
          <w:rFonts w:ascii="Times New Roman" w:hAnsi="Times New Roman" w:eastAsia="Times New Roman" w:cs="Times New Roman"/>
          <w:b/>
          <w:i/>
          <w:color w:val="000000"/>
        </w:rPr>
        <w:t>R5 Results</w:t>
      </w:r>
    </w:p>
    <w:p>
      <w:pPr>
        <w:pStyle w:val="Heading3"/>
      </w:pPr>
      <w:r>
        <w:rPr>
          <w:rFonts w:ascii="Times New Roman" w:hAnsi="Times New Roman" w:eastAsia="Times New Roman" w:cs="Times New Roman"/>
          <w:b/>
          <w:i/>
          <w:color w:val="000000"/>
        </w:rPr>
        <w:t>3.1 System and knowledge base</w:t>
      </w:r>
    </w:p>
    <w:p>
      <w:r>
        <w:t>The architecture (Fig. 1; Section 2.1) was frozen as engine v7 with registry 14.1.0 (33,183 executable rules: 272 hand-curated anchors and 32,911 AI-drafted, unaudited candidates from 785 guideline sources; ~900 curated syndrome constellations). The engine is deterministic (byte-identical output in 50/50 repeated stays), runs on one CPU core in ~1 s per panel and makes no network calls. Open and proprietary components are tabulated in Supplementary Table S15; only the open components were evaluated.</w:t>
      </w:r>
    </w:p>
    <w:p>
      <w:r>
        <w:t xml:space="preserve">The registry was constructed with AI assistance from guideline text and filtered by automated consistency audits; it has not been audited rule-by-rule by clinicians, so the per-rule error rate is unknown. Each output entry displays its rule's status and evidence tier as machine-readable fields. A provenance audit resolved 112 DOIs via Crossref and reached 533 landing pages; 39 sources were unreachable from our sandbox, 34 lacked a locator, nine invalid DOIs were removed and 28 rules were flagged </w:t>
      </w:r>
      <w:r>
        <w:rPr>
          <w:rFonts w:ascii="Courier New" w:hAnsi="Courier New" w:eastAsia="Courier New" w:cs="Courier New"/>
          <w:color w:val="000000"/>
          <w:sz w:val="22"/>
        </w:rPr>
        <w:t>unverified_source</w:t>
      </w:r>
      <w:r>
        <w:t xml:space="preserve"> (Supplementary Table S10, Fig. S1).</w:t>
      </w:r>
    </w:p>
    <w:p>
      <w:pPr>
        <w:pStyle w:val="Heading3"/>
      </w:pPr>
      <w:r>
        <w:rPr>
          <w:rFonts w:ascii="Times New Roman" w:hAnsi="Times New Roman" w:eastAsia="Times New Roman" w:cs="Times New Roman"/>
          <w:b/>
          <w:i/>
          <w:color w:val="000000"/>
        </w:rPr>
        <w:t>3.2 Pre-specification, freezes and quarantine</w:t>
      </w:r>
    </w:p>
    <w:p>
      <w:r>
        <w:t>Evaluation followed an internal statistical analysis plan with 15 dated amendments (Supplementary Note 1), time-stamped and hash-frozen inside the repository but not publicly registered; we therefore write 'pre-specified', not 'pre-registered'. Before each quarantine round, code and registry were frozen with a SHA-256 manifest, and quarantine data were run once (the MIMIC-IV demo re-run with v7 is the labelled exception). Round 1 (MIMIC-IV demo, NHANES 2013–14, PhysioNet sepsis set B) failed two primary criteria written as superiority over the prior release, because guideline-correctness changes (a single creatinine no longer asserts chronic kidney disease) lowered CKD label recall. We report that failure, re-specified the criteria as non-inferiority (Amendment 15, dated after Round 1 and before any Round-2 file was opened: NHANES AUROC within 0.03 on six targets with ≤1% healthy false assertions; sepsis AUROC not more than 0.02 below; no new safety-battery failure), implemented six further correctness changes (v7) and ran Round 2 (NHANES 2015–16, sepsis set B2, new healthy sweep), which met them (Fig. 2a; Supplementary Table S2). Because the criteria changed between rounds, Round 2 is supportive evidence of non-regression, not the confirmatory test originally planned. All results below are for frozen v7/14.1.0 unless stated.</w:t>
      </w:r>
    </w:p>
    <w:p>
      <w:pPr>
        <w:pStyle w:val="Heading3"/>
      </w:pPr>
      <w:r>
        <w:rPr>
          <w:rFonts w:ascii="Times New Roman" w:hAnsi="Times New Roman" w:eastAsia="Times New Roman" w:cs="Times New Roman"/>
          <w:b/>
          <w:i/>
          <w:color w:val="000000"/>
        </w:rPr>
        <w:t>3.3 Intensive care (eICU-CRD demo)</w:t>
      </w:r>
    </w:p>
    <w:p>
      <w:r>
        <w:t>In 2,314 adult ICU stays from 186 US hospitals, using the first panel with ≥8 analytes and no clinical text, 47.9% (stay-clustered 95% CI 45.8–50.0) of 2,432 clinician-listed, laboratory-relevant diagnoses appeared in the top-3, 60.8% (58.7–62.9) in the top-5 and 74.1% (72.2–76.0) in the top-10 of the flat differential (Table 4); a further 275 coded labels lacked the key analyte and are reported as 'analyte missing'. Raising the analyte threshold to ≥25 changed top-5 recall by ≤1 point. Counting either tier, top-5 recall was 71.9%. Precision@5 was 14.2% (13.3–15.2), F1@5 23.1% and NDCG@5 56.5% (54.1–58.8) against an incomplete problem list (lower bounds). Recall@5 was 88.1% for acute myocardial infarction, 82.8% for heart failure, 83.0% for anaemia and 77.5% for acute kidney injury, but 49.1% for sepsis, 45.1% for diabetes and 35.8% for CKD.</w:t>
      </w:r>
    </w:p>
    <w:p>
      <w:r>
        <w:t>A prevalence-ranking baseline (most frequent groups whose key analyte is present) reached recall@5 51.3% and NDCG@5 39.0%; at k = 10 its recall (76.8%) exceeded the engine's 74.1%, so the engine's advantage is ranking, not coverage (Supplementary Table S11). Automated laboratory-criterion matching of the 10,380 top-5 assertions (fixed single-analyte criteria written before scoring, not clinician adjudication) found 14.2% on the problem list, 54.8% not coded but satisfying the group's laboratory criterion in the same panel, 12.6% criterion-negative—the closest available estimate of true false positives—and 18.4% in groups without a single-analyte criterion. Precision@5 therefore lies between 14.2% and 69.0%; whether the uncoded criterion-positive findings were clinically useful cannot be judged without a clinician.</w:t>
      </w:r>
    </w:p>
    <w:p>
      <w:r>
        <w:t>The reference standard bounds these metrics (Fig. 2b). Of 2,707 label targets, 541 belonged to groups with no single laboratory criterion, 275 lacked the key analyte and 431 were contradicted by the first panel (e.g. hypokalaemia coded with potassium 4.1 mmol/L after repletion). Among the 1,460 labels whose first panel met the guideline criterion—a secondary metric whose thresholds were fixed before scoring but whose definition followed observation of the ceiling—flat recall was 29.6/62.5/78.0/91.8% at k = 1/3/5/10 (Supplementary Fig. S3).</w:t>
      </w:r>
    </w:p>
    <w:p>
      <w:r>
        <w:t>Three comparators used identical inputs (Fig. 4). A raw key-analyte threshold matched or exceeded the engine's AUROC for single-analyte groups (hyperkalaemia 0.96 vs 0.92; anaemia 0.83 vs 0.78), as expected for findings that are definitions. Gradient boosting and logistic regression trained on the labels (five-fold out-of-fold) exceeded the untrained engine only in outcome-defined groups without a laboratory signature—sepsis (0.82 vs 0.68), GI bleeding (0.85 vs 0.75), alcohol withdrawal (0.80 vs 0.54)—and were matched or beaten in nine guideline-defined groups (CKD 0.79 vs 0.81; hyponatraemia 0.85 vs 0.89; cirrhosis 0.83 vs 0.87). Adding documented history and medications raised recall@5 by 0.9 points for labels not named in the history (n = 2,467) but by 23.3 points for labels already named (n = 240); the context arm mainly echoes documentation and is reported only in the Supplement.</w:t>
      </w:r>
    </w:p>
    <w:p>
      <w:pPr>
        <w:pStyle w:val="Heading3"/>
      </w:pPr>
      <w:r>
        <w:rPr>
          <w:rFonts w:ascii="Times New Roman" w:hAnsi="Times New Roman" w:eastAsia="Times New Roman" w:cs="Times New Roman"/>
          <w:b/>
          <w:i/>
          <w:color w:val="000000"/>
        </w:rPr>
        <w:t>3.4 Component ablation</w:t>
      </w:r>
    </w:p>
    <w:p>
      <w:r>
        <w:t>Two components carry the signal (Table 1; Supplementary Table S12). Removing the rule-engine vote cost 12.1 points of flat recall@5 (−14.4 to −9.8) and removing the expert syndrome layer cost 9.5 points (−11.1 to −7.9). The Bayesian network contributed 1.3 points; the fuzzy, knowledge-graph and risk-model layers and the fusion refinements each lay within ±0.5 points; uniform fusion weights cost 1.4 points and rule-heavy or rule-light weights changed recall by ≤1.1 points, so the hand-set weights are not a hidden tuning knob. Restricting the registry to the 272 curated anchors (32,911 AI-drafted rules off) lowered flat recall@5 by 0.9 points (−2.1 to +0.2) with the syndrome layer on and by 3.1 points with it off; the syndrome layer contributed 9.5 points with the full registry and 11.7 with anchors only. The AI-drafted bulk is therefore partly redundant with the syndrome layer rather than inert, but the headline rests on the curated anchors and syndrome constellations—the components not yet independently audited—and registry scale is not claimed as a merit.</w:t>
      </w:r>
    </w:p>
    <w:p>
      <w:pPr>
        <w:pStyle w:val="Heading3"/>
      </w:pPr>
      <w:r>
        <w:rPr>
          <w:rFonts w:ascii="Times New Roman" w:hAnsi="Times New Roman" w:eastAsia="Times New Roman" w:cs="Times New Roman"/>
          <w:b/>
          <w:i/>
          <w:color w:val="000000"/>
        </w:rPr>
        <w:t>3.5 Community survey: three independent NHANES cycles</w:t>
      </w:r>
    </w:p>
    <w:p>
      <w:r>
        <w:t>In 3,000 adults per cycle, unweighted AUROCs reproduced across the development cycle (2017–18) and the two quarantine cycles (2013–14, 2015–16): diabetes 0.946/0.938/0.924, CKD 0.959/0.968/0.962, anaemia 0.972/0.994/0.983, iron deficiency 0.989/–/0.972, hyperuricaemia 0.943/0.958/0.955, hypercholesterolaemia 0.905/0.883/0.886 and ALT elevation 0.872/0.880/0.877 (Fig. 5; Table 3). A correction: the previous version quoted 0.721 for ALT in 2017–18; that value came from registry 14.0.0, not the frozen v7. These laboratory-defined labels overlap the inputs and test criterion recognition; against self-reported physician diagnosis, AUROC was 0.90–0.92 for diabetes and 0.75–0.82 for kidney disease. Examination weights changed laboratory-defined AUROCs by ≤0.015 but lowered self-reported kidney disease in 2017–18 from 0.816 to 0.744 (Supplementary Table S7). Among guideline-healthy adults (30-analyte filter, Supplementary Note 5), the engine asserted a disease in 1/160, 1/246 and 0/79 (2/485, 0.4%); because the filter covers 30 analytes, this is a lower bound on false assertions. Separately, 0/1,000 synthetic guideline-normal panels produced a disease (a regression check, not evidence).</w:t>
      </w:r>
    </w:p>
    <w:p>
      <w:pPr>
        <w:pStyle w:val="Heading3"/>
      </w:pPr>
      <w:r>
        <w:rPr>
          <w:rFonts w:ascii="Times New Roman" w:hAnsi="Times New Roman" w:eastAsia="Times New Roman" w:cs="Times New Roman"/>
          <w:b/>
          <w:i/>
          <w:color w:val="000000"/>
        </w:rPr>
        <w:t>3.6 External cohorts and case reports</w:t>
      </w:r>
    </w:p>
    <w:p>
      <w:r>
        <w:t>On the UCI thyroid referral set AUROC was 0.979 (0.974–0.983) for hypothyroidism and 0.798 (0.783–0.814) for hyperthyroidism; on the HCV cohort 0.925 (0.881–0.962) for any liver disease; on ILPD 0.704 (0.661–0.747); in the MIMIC-IV demo top-5/10 recall was 47.5/62.1% (v7 re-run); on 50 PMC case reports the specific diagnosis was in the top five in 26% and the correct syndrome in 68% (Table 3; full results in Supplementary Note 10).</w:t>
      </w:r>
    </w:p>
    <w:p>
      <w:pPr>
        <w:pStyle w:val="Heading3"/>
      </w:pPr>
      <w:r>
        <w:rPr>
          <w:rFonts w:ascii="Times New Roman" w:hAnsi="Times New Roman" w:eastAsia="Times New Roman" w:cs="Times New Roman"/>
          <w:b/>
          <w:i/>
          <w:color w:val="000000"/>
        </w:rPr>
        <w:t>3.7 Pre-specified negative result: sepsis</w:t>
      </w:r>
    </w:p>
    <w:p>
      <w:r>
        <w:t>In PhysioNet/CinC 2019, the engine's sepsis score from first-24-h laboratory values discriminated Sepsis-3 onset with AUROC 0.600 (0.575–0.625) in set A, 0.610 (0.583–0.640) in quarantine set B and 0.588 (0.559–0.616) in set B2, versus 0.691, 0.712 and 0.679 for a supervised logistic model on the same features (Fig. 6). Guideline-sourced SIRS/qSOFA rules added afterwards (Amendment 15; developed on A, validated once on B2) added about 0.04 AUROC and are labelled post hoc. Hemoglyph is not a sepsis predictor.</w:t>
      </w:r>
    </w:p>
    <w:p>
      <w:pPr>
        <w:pStyle w:val="Heading3"/>
      </w:pPr>
      <w:r>
        <w:rPr>
          <w:rFonts w:ascii="Times New Roman" w:hAnsi="Times New Roman" w:eastAsia="Times New Roman" w:cs="Times New Roman"/>
          <w:b/>
          <w:i/>
          <w:color w:val="000000"/>
        </w:rPr>
        <w:t>3.8 Blinded comparison with an unnamed frontier LLM</w:t>
      </w:r>
    </w:p>
    <w:p>
      <w:r>
        <w:t>On 400 stays (291 with scorable labels; 596 labels) an unnamed frontier LLM, accessed through an agent platform that does not disclose the model, received the identical panel, age and sex and returned ten ranked diagnoses, blinded to labels (Supplementary Note 2). Recall@5—the pre-specified primary comparison—was 60.7% (56.5–65.0) for Hemoglyph versus 59.6% (55.3–63.6), difference +1.2 points (−2.5 to +5.1; cluster-adjusted McNemar p = 0.54). The LLM was better at rank 1 (28.2% vs 24.0%, p = 0.013) and rank 3 (50.8% vs 47.0%, p = 0.041); the engine at rank 10 (72.0% vs 65.1%, p = 0.0002) and left fewer labels absent (21.8% vs 34.9%); mean reciprocal rank 0.391 vs 0.408 (Fig. 7; Table 5). Crediting either engine tier—a post-hoc metric with no LLM counterpart—gave 69.8% vs 59.6%. An earlier comparison with engine v5.1 had favoured Hemoglyph (64.4%, p = 0.009); the v7 correctness changes removed that advantage. The engine led for GI bleeding (84 vs 50%), diabetes (50 vs 37%) and hypokalaemia (59 vs 41%); the LLM for metabolic acidosis (79 vs 50%), hyperkalaemia (90 vs 70%) and DKA (83 vs 73%). On 40 re-read panels the LLM's agreement with itself was 85.7% (κ = 0.69) and its recall@5 varied by ±5 points across reads and prompts—more than the engine–LLM difference. Both flagged 39/39 CAP critical values in 50 stays, a shared safety floor.</w:t>
      </w:r>
    </w:p>
    <w:p>
      <w:pPr>
        <w:pStyle w:val="Heading3"/>
      </w:pPr>
      <w:r>
        <w:rPr>
          <w:rFonts w:ascii="Times New Roman" w:hAnsi="Times New Roman" w:eastAsia="Times New Roman" w:cs="Times New Roman"/>
          <w:b/>
          <w:i/>
          <w:color w:val="000000"/>
        </w:rPr>
        <w:t>3.9 Calibration, subgroups and robustness</w:t>
      </w:r>
    </w:p>
    <w:p>
      <w:r>
        <w:t>Raw scores were uncalibrated (pooled AUROC 0.797; reliability and decision curves before and after cross-fitted isotonic regression in Fig. 8); subgroup recall by age, sex and unit type, unit-invariance and perturbation results are given in Supplementary Note 11 and Table S4.</w:t>
      </w:r>
    </w:p>
    <w:p>
      <w:pPr>
        <w:pStyle w:val="Heading3"/>
      </w:pPr>
      <w:r>
        <w:rPr>
          <w:rFonts w:ascii="Times New Roman" w:hAnsi="Times New Roman" w:eastAsia="Times New Roman" w:cs="Times New Roman"/>
          <w:b/>
          <w:i/>
          <w:color w:val="000000"/>
        </w:rPr>
        <w:t>3.10 Verification: executable invariants and source concordance</w:t>
      </w:r>
    </w:p>
    <w:p>
      <w:r>
        <w:t>Two further checks were added after the freeze; neither alters a frozen number. First, a property-based test suite</w:t>
      </w:r>
    </w:p>
    <w:p>
      <w:r>
        <w:t>(</w:t>
      </w:r>
      <w:r>
        <w:rPr>
          <w:rFonts w:ascii="Courier New" w:hAnsi="Courier New" w:eastAsia="Courier New" w:cs="Courier New"/>
          <w:color w:val="000000"/>
          <w:sz w:val="22"/>
        </w:rPr>
        <w:t>tests/test_properties.py</w:t>
      </w:r>
      <w:r>
        <w:t>, engine v8.1) states invariants that any correct laboratory-interpretation engine must satisfy</w:t>
      </w:r>
    </w:p>
    <w:p>
      <w:r>
        <w:t>and checks them on randomised panels rather than hand-written vignettes: determinism (identical output on repeated runs),</w:t>
      </w:r>
    </w:p>
    <w:p>
      <w:r>
        <w:t>unit invariance (SI and conventional units give the same ranking, tolerance 10⁻³), directional monotonicity (a more extreme</w:t>
      </w:r>
    </w:p>
    <w:p>
      <w:r>
        <w:t>value never lowers the probability of the finding it defines; 14 analyte–direction pairs including creatinine, glucose up and</w:t>
      </w:r>
    </w:p>
    <w:p>
      <w:r>
        <w:t>down, potassium up and down, sodium up and down, haemoglobin, ALT, bicarbonate, leukocytes up and down, platelets),</w:t>
      </w:r>
    </w:p>
    <w:p>
      <w:r>
        <w:t>absent-analyte invariance (a syndrome is never asserted from an analyte that is not present) and context invariants</w:t>
      </w:r>
    </w:p>
    <w:p>
      <w:r>
        <w:t>(documented CKD never raises acute kidney injury; borderline-value flags behave as specified). All 21 tests pass. The suite</w:t>
      </w:r>
    </w:p>
    <w:p>
      <w:r>
        <w:t>exposed one genuine defect that the 353 adversarial vignettes had not: a well-supported renal finding was capped beneath a</w:t>
      </w:r>
    </w:p>
    <w:p>
      <w:r>
        <w:t>presumptive explainer scoring below 0.80, so the leading renal probability fell as creatinine rose from 1.6 to 2.2 mg/dL; the</w:t>
      </w:r>
    </w:p>
    <w:p>
      <w:r>
        <w:t>fix applies an existing rule uniformly and passed the full gate (eICU 48.4/61.0/74.1% versus 47.9/60.8/74.1%, inside the v7</w:t>
      </w:r>
    </w:p>
    <w:p>
      <w:r>
        <w:t>confidence intervals). These tests establish logical consistency, not clinical correctness: a mistranscribed threshold passes</w:t>
      </w:r>
    </w:p>
    <w:p>
      <w:r>
        <w:t>every invariant.</w:t>
      </w:r>
    </w:p>
    <w:p>
      <w:r>
        <w:t>Second, a source-concordance audit asked whether the rule transcribes what its cited source says (Methods; Supplementary</w:t>
      </w:r>
    </w:p>
    <w:p>
      <w:r>
        <w:t>Note 8). Of 200 rules sampled under a frozen protocol (100 curated anchors, 100 candidates), only 16 could be resolved from</w:t>
      </w:r>
    </w:p>
    <w:p>
      <w:r>
        <w:t>the locators the registry provides: 15 were discordant (7 attribution errors among curated anchors, such as a hypernatraemia</w:t>
      </w:r>
    </w:p>
    <w:p>
      <w:r>
        <w:t>rule citing the hyponatraemia guideline, and 8 thresholds or definitions absent from an on-topic source, including a</w:t>
      </w:r>
    </w:p>
    <w:p>
      <w:r>
        <w:t>candidate AKI "criterion" defined by a fixed creatinine &gt; 1.1 mg/dL and attributed to KDIGO 2012, which defines AKI only by</w:t>
      </w:r>
    </w:p>
    <w:p>
      <w:r>
        <w:t>change from baseline) and 1 concordant. The remaining 184 (92%, 95% CI 87.4–95.1) were unresolvable—12 with no retrievable</w:t>
      </w:r>
    </w:p>
    <w:p>
      <w:r>
        <w:t>text, 55 with only a title or abstract, 46 citing only generic methodological standards (WHO essential diagnostics list, CLSI</w:t>
      </w:r>
    </w:p>
    <w:p>
      <w:r>
        <w:t>EP28/C59) that cannot contain a disease-specific threshold, and 71 landing pages. Because an attribution error is visible from</w:t>
      </w:r>
    </w:p>
    <w:p>
      <w:r>
        <w:t>a title while concordance needs the full text, the 15/16 ratio is not an estimate of the registry's discordance rate; the</w:t>
      </w:r>
    </w:p>
    <w:p>
      <w:r>
        <w:t>defensible statements are that at least 7.5% (4.6–12.0) of sampled rules are demonstrably discordant and that the registry,</w:t>
      </w:r>
    </w:p>
    <w:p>
      <w:r>
        <w:t>as released, is not auditable rule-by-rule from its own locators. The audit was performed by a single declared rater (an AI agent under the first author's direction); the protocol's second-rater arm did not yield a valid dataset and is not reported. No inter-rater reliability is therefore claimed for the audit, and its two figures (92% unverifiable, ≥ 7.5% discordant) should be read as one rater's finding under a frozen protocol that anyone can re-run.</w:t>
      </w:r>
    </w:p>
    <w:p>
      <w:pPr>
        <w:pStyle w:val="Heading3"/>
      </w:pPr>
      <w:r>
        <w:rPr>
          <w:rFonts w:ascii="Times New Roman" w:hAnsi="Times New Roman" w:eastAsia="Times New Roman" w:cs="Times New Roman"/>
          <w:b/>
          <w:i/>
          <w:color w:val="000000"/>
        </w:rPr>
        <w:t>R5 Discussion</w:t>
      </w:r>
    </w:p>
    <w:p>
      <w:r>
        <w:t>A guideline-transcribed rule engine with no training data recovered 61% of clinician-listed ICU diagnoses in five suggestions from laboratory values alone (78% on the post-hoc panel-supported subset), reproduced screening AUROCs across three NHANES cycles while asserting disease in at most one adult per healthy cohort, and was statistically indistinguishable from an unnamed frontier LLM on the pre-specified metric, with the LLM stronger at rank 1 and the engine at coverage. Its advantages are determinism, local execution and traceability to a cited rule, not accuracy. It failed, as pre-specified, to predict sepsis.</w:t>
      </w:r>
    </w:p>
    <w:p>
      <w:r>
        <w:t>Five findings shape how these numbers should be read. First, the ~60% ceiling is largely a property of the reference standard: a quarter of admission-level labels were not inferable from the first panel, and a supervised model trained on the labels themselves did not exceed 0.82 AUROC for outcome-defined groups. The panel-supported metric was defined after the ceiling was observed and is structurally optimistic; we present it alongside, not instead of, the flat metric. Second, the untrained engine matched supervised models wherever a guideline definition exists and lost wherever the label is an outcome (sepsis, bleeding, withdrawal) learned from hidden correlates—the expected division of labour between knowledge and learning, which argues for hybrid rather than replacement designs. Third, the LLM and the engine make different errors: differences are small where a single analyte defines the label (renal impairment 83% vs 81%) and large where a multi-analyte pattern must be assembled or where the LLM prefers a broader term; the LLM's test–retest variability exceeded the between-system difference. Fourth, the ablation locates the result in the rule-engine vote and the curated syndrome constellations, written by a non-clinician first author from guideline criteria and not independently validated; the 33,000-rule registry adds one to three points. We therefore describe Hemoglyph as guideline-</w:t>
      </w:r>
      <w:r>
        <w:rPr>
          <w:i/>
        </w:rPr>
        <w:t>transcribed</w:t>
      </w:r>
      <w:r>
        <w:t xml:space="preserve"> rather than guideline-derived: the result is what such a transcription achieves, not what the guidelines themselves would achieve. The expert floor (fused score ≥0.90 × rule vote) means the learned layers can modulate but not veto a rule—a deliberate bias towards explicit criteria that trades the possibility of a learned layer correcting a wrong rule for the guarantee that every surfaced diagnosis is traceable to one. Fifth, a prevalence-ranking baseline reaches recall@5 of 51% and overtakes the engine at k = 10; the engine's measurable contribution is ordering (NDCG@5 56.5% vs 39.0%; recall@3 47.9% vs 36.1%) and per-stay specificity (precision@5 14.2% vs 10.8%), and precision against an incomplete problem list remains low in absolute terms.</w:t>
      </w:r>
    </w:p>
    <w:p>
      <w:r>
        <w:t>Our design addresses criticisms levelled at recent LLM benchmarks—unstable metrics, leakage and post-hoc selection [26,31]. Releases were frozen with manifests; quarantine data were run once; a failed round is reported with its original criteria and the subsequent weakening to non-inferiority is disclosed; the post-hoc sepsis additions are labelled. The cost of correctness is visible: moving from the product release to v7 cost three points of flat recall, almost entirely because a single creatinine no longer asserts CKD and a normal leukocyte count no longer yields a syndrome; our first submission reported superiority over the LLM against an earlier engine version, and the apparent advantage was not retained when the frozen v7 engine was evaluated. Compared with Isabel and DXplain, which take symptoms and have been evaluated on 36–201 cases [13–16,32], this study isolates laboratory-only reasoning on more than 20,000 real encounters and releases its knowledge base under an open licence at a time when the main public executable-guideline repository has been withdrawn. Because the rules were AI-drafted, open release is a precondition for—not a substitute for—expert audit; every leaf carries a source locator, so a clinician can accept, amend or reject a rule and the change is versioned.</w:t>
      </w:r>
    </w:p>
    <w:p>
      <w:r>
        <w:t>Where might such an engine be used? Not as an autonomous diagnostician. Its natural positions are the post-analytical step of a laboratory information system—interpretive comments and critical-pattern alerts generated locally—and a reproducible, auditable baseline against which LLM-based interpretation can be measured. The two architectures could be combined: a language model to extract and normalise free-text results (the step at which our automatic parser lost half the PMC cases) and a rule engine to reason over them. We chose laboratory-only inputs as the primary arm because documented history inflates recall mainly by echoing the diagnosis already written down (+23 points for labels named in the history versus +1 otherwise). We did not tune the engine to the sepsis task after the pre-specified result because an outcome-fitted rule would have been a supervised model in disguise.</w:t>
      </w:r>
    </w:p>
    <w:p>
      <w:r>
        <w:t>Post-freeze proposals were tested against the frozen artefacts before any code changed (Section 2.7; Supplementary Notes 7 and 9); a separate supervised sepsis companion reached held-out AUROC 0.654/0.631 versus the engine's 0.610/0.588. The verification results reframe what this paper can claim. Executable invariants are a genuine methodological advantage of a rule engine over an LLM—they can be stated, run on every release and violated only visibly—and they found a defect that vignettes had missed. The source-concordance audit, however, shows the limit of such verification: the registry's locators are organisation-level URLs and generic standards, so most rules cannot be checked against their source at all, and where they could be checked the error was usually one of attribution. Concordance is a necessary, not sufficient, condition for validity—a rule can quote its source exactly and still encode an outdated threshold—so an independent clinical audit remains the essential next step, and section-level locators are a precondition for it. Consequent registry actions (planned for release 15, none altering the frozen v7 results): section- or table-level locators for every source, re-sourcing or retirement of the 46 sampled candidates—and the class they represent—whose only citation is a generic methodological standard, and correction of the five curated-anchor attribution errors identified. The output design (a rule identifier and source citation for every entry) is consistent with the transparency principle of Criterion 4 of the FDA's January 2026 clinical-decision-support guidance; determining regulatory status is outside the scope of this paper and no claim about it is made. None of these post-freeze versions (v8, v8.1) has been through a quarantine round, and no frozen number here derives from them.</w:t>
      </w:r>
    </w:p>
    <w:p>
      <w:r>
        <w:t>What would change the evidence level? A rule audit by independent clinicians on a random sample with inter-rater agreement; the credentialed full eICU and MIMIC-IV releases, on which the released scripts run unchanged; and a clinician-in-the-loop crossover study measuring accuracy, time and automation bias, for which a protocol has been drafted. Until then, the claims of this paper are bounded to retrospective, laboratory-only performance.</w:t>
      </w:r>
    </w:p>
    <w:p>
      <w:pPr>
        <w:pStyle w:val="Heading3"/>
      </w:pPr>
      <w:r>
        <w:rPr>
          <w:rFonts w:ascii="Times New Roman" w:hAnsi="Times New Roman" w:eastAsia="Times New Roman" w:cs="Times New Roman"/>
          <w:b/>
          <w:i/>
          <w:color w:val="000000"/>
        </w:rPr>
        <w:t>4.1 Limitations</w:t>
      </w:r>
    </w:p>
    <w:p>
      <w:r>
        <w:t>The knowledge base has not been audited rule-by-rule by clinicians, and the non-clinical source-concordance audit reported here shows that 92% of sampled rules cannot even be checked against their cited source from the locator provided, while at least 7.5% are demonstrably discordant; the components that carry the result—272 anchor rules and ~900 syndrome constellations—were written by a non-clinician first author; 34 sources lack a locator; the Bayesian priors are hand-coded without a per-value citation table. No version-control history exists for the development period, so the claim that no change was outcome-fitted rests on the dated change log. Only the open demo subsets of eICU and MIMIC-IV were used; the reference standards are admission-level problem lists and ICD codes, not adjudicated panel-level diagnoses. The LLM comparison is an author-run self-baseline through an agent platform that does not disclose the model, so it is not reproducible against a named model; it used two prompts, no retrieval augmentation and no clinician adjudication, and the model's training data may include the public eICU demo. The quarantine criteria were weakened after round 1 failed; the panel-supported metric is post hoc; the OCR front end was not evaluated; laboratory-defined NHANES labels overlap the inputs; raw scores are uncalibrated; the external cohorts are small and ILPD discrimination was modest. No clinician-in-the-loop evaluation was performed. Iranian populations and non-English laboratory conventions were not evaluated. The first author is a secondary-school student with a financial interest in the commercial product, and the system, including 99.2% of the rules, was developed with AI-agent assistance. Hemoglyph is a research prototype with no regulatory clearance.</w:t>
      </w:r>
    </w:p>
    <w:p>
      <w:pPr>
        <w:pStyle w:val="Heading1"/>
      </w:pPr>
      <w:r>
        <w:rPr>
          <w:rFonts w:ascii="Times New Roman" w:hAnsi="Times New Roman" w:eastAsia="Times New Roman" w:cs="Times New Roman"/>
          <w:b/>
          <w:i w:val="0"/>
          <w:color w:val="000000"/>
        </w:rPr>
        <w:t>Supplementary Note 17 — Component ablation and community/external results; moved verbatim from the R6 main text (R7 condensation)</w:t>
      </w:r>
    </w:p>
    <w:p>
      <w:pPr>
        <w:pStyle w:val="Heading3"/>
      </w:pPr>
      <w:r>
        <w:rPr>
          <w:rFonts w:ascii="Times New Roman" w:hAnsi="Times New Roman" w:eastAsia="Times New Roman" w:cs="Times New Roman"/>
          <w:b/>
          <w:i/>
          <w:color w:val="000000"/>
        </w:rPr>
        <w:t>R6 §3.5 Component ablation</w:t>
      </w:r>
    </w:p>
    <w:p>
      <w:r>
        <w:t>Two components carry the signal (Table 1; Supplementary Table S12): removing the rule-engine vote cost 12.1 points of flat recall@5 (−14.4 to −9.8) and removing the syndrome layer 9.5 points (−11.1 to −7.9). The Bayesian network contributed 1.3 points; the other layers and any fusion-weight profile changed recall by ≤ 1.4 points. Restricting the registry to the 272 curated anchors (32,911 AI-drafted rules off) lowered recall@5 by 0.9 points (−2.1 to +0.2) with the syndrome layer on and 3.1 points with it off. The headline therefore rests on the hand-curated components, and registry scale is not claimed as a merit.</w:t>
      </w:r>
    </w:p>
    <w:p>
      <w:pPr>
        <w:pStyle w:val="Heading3"/>
      </w:pPr>
      <w:r>
        <w:rPr>
          <w:rFonts w:ascii="Times New Roman" w:hAnsi="Times New Roman" w:eastAsia="Times New Roman" w:cs="Times New Roman"/>
          <w:b/>
          <w:i/>
          <w:color w:val="000000"/>
        </w:rPr>
        <w:t>R6 §3.6 Community survey, external cohorts and the pre-specified negative result</w:t>
      </w:r>
    </w:p>
    <w:p>
      <w:r>
        <w:t>In 3,000 NHANES adults per cycle, unweighted AUROCs reproduced across the development cycle (2017–18) and the two quarantine cycles (2013–14, 2015–16): diabetes 0.946/0.938/0.924, CKD 0.959/0.968/0.962, anaemia 0.972/0.994/0.983, hyperuricaemia 0.943/0.958/0.955, hypercholesterolaemia 0.905/0.883/0.886, ALT elevation 0.872/0.880/0.877 (Fig. 5; Table 4). These laboratory-defined labels overlap the inputs; against self-reported physician diagnosis AUROC was 0.90–0.92 for diabetes and 0.75–0.82 for kidney disease. Among guideline-healthy adults the engine asserted a disease in 2/485 (0.4%). External cohorts (UCI thyroid 0.979/0.798, HCV 0.925, ILPD 0.704, MIMIC-IV demo top-5 47.5%, PMC case reports 26% specific/68% syndrome) are in Table 4 and Supplementary Note 10. In PhysioNet/CinC 2019 the engine's sepsis score discriminated Sepsis-3 onset with AUROC 0.600, 0.610 and 0.588 in sets A, B and B2 versus 0.691, 0.712 and 0.679 for a supervised logistic model on the same features (Fig. 6); Hemoglyph is not a sepsis predictor and was not tuned to the task afterwards. Raw scores were uncalibrated (pooled AUROC 0.797; Fig. 8); subgroup and robustness results are in Supplementary Note 11.</w:t>
      </w:r>
    </w:p>
    <w:p>
      <w:pPr>
        <w:pStyle w:val="Heading3"/>
      </w:pPr>
      <w:r>
        <w:rPr>
          <w:rFonts w:ascii="Times New Roman" w:hAnsi="Times New Roman" w:eastAsia="Times New Roman" w:cs="Times New Roman"/>
          <w:b/>
          <w:i/>
          <w:color w:val="000000"/>
        </w:rPr>
        <w:t>Earlier releases on the same eICU cohort (rows removed from main-text Table 3)</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rPr>
          <w:cantSplit/>
          <w:tblHeader/>
        </w:trPr>
        <w:tc>
          <w:tcPr>
            <w:tcW w:type="dxa" w:w="1296"/>
            <w:shd w:val="clear" w:fill="F2F2F2"/>
          </w:tcPr>
          <w:p>
            <w:pPr>
              <w:spacing w:line="240" w:lineRule="auto" w:after="0" w:before="0"/>
            </w:pPr>
            <w:r>
              <w:rPr>
                <w:b/>
              </w:rPr>
            </w:r>
            <w:r>
              <w:rPr>
                <w:b/>
                <w:sz w:val="16"/>
              </w:rPr>
              <w:t>Release</w:t>
            </w:r>
          </w:p>
        </w:tc>
        <w:tc>
          <w:tcPr>
            <w:tcW w:type="dxa" w:w="1296"/>
            <w:shd w:val="clear" w:fill="F2F2F2"/>
          </w:tcPr>
          <w:p>
            <w:pPr>
              <w:spacing w:line="240" w:lineRule="auto" w:after="0" w:before="0"/>
            </w:pPr>
            <w:r>
              <w:rPr>
                <w:b/>
              </w:rPr>
            </w:r>
            <w:r>
              <w:rPr>
                <w:b/>
                <w:sz w:val="16"/>
              </w:rPr>
              <w:t>flat @3</w:t>
            </w:r>
          </w:p>
        </w:tc>
        <w:tc>
          <w:tcPr>
            <w:tcW w:type="dxa" w:w="1296"/>
            <w:shd w:val="clear" w:fill="F2F2F2"/>
          </w:tcPr>
          <w:p>
            <w:pPr>
              <w:spacing w:line="240" w:lineRule="auto" w:after="0" w:before="0"/>
            </w:pPr>
            <w:r>
              <w:rPr>
                <w:b/>
              </w:rPr>
            </w:r>
            <w:r>
              <w:rPr>
                <w:b/>
                <w:sz w:val="16"/>
              </w:rPr>
              <w:t>flat @5</w:t>
            </w:r>
          </w:p>
        </w:tc>
        <w:tc>
          <w:tcPr>
            <w:tcW w:type="dxa" w:w="1296"/>
            <w:shd w:val="clear" w:fill="F2F2F2"/>
          </w:tcPr>
          <w:p>
            <w:pPr>
              <w:spacing w:line="240" w:lineRule="auto" w:after="0" w:before="0"/>
            </w:pPr>
            <w:r>
              <w:rPr>
                <w:b/>
              </w:rPr>
            </w:r>
            <w:r>
              <w:rPr>
                <w:b/>
                <w:sz w:val="16"/>
              </w:rPr>
              <w:t>flat @10</w:t>
            </w:r>
          </w:p>
        </w:tc>
        <w:tc>
          <w:tcPr>
            <w:tcW w:type="dxa" w:w="1296"/>
            <w:shd w:val="clear" w:fill="F2F2F2"/>
          </w:tcPr>
          <w:p>
            <w:pPr>
              <w:spacing w:line="240" w:lineRule="auto" w:after="0" w:before="0"/>
            </w:pPr>
            <w:r>
              <w:rPr>
                <w:b/>
              </w:rPr>
            </w:r>
            <w:r>
              <w:rPr>
                <w:b/>
                <w:sz w:val="16"/>
              </w:rPr>
              <w:t>two-tier @5</w:t>
            </w:r>
          </w:p>
        </w:tc>
        <w:tc>
          <w:tcPr>
            <w:tcW w:type="dxa" w:w="1296"/>
            <w:shd w:val="clear" w:fill="F2F2F2"/>
          </w:tcPr>
          <w:p>
            <w:pPr>
              <w:spacing w:line="240" w:lineRule="auto" w:after="0" w:before="0"/>
            </w:pPr>
            <w:r>
              <w:rPr>
                <w:b/>
              </w:rPr>
            </w:r>
            <w:r>
              <w:rPr>
                <w:b/>
                <w:sz w:val="16"/>
              </w:rPr>
              <w:t>panel-supported @5 / @10 (n = 1,460)</w:t>
            </w:r>
          </w:p>
        </w:tc>
        <w:tc>
          <w:tcPr>
            <w:tcW w:type="dxa" w:w="1296"/>
            <w:shd w:val="clear" w:fill="F2F2F2"/>
          </w:tcPr>
          <w:p>
            <w:pPr>
              <w:spacing w:line="240" w:lineRule="auto" w:after="0" w:before="0"/>
            </w:pPr>
            <w:r>
              <w:rPr>
                <w:b/>
              </w:rPr>
            </w:r>
            <w:r>
              <w:rPr>
                <w:b/>
                <w:sz w:val="16"/>
              </w:rPr>
              <w:t>two-tier panel-supported @5 / @10</w:t>
            </w:r>
          </w:p>
        </w:tc>
      </w:tr>
      <w:tr>
        <w:trPr>
          <w:cantSplit/>
        </w:trPr>
        <w:tc>
          <w:tcPr>
            <w:tcW w:type="dxa" w:w="1296"/>
          </w:tcPr>
          <w:p>
            <w:pPr>
              <w:spacing w:line="240" w:lineRule="auto" w:after="0" w:before="0"/>
            </w:pPr>
            <w:r/>
            <w:r>
              <w:rPr>
                <w:sz w:val="16"/>
              </w:rPr>
              <w:t>13.4.2 (product)</w:t>
            </w:r>
          </w:p>
        </w:tc>
        <w:tc>
          <w:tcPr>
            <w:tcW w:type="dxa" w:w="1296"/>
          </w:tcPr>
          <w:p>
            <w:pPr>
              <w:spacing w:line="240" w:lineRule="auto" w:after="0" w:before="0"/>
            </w:pPr>
            <w:r/>
            <w:r>
              <w:rPr>
                <w:sz w:val="16"/>
              </w:rPr>
              <w:t>49.3</w:t>
            </w:r>
          </w:p>
        </w:tc>
        <w:tc>
          <w:tcPr>
            <w:tcW w:type="dxa" w:w="1296"/>
          </w:tcPr>
          <w:p>
            <w:pPr>
              <w:spacing w:line="240" w:lineRule="auto" w:after="0" w:before="0"/>
            </w:pPr>
            <w:r/>
            <w:r>
              <w:rPr>
                <w:sz w:val="16"/>
              </w:rPr>
              <w:t>63.7</w:t>
            </w:r>
          </w:p>
        </w:tc>
        <w:tc>
          <w:tcPr>
            <w:tcW w:type="dxa" w:w="1296"/>
          </w:tcPr>
          <w:p>
            <w:pPr>
              <w:spacing w:line="240" w:lineRule="auto" w:after="0" w:before="0"/>
            </w:pPr>
            <w:r/>
            <w:r>
              <w:rPr>
                <w:sz w:val="16"/>
              </w:rPr>
              <w:t>76.9</w:t>
            </w:r>
          </w:p>
        </w:tc>
        <w:tc>
          <w:tcPr>
            <w:tcW w:type="dxa" w:w="1296"/>
          </w:tcPr>
          <w:p>
            <w:pPr>
              <w:spacing w:line="240" w:lineRule="auto" w:after="0" w:before="0"/>
            </w:pPr>
            <w:r/>
            <w:r>
              <w:rPr>
                <w:sz w:val="16"/>
              </w:rPr>
              <w:t>—</w:t>
            </w:r>
          </w:p>
        </w:tc>
        <w:tc>
          <w:tcPr>
            <w:tcW w:type="dxa" w:w="1296"/>
          </w:tcPr>
          <w:p>
            <w:pPr>
              <w:spacing w:line="240" w:lineRule="auto" w:after="0" w:before="0"/>
            </w:pPr>
            <w:r/>
            <w:r>
              <w:rPr>
                <w:sz w:val="16"/>
              </w:rPr>
              <w:t>81.6 / 95.1</w:t>
            </w:r>
          </w:p>
        </w:tc>
        <w:tc>
          <w:tcPr>
            <w:tcW w:type="dxa" w:w="1296"/>
          </w:tcPr>
          <w:p>
            <w:pPr>
              <w:spacing w:line="240" w:lineRule="auto" w:after="0" w:before="0"/>
            </w:pPr>
            <w:r/>
            <w:r>
              <w:rPr>
                <w:sz w:val="16"/>
              </w:rPr>
              <w:t>—</w:t>
            </w:r>
          </w:p>
        </w:tc>
      </w:tr>
      <w:tr>
        <w:trPr>
          <w:cantSplit/>
        </w:trPr>
        <w:tc>
          <w:tcPr>
            <w:tcW w:type="dxa" w:w="1296"/>
          </w:tcPr>
          <w:p>
            <w:pPr>
              <w:spacing w:line="240" w:lineRule="auto" w:after="0" w:before="0"/>
            </w:pPr>
            <w:r/>
            <w:r>
              <w:rPr>
                <w:sz w:val="16"/>
              </w:rPr>
              <w:t>14.1.0 + v6</w:t>
            </w:r>
          </w:p>
        </w:tc>
        <w:tc>
          <w:tcPr>
            <w:tcW w:type="dxa" w:w="1296"/>
          </w:tcPr>
          <w:p>
            <w:pPr>
              <w:spacing w:line="240" w:lineRule="auto" w:after="0" w:before="0"/>
            </w:pPr>
            <w:r/>
            <w:r>
              <w:rPr>
                <w:sz w:val="16"/>
              </w:rPr>
              <w:t>48.5</w:t>
            </w:r>
          </w:p>
        </w:tc>
        <w:tc>
          <w:tcPr>
            <w:tcW w:type="dxa" w:w="1296"/>
          </w:tcPr>
          <w:p>
            <w:pPr>
              <w:spacing w:line="240" w:lineRule="auto" w:after="0" w:before="0"/>
            </w:pPr>
            <w:r/>
            <w:r>
              <w:rPr>
                <w:sz w:val="16"/>
              </w:rPr>
              <w:t>60.8</w:t>
            </w:r>
          </w:p>
        </w:tc>
        <w:tc>
          <w:tcPr>
            <w:tcW w:type="dxa" w:w="1296"/>
          </w:tcPr>
          <w:p>
            <w:pPr>
              <w:spacing w:line="240" w:lineRule="auto" w:after="0" w:before="0"/>
            </w:pPr>
            <w:r/>
            <w:r>
              <w:rPr>
                <w:sz w:val="16"/>
              </w:rPr>
              <w:t>74.1</w:t>
            </w:r>
          </w:p>
        </w:tc>
        <w:tc>
          <w:tcPr>
            <w:tcW w:type="dxa" w:w="1296"/>
          </w:tcPr>
          <w:p>
            <w:pPr>
              <w:spacing w:line="240" w:lineRule="auto" w:after="0" w:before="0"/>
            </w:pPr>
            <w:r/>
            <w:r>
              <w:rPr>
                <w:sz w:val="16"/>
              </w:rPr>
              <w:t>71.7</w:t>
            </w:r>
          </w:p>
        </w:tc>
        <w:tc>
          <w:tcPr>
            <w:tcW w:type="dxa" w:w="1296"/>
          </w:tcPr>
          <w:p>
            <w:pPr>
              <w:spacing w:line="240" w:lineRule="auto" w:after="0" w:before="0"/>
            </w:pPr>
            <w:r/>
            <w:r>
              <w:rPr>
                <w:sz w:val="16"/>
              </w:rPr>
              <w:t>78.0 / 91.8</w:t>
            </w:r>
          </w:p>
        </w:tc>
        <w:tc>
          <w:tcPr>
            <w:tcW w:type="dxa" w:w="1296"/>
          </w:tcPr>
          <w:p>
            <w:pPr>
              <w:spacing w:line="240" w:lineRule="auto" w:after="0" w:before="0"/>
            </w:pPr>
            <w:r/>
            <w:r>
              <w:rPr>
                <w:sz w:val="16"/>
              </w:rPr>
              <w:t>88.9 / 97.2</w:t>
            </w:r>
          </w:p>
        </w:tc>
      </w:tr>
      <w:tr>
        <w:trPr>
          <w:cantSplit/>
        </w:trPr>
        <w:tc>
          <w:tcPr>
            <w:tcW w:type="dxa" w:w="1296"/>
          </w:tcPr>
          <w:p>
            <w:pPr>
              <w:spacing w:line="240" w:lineRule="auto" w:after="0" w:before="0"/>
            </w:pPr>
            <w:r/>
            <w:r>
              <w:rPr>
                <w:sz w:val="16"/>
              </w:rPr>
              <w:t>14.1.0 + v7 (frozen)</w:t>
            </w:r>
          </w:p>
        </w:tc>
        <w:tc>
          <w:tcPr>
            <w:tcW w:type="dxa" w:w="1296"/>
          </w:tcPr>
          <w:p>
            <w:pPr>
              <w:spacing w:line="240" w:lineRule="auto" w:after="0" w:before="0"/>
            </w:pPr>
            <w:r/>
            <w:r>
              <w:rPr>
                <w:sz w:val="16"/>
              </w:rPr>
              <w:t>47.9</w:t>
            </w:r>
          </w:p>
        </w:tc>
        <w:tc>
          <w:tcPr>
            <w:tcW w:type="dxa" w:w="1296"/>
          </w:tcPr>
          <w:p>
            <w:pPr>
              <w:spacing w:line="240" w:lineRule="auto" w:after="0" w:before="0"/>
            </w:pPr>
            <w:r/>
            <w:r>
              <w:rPr>
                <w:sz w:val="16"/>
              </w:rPr>
              <w:t>60.8</w:t>
            </w:r>
          </w:p>
        </w:tc>
        <w:tc>
          <w:tcPr>
            <w:tcW w:type="dxa" w:w="1296"/>
          </w:tcPr>
          <w:p>
            <w:pPr>
              <w:spacing w:line="240" w:lineRule="auto" w:after="0" w:before="0"/>
            </w:pPr>
            <w:r/>
            <w:r>
              <w:rPr>
                <w:sz w:val="16"/>
              </w:rPr>
              <w:t>74.1</w:t>
            </w:r>
          </w:p>
        </w:tc>
        <w:tc>
          <w:tcPr>
            <w:tcW w:type="dxa" w:w="1296"/>
          </w:tcPr>
          <w:p>
            <w:pPr>
              <w:spacing w:line="240" w:lineRule="auto" w:after="0" w:before="0"/>
            </w:pPr>
            <w:r/>
            <w:r>
              <w:rPr>
                <w:sz w:val="16"/>
              </w:rPr>
              <w:t>71.9</w:t>
            </w:r>
          </w:p>
        </w:tc>
        <w:tc>
          <w:tcPr>
            <w:tcW w:type="dxa" w:w="1296"/>
          </w:tcPr>
          <w:p>
            <w:pPr>
              <w:spacing w:line="240" w:lineRule="auto" w:after="0" w:before="0"/>
            </w:pPr>
            <w:r/>
            <w:r>
              <w:rPr>
                <w:sz w:val="16"/>
              </w:rPr>
              <w:t>78.0 / 91.8</w:t>
            </w:r>
          </w:p>
        </w:tc>
        <w:tc>
          <w:tcPr>
            <w:tcW w:type="dxa" w:w="1296"/>
          </w:tcPr>
          <w:p>
            <w:pPr>
              <w:spacing w:line="240" w:lineRule="auto" w:after="0" w:before="0"/>
            </w:pPr>
            <w:r/>
            <w:r>
              <w:rPr>
                <w:sz w:val="16"/>
              </w:rPr>
              <w:t>89.2 / 97.2</w:t>
            </w:r>
          </w:p>
        </w:tc>
      </w:tr>
    </w:tbl>
    <w:p/>
    <w:p>
      <w:pPr>
        <w:pStyle w:val="Heading1"/>
      </w:pPr>
      <w:r>
        <w:rPr>
          <w:rFonts w:ascii="Times New Roman" w:hAnsi="Times New Roman" w:eastAsia="Times New Roman" w:cs="Times New Roman"/>
          <w:b/>
          <w:i w:val="0"/>
          <w:color w:val="000000"/>
        </w:rPr>
        <w:t>Supplementary Note 13 — Black-box property-conformance benchmark (engine and LLM on identical perturbed panels; declared 2026-10-27)</w:t>
      </w:r>
    </w:p>
    <w:p>
      <w:r>
        <w:rPr>
          <w:b/>
        </w:rPr>
        <w:t>Rationale.</w:t>
      </w:r>
      <w:r>
        <w:t xml:space="preserve"> The invariants of Section 2.3 run inside the engine's process. Four of them can be stated for any reader that maps a panel to a ranked list, so they were run as a black-box benchmark on real panels with the engine and the LLM of Note 2 receiving identical inputs. The panel generator, the scoring script and all metric definitions were committed before any reading was collected; predictions registered at that time were: LLM top-5 Jaccard 0.6–0.8 for P2/P3, engine violations 10–30 % for P4, LLM unsupported assertions 30–60 % for P5.</w:t>
      </w:r>
    </w:p>
    <w:p>
      <w:r>
        <w:rPr>
          <w:b/>
        </w:rPr>
        <w:t>Panels</w:t>
      </w:r>
      <w:r>
        <w:t xml:space="preserve"> (</w:t>
      </w:r>
      <w:r>
        <w:rPr>
          <w:rFonts w:ascii="Courier New" w:hAnsi="Courier New" w:eastAsia="Courier New" w:cs="Courier New"/>
          <w:color w:val="000000"/>
          <w:sz w:val="22"/>
        </w:rPr>
        <w:t>eval/blackbox/make_property_panels.py</w:t>
      </w:r>
      <w:r>
        <w:t>, seed 20261027; base stays drawn from the 400 already read blind, so no new label exposure). P2: 40 panels re-expressed in SI units (creatinine µmol/L, glucose/urea/calcium/magnesium/phosphate/lipids mmol/L, bilirubin µmol/L, haemoglobin/albumin/protein g/L, lactate mg/dL). P3: the same 40 with analyte order shuffled and up to five normal-valued distractors appended (MCV 89 fL, alkaline phosphatase 72 U/L, total protein 6.9 g/dL, chloride 102 mmol/L, TSH 1.8 mIU/L; a distractor was only added when the analyte id was absent, but two distractor ids were aliases of analytes already present, see Residuals). P4: 20 stays with baseline creatinine 0.6–1.3 mg/dL, each at ×1.0/×1.5/×2.0. P5: 40 stays in which a criterion-met diagnosis ranked ≤ 3 by the frozen engine; its defining analyte (for creatinine also urea) was removed; the reader never saw the target or the removed analyte. The healthy-adult property (P6) was not re-run because the earlier blinded NHANES 2017–18 test (40 guideline-healthy + 30 reference-positive adults, same reader) already covers it.</w:t>
      </w:r>
    </w:p>
    <w:p>
      <w:r>
        <w:rPr>
          <w:b/>
        </w:rPr>
        <w:t>Reads.</w:t>
      </w:r>
      <w:r>
        <w:t xml:space="preserve"> Engine: live run on each panel; reference for P2/P3 = live run on the conventional-unit twin built by the same generator (deterministic). LLM: the same agent-platform reader as Note 2, blind to labels, targets and removed analytes, returning ten named entries with probabilities, mapped to label groups by the synonym table of Note 2. The LLM reference for P2/P3 is its original blind reading from an earlier session, so its Jaccard includes test–retest variability (κ 0.69). For P4 the ladder step was visible to the LLM reader (the panel key carries it), so the LLM P4 row is not a blind result.</w:t>
      </w:r>
    </w:p>
    <w:p>
      <w:r>
        <w:rPr>
          <w:b/>
        </w:rPr>
        <w:t>Metrics</w:t>
      </w:r>
      <w:r>
        <w:t xml:space="preserve"> (</w:t>
      </w:r>
      <w:r>
        <w:rPr>
          <w:rFonts w:ascii="Courier New" w:hAnsi="Courier New" w:eastAsia="Courier New" w:cs="Courier New"/>
          <w:color w:val="000000"/>
          <w:sz w:val="22"/>
        </w:rPr>
        <w:t>eval/blackbox/score_property_panels.py</w:t>
      </w:r>
      <w:r>
        <w:t>). P2/P3: Jaccard of top-5 label-group sets versus the reference, share of identical sets, and the change in clinician-label recall@5. P4: share of ladders in which the best renal rank (acute kidney injury, renal impairment, CKD) worsens at any step. P5: share of panels in which the target group is still at rank ≤ 5; a post-hoc row (declared after the first scoring run) excludes panels in which a redundant analyte remained (haematocrit for haemoglobin, CK-MB/troponin T for troponin I, anion gap/pH/base excess for bicarbonate).</w:t>
      </w:r>
    </w:p>
    <w:tbl>
      <w:tblPr>
        <w:tblStyle w:val="TableGrid"/>
        <w:tblW w:type="auto" w:w="0"/>
        <w:jc w:val="center"/>
        <w:tblLook w:firstColumn="1" w:firstRow="1" w:lastColumn="0" w:lastRow="0" w:noHBand="0" w:noVBand="1" w:val="04A0"/>
      </w:tblPr>
      <w:tblGrid>
        <w:gridCol w:w="3024"/>
        <w:gridCol w:w="3024"/>
        <w:gridCol w:w="3024"/>
      </w:tblGrid>
      <w:tr>
        <w:trPr>
          <w:cantSplit/>
          <w:tblHeader/>
        </w:trPr>
        <w:tc>
          <w:tcPr>
            <w:tcW w:type="dxa" w:w="3024"/>
            <w:shd w:val="clear" w:fill="F2F2F2"/>
          </w:tcPr>
          <w:p>
            <w:pPr>
              <w:spacing w:line="240" w:lineRule="auto" w:after="0" w:before="0"/>
            </w:pPr>
            <w:r>
              <w:rPr>
                <w:b/>
              </w:rPr>
            </w:r>
            <w:r>
              <w:rPr>
                <w:b/>
                <w:sz w:val="16"/>
              </w:rPr>
              <w:t>Property (n)</w:t>
            </w:r>
          </w:p>
        </w:tc>
        <w:tc>
          <w:tcPr>
            <w:tcW w:type="dxa" w:w="3024"/>
            <w:shd w:val="clear" w:fill="F2F2F2"/>
          </w:tcPr>
          <w:p>
            <w:pPr>
              <w:spacing w:line="240" w:lineRule="auto" w:after="0" w:before="0"/>
            </w:pPr>
            <w:r>
              <w:rPr>
                <w:b/>
              </w:rPr>
            </w:r>
            <w:r>
              <w:rPr>
                <w:b/>
                <w:sz w:val="16"/>
              </w:rPr>
              <w:t>Engine</w:t>
            </w:r>
          </w:p>
        </w:tc>
        <w:tc>
          <w:tcPr>
            <w:tcW w:type="dxa" w:w="3024"/>
            <w:shd w:val="clear" w:fill="F2F2F2"/>
          </w:tcPr>
          <w:p>
            <w:pPr>
              <w:spacing w:line="240" w:lineRule="auto" w:after="0" w:before="0"/>
            </w:pPr>
            <w:r>
              <w:rPr>
                <w:b/>
              </w:rPr>
            </w:r>
            <w:r>
              <w:rPr>
                <w:b/>
                <w:sz w:val="16"/>
              </w:rPr>
              <w:t>LLM</w:t>
            </w:r>
          </w:p>
        </w:tc>
      </w:tr>
      <w:tr>
        <w:trPr>
          <w:cantSplit/>
        </w:trPr>
        <w:tc>
          <w:tcPr>
            <w:tcW w:type="dxa" w:w="3024"/>
          </w:tcPr>
          <w:p>
            <w:pPr>
              <w:spacing w:line="240" w:lineRule="auto" w:after="0" w:before="0"/>
            </w:pPr>
            <w:r/>
            <w:r>
              <w:rPr>
                <w:sz w:val="16"/>
              </w:rPr>
              <w:t>P2 SI units: identical top-5 / mean Jaccard / label Δ (40)</w:t>
            </w:r>
          </w:p>
        </w:tc>
        <w:tc>
          <w:tcPr>
            <w:tcW w:type="dxa" w:w="3024"/>
          </w:tcPr>
          <w:p>
            <w:pPr>
              <w:spacing w:line="240" w:lineRule="auto" w:after="0" w:before="0"/>
            </w:pPr>
            <w:r/>
            <w:r>
              <w:rPr>
                <w:sz w:val="16"/>
              </w:rPr>
              <w:t>40/40 / 1.00 / 0 (v8.1 first run: 36/40 / 0.98)</w:t>
            </w:r>
          </w:p>
        </w:tc>
        <w:tc>
          <w:tcPr>
            <w:tcW w:type="dxa" w:w="3024"/>
          </w:tcPr>
          <w:p>
            <w:pPr>
              <w:spacing w:line="240" w:lineRule="auto" w:after="0" w:before="0"/>
            </w:pPr>
            <w:r/>
            <w:r>
              <w:rPr>
                <w:sz w:val="16"/>
              </w:rPr>
              <w:t>8/40 / 0.72 / +3</w:t>
            </w:r>
          </w:p>
        </w:tc>
      </w:tr>
      <w:tr>
        <w:trPr>
          <w:cantSplit/>
        </w:trPr>
        <w:tc>
          <w:tcPr>
            <w:tcW w:type="dxa" w:w="3024"/>
          </w:tcPr>
          <w:p>
            <w:pPr>
              <w:spacing w:line="240" w:lineRule="auto" w:after="0" w:before="0"/>
            </w:pPr>
            <w:r/>
            <w:r>
              <w:rPr>
                <w:sz w:val="16"/>
              </w:rPr>
              <w:t>P3 shuffle + distractors (40)</w:t>
            </w:r>
          </w:p>
        </w:tc>
        <w:tc>
          <w:tcPr>
            <w:tcW w:type="dxa" w:w="3024"/>
          </w:tcPr>
          <w:p>
            <w:pPr>
              <w:spacing w:line="240" w:lineRule="auto" w:after="0" w:before="0"/>
            </w:pPr>
            <w:r/>
            <w:r>
              <w:rPr>
                <w:sz w:val="16"/>
              </w:rPr>
              <w:t>35/40 / 0.96 / 0</w:t>
            </w:r>
          </w:p>
        </w:tc>
        <w:tc>
          <w:tcPr>
            <w:tcW w:type="dxa" w:w="3024"/>
          </w:tcPr>
          <w:p>
            <w:pPr>
              <w:spacing w:line="240" w:lineRule="auto" w:after="0" w:before="0"/>
            </w:pPr>
            <w:r/>
            <w:r>
              <w:rPr>
                <w:sz w:val="16"/>
              </w:rPr>
              <w:t>10/40 / 0.73 / +3</w:t>
            </w:r>
          </w:p>
        </w:tc>
      </w:tr>
      <w:tr>
        <w:trPr>
          <w:cantSplit/>
        </w:trPr>
        <w:tc>
          <w:tcPr>
            <w:tcW w:type="dxa" w:w="3024"/>
          </w:tcPr>
          <w:p>
            <w:pPr>
              <w:spacing w:line="240" w:lineRule="auto" w:after="0" w:before="0"/>
            </w:pPr>
            <w:r/>
            <w:r>
              <w:rPr>
                <w:sz w:val="16"/>
              </w:rPr>
              <w:t>P4 monotonicity violations (20 ladders)</w:t>
            </w:r>
          </w:p>
        </w:tc>
        <w:tc>
          <w:tcPr>
            <w:tcW w:type="dxa" w:w="3024"/>
          </w:tcPr>
          <w:p>
            <w:pPr>
              <w:spacing w:line="240" w:lineRule="auto" w:after="0" w:before="0"/>
            </w:pPr>
            <w:r/>
            <w:r>
              <w:rPr>
                <w:sz w:val="16"/>
              </w:rPr>
              <w:t>2/20</w:t>
            </w:r>
          </w:p>
        </w:tc>
        <w:tc>
          <w:tcPr>
            <w:tcW w:type="dxa" w:w="3024"/>
          </w:tcPr>
          <w:p>
            <w:pPr>
              <w:spacing w:line="240" w:lineRule="auto" w:after="0" w:before="0"/>
            </w:pPr>
            <w:r/>
            <w:r>
              <w:rPr>
                <w:sz w:val="16"/>
              </w:rPr>
              <w:t>0/20 (step visible)</w:t>
            </w:r>
          </w:p>
        </w:tc>
      </w:tr>
      <w:tr>
        <w:trPr>
          <w:cantSplit/>
        </w:trPr>
        <w:tc>
          <w:tcPr>
            <w:tcW w:type="dxa" w:w="3024"/>
          </w:tcPr>
          <w:p>
            <w:pPr>
              <w:spacing w:line="240" w:lineRule="auto" w:after="0" w:before="0"/>
            </w:pPr>
            <w:r/>
            <w:r>
              <w:rPr>
                <w:sz w:val="16"/>
              </w:rPr>
              <w:t>P5 unsupported assertion (40)</w:t>
            </w:r>
          </w:p>
        </w:tc>
        <w:tc>
          <w:tcPr>
            <w:tcW w:type="dxa" w:w="3024"/>
          </w:tcPr>
          <w:p>
            <w:pPr>
              <w:spacing w:line="240" w:lineRule="auto" w:after="0" w:before="0"/>
            </w:pPr>
            <w:r/>
            <w:r>
              <w:rPr>
                <w:sz w:val="16"/>
              </w:rPr>
              <w:t>3/40</w:t>
            </w:r>
          </w:p>
        </w:tc>
        <w:tc>
          <w:tcPr>
            <w:tcW w:type="dxa" w:w="3024"/>
          </w:tcPr>
          <w:p>
            <w:pPr>
              <w:spacing w:line="240" w:lineRule="auto" w:after="0" w:before="0"/>
            </w:pPr>
            <w:r/>
            <w:r>
              <w:rPr>
                <w:sz w:val="16"/>
              </w:rPr>
              <w:t>14/40</w:t>
            </w:r>
          </w:p>
        </w:tc>
      </w:tr>
      <w:tr>
        <w:trPr>
          <w:cantSplit/>
        </w:trPr>
        <w:tc>
          <w:tcPr>
            <w:tcW w:type="dxa" w:w="3024"/>
          </w:tcPr>
          <w:p>
            <w:pPr>
              <w:spacing w:line="240" w:lineRule="auto" w:after="0" w:before="0"/>
            </w:pPr>
            <w:r/>
            <w:r>
              <w:rPr>
                <w:sz w:val="16"/>
              </w:rPr>
              <w:t>P5, no redundant analyte left (29; post hoc)</w:t>
            </w:r>
          </w:p>
        </w:tc>
        <w:tc>
          <w:tcPr>
            <w:tcW w:type="dxa" w:w="3024"/>
          </w:tcPr>
          <w:p>
            <w:pPr>
              <w:spacing w:line="240" w:lineRule="auto" w:after="0" w:before="0"/>
            </w:pPr>
            <w:r/>
            <w:r>
              <w:rPr>
                <w:sz w:val="16"/>
              </w:rPr>
              <w:t>1/29</w:t>
            </w:r>
          </w:p>
        </w:tc>
        <w:tc>
          <w:tcPr>
            <w:tcW w:type="dxa" w:w="3024"/>
          </w:tcPr>
          <w:p>
            <w:pPr>
              <w:spacing w:line="240" w:lineRule="auto" w:after="0" w:before="0"/>
            </w:pPr>
            <w:r/>
            <w:r>
              <w:rPr>
                <w:sz w:val="16"/>
              </w:rPr>
              <w:t>4/29</w:t>
            </w:r>
          </w:p>
        </w:tc>
      </w:tr>
      <w:tr>
        <w:trPr>
          <w:cantSplit/>
        </w:trPr>
        <w:tc>
          <w:tcPr>
            <w:tcW w:type="dxa" w:w="3024"/>
          </w:tcPr>
          <w:p>
            <w:pPr>
              <w:spacing w:line="240" w:lineRule="auto" w:after="0" w:before="0"/>
            </w:pPr>
            <w:r/>
            <w:r>
              <w:rPr>
                <w:sz w:val="16"/>
              </w:rPr>
              <w:t>Healthy adults, disease asserted at p ≥ 0.5 (40; NHANES 2017–18)</w:t>
            </w:r>
          </w:p>
        </w:tc>
        <w:tc>
          <w:tcPr>
            <w:tcW w:type="dxa" w:w="3024"/>
          </w:tcPr>
          <w:p>
            <w:pPr>
              <w:spacing w:line="240" w:lineRule="auto" w:after="0" w:before="0"/>
            </w:pPr>
            <w:r/>
            <w:r>
              <w:rPr>
                <w:sz w:val="16"/>
              </w:rPr>
              <w:t>0/40</w:t>
            </w:r>
          </w:p>
        </w:tc>
        <w:tc>
          <w:tcPr>
            <w:tcW w:type="dxa" w:w="3024"/>
          </w:tcPr>
          <w:p>
            <w:pPr>
              <w:spacing w:line="240" w:lineRule="auto" w:after="0" w:before="0"/>
            </w:pPr>
            <w:r/>
            <w:r>
              <w:rPr>
                <w:sz w:val="16"/>
              </w:rPr>
              <w:t>4/40</w:t>
            </w:r>
          </w:p>
        </w:tc>
      </w:tr>
    </w:tbl>
    <w:p/>
    <w:p>
      <w:r>
        <w:rPr>
          <w:b/>
        </w:rPr>
        <w:t>Defect found and fixed.</w:t>
      </w:r>
      <w:r>
        <w:t xml:space="preserve"> The first engine run gave 36/40 identical P2 sets. All four discrepancies traced to one cause: a record mirrored under an engine-internal legacy identifier (</w:t>
      </w:r>
      <w:r>
        <w:rPr>
          <w:rFonts w:ascii="Courier New" w:hAnsi="Courier New" w:eastAsia="Courier New" w:cs="Courier New"/>
          <w:color w:val="000000"/>
          <w:sz w:val="22"/>
        </w:rPr>
        <w:t>bilirubin_total</w:t>
      </w:r>
      <w:r>
        <w:t>) was not canonicalised because that identifier has no registry metadata, so a normal bilirubin of 9 µmol/L was compared with the 8 mg/dL panic threshold (false critical alert) and scored as high by the fuzzy and Bayesian layers (cholestasis 0.49 → 0.58). The in-process P2 test had not reached this path because it used glucose and creatinine. The fix resolves legacy identifiers to the registry feature they mirror before canonicalisation and before the panic check; a regression test (</w:t>
      </w:r>
      <w:r>
        <w:rPr>
          <w:rFonts w:ascii="Courier New" w:hAnsi="Courier New" w:eastAsia="Courier New" w:cs="Courier New"/>
          <w:color w:val="000000"/>
          <w:sz w:val="22"/>
        </w:rPr>
        <w:t>tests/test_properties.py::test_p2_unit_invariance_legacy_alias_ids</w:t>
      </w:r>
      <w:r>
        <w:t>, bilirubin/urea/phosphate in SI units) fails before and passes after the fix; the 705-test suite passes; the fix is in v8.2 and the frozen v7 results are unchanged.</w:t>
      </w:r>
    </w:p>
    <w:p>
      <w:r>
        <w:rPr>
          <w:b/>
        </w:rPr>
        <w:t>Residuals.</w:t>
      </w:r>
      <w:r>
        <w:t xml:space="preserve"> P3 engine 5/40: in three stays the alias distractors (</w:t>
      </w:r>
      <w:r>
        <w:rPr>
          <w:rFonts w:ascii="Courier New" w:hAnsi="Courier New" w:eastAsia="Courier New" w:cs="Courier New"/>
          <w:color w:val="000000"/>
          <w:sz w:val="22"/>
        </w:rPr>
        <w:t>mcv</w:t>
      </w:r>
      <w:r>
        <w:t xml:space="preserve"> 89, </w:t>
      </w:r>
      <w:r>
        <w:rPr>
          <w:rFonts w:ascii="Courier New" w:hAnsi="Courier New" w:eastAsia="Courier New" w:cs="Courier New"/>
          <w:color w:val="000000"/>
          <w:sz w:val="22"/>
        </w:rPr>
        <w:t>tsh</w:t>
      </w:r>
      <w:r>
        <w:t xml:space="preserve"> 1.8) duplicated an analyte already present under its canonical id with a different value (measured MCV 100.5 fL; TSH 4.7 and 4.3 mIU/L), so the perturbation was not value-preserving there; in two stays the differential had fewer than five entries and 0.15-probability items entered the top-5 set. P4 engine 2/20: at the ×2.0 step the renal cluster's best rank fell because the engine switched from "reduced GFR, chronicity undetermined" (anchor 0.92) to a lower-scored acute-kidney-injury entry; logged as a candidate for the next release, not changed. P5 engine 3/40: two anaemia panels with haematocrit present (supported) and one assertion of acute kidney injury with neither creatinine nor urea in the panel (a defect candidate). P5 LLM 14/40: ten with a redundant analyte present (eight anaemia with haematocrit, one myocardial infarction with CK-MB 28 ng/mL, one metabolic acidosis with anion gap 24.5); four without (three "diabetic ketoacidosis" from acid–base data alone, one heart failure without BNP).</w:t>
      </w:r>
    </w:p>
    <w:p>
      <w:r>
        <w:rPr>
          <w:b/>
        </w:rPr>
        <w:t>Interpretation.</w:t>
      </w:r>
      <w:r>
        <w:t xml:space="preserve"> The engine kept unit and presentation invariance where the LLM's ranking changed in most panels, and asserted the target without its defining analyte less often; but the LLM's P2/P3 figures are bounded by its own retest variability, the P4 LLM row is not blind, and the properties test consistency, not correctness. The practical difference is that an engine violation is a reproducible bug report (two were found here), whereas an LLM's changed answer is not actionable.</w:t>
      </w:r>
    </w:p>
    <w:p>
      <w:r>
        <w:rPr>
          <w:b/>
        </w:rPr>
        <w:t>LabPanel-Check (released package, `eval/labpanel_check/`).</w:t>
      </w:r>
      <w:r>
        <w:t xml:space="preserve"> The 180 perturbed eICU panels and their 40 conventional references, the 70 NHANES panels of the B5 blind test, the 31-group label map (entity ids and free-text regular expressions), a scorer that depends only on the Python standard library (</w:t>
      </w:r>
      <w:r>
        <w:rPr>
          <w:rFonts w:ascii="Courier New" w:hAnsi="Courier New" w:eastAsia="Courier New" w:cs="Courier New"/>
          <w:color w:val="000000"/>
          <w:sz w:val="22"/>
        </w:rPr>
        <w:t>score.py</w:t>
      </w:r>
      <w:r>
        <w:t xml:space="preserve">) and both reference readings are packaged so that any reader can be scored with one command; </w:t>
      </w:r>
      <w:r>
        <w:rPr>
          <w:rFonts w:ascii="Courier New" w:hAnsi="Courier New" w:eastAsia="Courier New" w:cs="Courier New"/>
          <w:color w:val="000000"/>
          <w:sz w:val="22"/>
        </w:rPr>
        <w:t>tests/test_labpanel_check.py</w:t>
      </w:r>
      <w:r>
        <w:t xml:space="preserve"> asserts that the scorer reproduces every figure of this Note from the stored readings. The engine reference card was regenerated at package build with engine v8.2 and registry 15.2.0 and differs from the table above in one cell: P2 39/40 instead of 40/40. In the discordant pair (eICU stay 508973) the generator rounds creatinine 1.3 mg/dL to 115 µmol/L, which converts back to 1.3009 mg/dL and crosses the strict "&gt; 1.3 mg/dL" leaf of rule </w:t>
      </w:r>
      <w:r>
        <w:rPr>
          <w:rFonts w:ascii="Courier New" w:hAnsi="Courier New" w:eastAsia="Courier New" w:cs="Courier New"/>
          <w:color w:val="000000"/>
          <w:sz w:val="22"/>
        </w:rPr>
        <w:t>reduced_gfr_single_panel_v14</w:t>
      </w:r>
      <w:r>
        <w:t>; the same leaf fired in the 2026-10-27 run, but acute kidney injury was then in both top-5 sets. All SI values in P2 are rounded (two decimals when the factor is below 1, integers otherwise; ≤ 0.1 % drift), so the package documents this and the scorer lists every non-identical pair. Two descriptive P6 detection rows also changed: engine CKD 10/18 (was 15/18) because registry 15.x caps single-panel CKD assertions below 0.5, and LLM iron deficiency 7/8 (was 8/8) because the original B5 script's match term was a bare string iterated character-wise, a scoring bug corrected on 2026-10-28; the 0/40 and 4/40 healthy-adult rows are unchanged.</w:t>
      </w:r>
    </w:p>
    <w:p>
      <w:pPr>
        <w:pStyle w:val="Heading1"/>
      </w:pPr>
      <w:r>
        <w:rPr>
          <w:rFonts w:ascii="Times New Roman" w:hAnsi="Times New Roman" w:eastAsia="Times New Roman" w:cs="Times New Roman"/>
          <w:b/>
          <w:i w:val="0"/>
          <w:color w:val="000000"/>
        </w:rPr>
        <w:t>Supplementary Note 14 — The engine's criteria as an executable verifier behind the LLM, and the verified-consensus arm (protocols committed 2026-10-27 before computation)</w:t>
      </w:r>
    </w:p>
    <w:p>
      <w:r>
        <w:rPr>
          <w:b/>
        </w:rPr>
        <w:t>Question.</w:t>
      </w:r>
      <w:r>
        <w:t xml:space="preserve"> Whether the guideline criteria already used by the panel-supported metric can serve as a deterministic verifier of an LLM differential drawn from the same panel, and what demoting unsupported entries costs in recall. No LLM call was made: the 400 stored blind readings of Note 2 were re-used.</w:t>
      </w:r>
    </w:p>
    <w:p>
      <w:r>
        <w:rPr>
          <w:b/>
        </w:rPr>
        <w:t>Verifier.</w:t>
      </w:r>
      <w:r>
        <w:t xml:space="preserve"> Each LLM entry is mapped to label groups by the frozen synonym map of Note 2 and receives one verdict: </w:t>
      </w:r>
      <w:r>
        <w:rPr>
          <w:i/>
        </w:rPr>
        <w:t>supported</w:t>
      </w:r>
      <w:r>
        <w:t xml:space="preserve"> (criterion met in the panel), </w:t>
      </w:r>
      <w:r>
        <w:rPr>
          <w:i/>
        </w:rPr>
        <w:t>contradicted</w:t>
      </w:r>
      <w:r>
        <w:t xml:space="preserve"> (defining analyte present, criterion not met), </w:t>
      </w:r>
      <w:r>
        <w:rPr>
          <w:i/>
        </w:rPr>
        <w:t>absent</w:t>
      </w:r>
      <w:r>
        <w:t xml:space="preserve"> (defining analyte not in the panel), or </w:t>
      </w:r>
      <w:r>
        <w:rPr>
          <w:i/>
        </w:rPr>
        <w:t>not verifiable</w:t>
      </w:r>
      <w:r>
        <w:t xml:space="preserve"> (no criterion for the group—sepsis, cirrhosis, GI bleeding, malnutrition, alcohol withdrawal—or no mapped group). An entry mapping to several groups is unsupported only if every verifiable group is unsupported. One key alias was added (the criterion function reads </w:t>
      </w:r>
      <w:r>
        <w:rPr>
          <w:rFonts w:ascii="Courier New" w:hAnsi="Courier New" w:eastAsia="Courier New" w:cs="Courier New"/>
          <w:color w:val="000000"/>
          <w:sz w:val="22"/>
        </w:rPr>
        <w:t>inr</w:t>
      </w:r>
      <w:r>
        <w:t xml:space="preserve">; panels store </w:t>
      </w:r>
      <w:r>
        <w:rPr>
          <w:rFonts w:ascii="Courier New" w:hAnsi="Courier New" w:eastAsia="Courier New" w:cs="Courier New"/>
          <w:color w:val="000000"/>
          <w:sz w:val="22"/>
        </w:rPr>
        <w:t>international_normalized_ratio</w:t>
      </w:r>
      <w:r>
        <w:t>); no threshold was changed. The same alias gap means the published panel-supported metric treated every coagulopathy label as analyte-missing and excluded it; the frozen numbers were not re-run, and the effect is confined to that one group.</w:t>
      </w:r>
    </w:p>
    <w:p>
      <w:r>
        <w:rPr>
          <w:b/>
        </w:rPr>
        <w:t>Arms and metrics.</w:t>
      </w:r>
      <w:r>
        <w:t xml:space="preserve"> A, LLM raw; B, unsupported entries demoted below all others with order preserved; C, unsupported entries removed; D, engine v7; E, the engine's own top-5 passed through the verifier. Recall@k against clinician labels (596, b8 rule) with stay-clustered bootstrap (4,000 resamples); unsupported-assertion rate among mapped, verifiable top-5 entries; verifier cost = demoted entries that were clinician labels. Registered predictions: LLM top-5 unsupported 15–30 %; after demotion &lt; 5 %; recall@5 change −2 to +1 points; cost ≤ 10 %; engine top-5 unsupported 5–15 %.</w:t>
      </w:r>
    </w:p>
    <w:p>
      <w:r>
        <w:rPr>
          <w:b/>
        </w:rPr>
        <w:t>Results</w:t>
      </w:r>
      <w:r>
        <w:t xml:space="preserve"> (</w:t>
      </w:r>
      <w:r>
        <w:rPr>
          <w:rFonts w:ascii="Courier New" w:hAnsi="Courier New" w:eastAsia="Courier New" w:cs="Courier New"/>
          <w:color w:val="000000"/>
          <w:sz w:val="22"/>
        </w:rPr>
        <w:t>eval/verifier/verify_llm_output.py</w:t>
      </w:r>
      <w:r>
        <w:t>). Of 2,424 LLM entries: 1,439 supported, 182 contradicted, 15 absent, 263 not verifiable, 525 out of vocabulary. Top-5 unsupported: LLM 140/1,486 (9.4 %; 10 absent-type), engine 233/1,518 (15.3 %; 0 absent-type). After demotion 84/1,464 (5.7 %). Recall@1/3/5/10: A 28.2/50.8/59.6/65.1; B 29.4/50.3/59.4/65.1; C 29.4/50.2/58.4/63.8; D 24.0/47.0/60.7/72.0. Paired B − A: @1 +1.2 (95 % CI +0.2 to +2.3, p = 0.014); @5 −0.2 (−0.5 to 0.0, p = 0.75). Paired C − A: @5 −1.2 (−2.1 to −0.4, p = 0.001). Cost: 10/197 demoted entries were clinician labels (5.1 %)—stays 1278738 and 1772933 ("prerenal azotemia / GI bleeding", renal criterion not met, GI-bleeding group not verifiable), 294032 and 3086265 (respiratory acidosis matched by "acidosis" to the metabolic-acidosis group; bicarbonate 28.2 and 26.0), 2825782 (alcoholic ketoacidosis; withdrawal label not verifiable), 3131438 (stress hyperglycaemia, glucose 134), 2684065 (mild prerenal azotaemia, creatinine 0.94), 426975 (coagulopathy, INR 1.4), 310446 (DKA, bicarbonate absent), 2767923 (early DKA, bicarbonate 24). Post hoc: 34 of the LLM's 140 unsupported top-5 entries are respiratory-acidosis names; excluding them, 106/1,486 (7.1 %). Engine top-5 failures by group: diabetes 54/123 and hyperglycaemia 33/123 (the label groups contain hyperglycaemia identifiers while the criterion is glucose ≥ 200 mg/dL or HbA1c ≥ 6.5 %, and ≥ 140 mg/dL respectively), renal impairment 49/197 and acute kidney injury 39/170 (entries ranked from the urea:creatinine ratio at creatinine 0.9–1.2 mg/dL in men), hypocalcaemia 17/53 (albumin-corrected calcium), metabolic acidosis 13/85. Agreement between the criterion verdict and the engine's own differential (per mapped group with a criterion): both positive 1,685; criterion negative, engine positive 136; both negative 124; criterion positive, engine negative 51.</w:t>
      </w:r>
    </w:p>
    <w:p>
      <w:r>
        <w:rPr>
          <w:b/>
        </w:rPr>
        <w:t>Predictions.</w:t>
      </w:r>
      <w:r>
        <w:t xml:space="preserve"> Two of five met (recall change; cost). The LLM's raw rate was lower than predicted, the post-demotion rate higher than the &lt; 5 % target (entries remain in the top-5 when a reading has fewer than five supported or non-verifiable entries), and the engine's rate was just above its range.</w:t>
      </w:r>
    </w:p>
    <w:p>
      <w:r>
        <w:rPr>
          <w:b/>
        </w:rPr>
        <w:t>Interpretation and limits.</w:t>
      </w:r>
      <w:r>
        <w:t xml:space="preserve"> The verifier removed 40 % of the LLM's unsupported top-5 assertions at no measurable recall cost and improved rank 1; removing rather than demoting costs about one point. The engine is not exempt: its own output fails the same proxy criteria more often than the LLM's, mostly where its rules are more permissive than the criterion (hyperglycaemia; prerenal patterns), but never without the defining analyte, which is the asymmetry the P5 property measured. The verdicts bound rather than measure unsupported assertion: the criteria are single-threshold proxies, the synonym map is coarse ("acidosis"), and 788 of 2,424 entries could not be verified at all. Nothing was tuned on these results; the thresholds and synonym map are those frozen for Table 5.</w:t>
      </w:r>
    </w:p>
    <w:p>
      <w:r>
        <w:rPr>
          <w:b/>
        </w:rPr>
        <w:t>Verified consensus arm (protocol committed separately before computation; `eval/consensus/verified_consensus.py`).</w:t>
      </w:r>
      <w:r>
        <w:t xml:space="preserve"> One parameter-free rule: B′ = LLM entries with verdict </w:t>
      </w:r>
      <w:r>
        <w:rPr>
          <w:i/>
        </w:rPr>
        <w:t>supported</w:t>
      </w:r>
      <w:r>
        <w:t xml:space="preserve">, in original order; F = reciprocal-rank fusion with k = 0, score(g) = 1/rank_engine(g) + 1/rank_B′(g), ties by engine rank; secondary G = engine list followed by B′ groups absent from it. Registered: F recall@5 63–67 %, recall@1 ≥ 29 %, F top-5 unsupported ≤ 15.3 %, G within 1 point of F; F &lt; 62 % to be reported as "not complementary". Results, recall@1/3/5/10: engine 24.0/47.0/60.7/72.0; LLM 28.2/50.8/59.6/65.1; </w:t>
      </w:r>
      <w:r>
        <w:rPr>
          <w:b/>
        </w:rPr>
        <w:t>F 21.8/46.6/61.2/76.3</w:t>
      </w:r>
      <w:r>
        <w:t>; G 19.1/46.1/59.7/76.2. Paired F − engine: @1 −2.2 (95 % CI −4.9 to +0.5), @5 +0.6 (−2.2 to +3.4, p = 0.77), @10 +4.5 (+2.2 to +6.8, p = 0.0005); F − LLM: @1 −6.4 (−9.7 to −3.2), @5 +1.7 (−1.2 to +4.7, p = 0.27), @10 +11.3 (+7.9 to +14.8). Top-5 unsupported (per group): engine 233/1,518 (15.3 %), LLM 179/1,512 (11.8 %), F 209/1,581 (13.2 %), G 244/1,500 (16.3 %). Of F's 1,870 top-5 entries, 1,836 were already in the engine list and 34 were admitted through the LLM and the criterion only. recall@5 by label stratum (n): criterion met (357) engine 77.9 / LLM 81.0 / F 82.1 / G 77.9; no criterion (131) 51.9 / 43.5 / 42.7 / 46.6; criterion not met (107) 15.0 / 7.5 / 15.0 / 15.9. Only the unsupported-rate prediction was met; F fell below the 62 % rule and is reported as not complementary. Mechanism: the filter discards every LLM entry about a group without a criterion, so the second vote reaches only criterion-defined groups and the engine's constellation-ranked outcome syndromes (sepsis, bleeding, cirrhosis, withdrawal) are pushed down; the gain appears only at rank 10, where the longer fused list recovers labels. No second rule was tried; the negative result bounds what verifier-gated fusion can add on this reference standard.</w:t>
      </w:r>
    </w:p>
    <w:p>
      <w:pPr>
        <w:pStyle w:val="Heading1"/>
      </w:pPr>
      <w:r>
        <w:rPr>
          <w:rFonts w:ascii="Times New Roman" w:hAnsi="Times New Roman" w:eastAsia="Times New Roman" w:cs="Times New Roman"/>
          <w:b/>
          <w:i w:val="0"/>
          <w:color w:val="000000"/>
        </w:rPr>
        <w:t>Supplementary Note 15 — Activity-guided provenance audit (protocol frozen 2026-10-27 before any run; registry 14.2.0, engine harness v8.2; frozen v7 results untouched)</w:t>
      </w:r>
    </w:p>
    <w:p>
      <w:r>
        <w:rPr>
          <w:b/>
        </w:rPr>
        <w:t>Question.</w:t>
      </w:r>
      <w:r>
        <w:t xml:space="preserve"> Which of the 33,183 executable rules actually influence Hemoglyph's output on real panels, and whether concentrating the source audit on those rules changes the picture of Note 8.</w:t>
      </w:r>
    </w:p>
    <w:p>
      <w:r>
        <w:rPr>
          <w:b/>
        </w:rPr>
        <w:t>Phase A — activity log.</w:t>
      </w:r>
      <w:r>
        <w:t xml:space="preserve"> For every rule and every one of 3,814 real panels (2,314 eICU first panels; 1,000 NHANES 2017–18 and 500 NHANES 2015–16 adults, seed 20261027) the harness recorded whether the rule fired and whether its disease entered the top-10 differential. </w:t>
      </w:r>
      <w:r>
        <w:rPr>
          <w:i/>
        </w:rPr>
        <w:t>Active core</w:t>
      </w:r>
      <w:r>
        <w:t xml:space="preserve">: contributed ≥ 1 time; </w:t>
      </w:r>
      <w:r>
        <w:rPr>
          <w:i/>
        </w:rPr>
        <w:t>hot core</w:t>
      </w:r>
      <w:r>
        <w:t>: ≥ 10 times.</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268"/>
            <w:shd w:val="clear" w:fill="F2F2F2"/>
          </w:tcPr>
          <w:p>
            <w:pPr>
              <w:spacing w:line="240" w:lineRule="auto" w:after="0" w:before="0"/>
            </w:pPr>
            <w:r>
              <w:rPr>
                <w:b/>
              </w:rPr>
            </w:r>
            <w:r>
              <w:rPr>
                <w:b/>
                <w:sz w:val="16"/>
              </w:rPr>
              <w:t>set</w:t>
            </w:r>
          </w:p>
        </w:tc>
        <w:tc>
          <w:tcPr>
            <w:tcW w:type="dxa" w:w="2268"/>
            <w:shd w:val="clear" w:fill="F2F2F2"/>
          </w:tcPr>
          <w:p>
            <w:pPr>
              <w:spacing w:line="240" w:lineRule="auto" w:after="0" w:before="0"/>
            </w:pPr>
            <w:r>
              <w:rPr>
                <w:b/>
              </w:rPr>
            </w:r>
            <w:r>
              <w:rPr>
                <w:b/>
                <w:sz w:val="16"/>
              </w:rPr>
              <w:t>rules</w:t>
            </w:r>
          </w:p>
        </w:tc>
        <w:tc>
          <w:tcPr>
            <w:tcW w:type="dxa" w:w="2268"/>
            <w:shd w:val="clear" w:fill="F2F2F2"/>
          </w:tcPr>
          <w:p>
            <w:pPr>
              <w:spacing w:line="240" w:lineRule="auto" w:after="0" w:before="0"/>
            </w:pPr>
            <w:r>
              <w:rPr>
                <w:b/>
              </w:rPr>
            </w:r>
            <w:r>
              <w:rPr>
                <w:b/>
                <w:sz w:val="16"/>
              </w:rPr>
              <w:t>share</w:t>
            </w:r>
          </w:p>
        </w:tc>
        <w:tc>
          <w:tcPr>
            <w:tcW w:type="dxa" w:w="2268"/>
            <w:shd w:val="clear" w:fill="F2F2F2"/>
          </w:tcPr>
          <w:p>
            <w:pPr>
              <w:spacing w:line="240" w:lineRule="auto" w:after="0" w:before="0"/>
            </w:pPr>
            <w:r>
              <w:rPr>
                <w:b/>
              </w:rPr>
            </w:r>
            <w:r>
              <w:rPr>
                <w:b/>
                <w:sz w:val="16"/>
              </w:rPr>
              <w:t>curated anchors</w:t>
            </w:r>
          </w:p>
        </w:tc>
      </w:tr>
      <w:tr>
        <w:trPr>
          <w:cantSplit/>
        </w:trPr>
        <w:tc>
          <w:tcPr>
            <w:tcW w:type="dxa" w:w="2268"/>
          </w:tcPr>
          <w:p>
            <w:pPr>
              <w:spacing w:line="240" w:lineRule="auto" w:after="0" w:before="0"/>
            </w:pPr>
            <w:r/>
            <w:r>
              <w:rPr>
                <w:sz w:val="16"/>
              </w:rPr>
              <w:t>active core</w:t>
            </w:r>
          </w:p>
        </w:tc>
        <w:tc>
          <w:tcPr>
            <w:tcW w:type="dxa" w:w="2268"/>
          </w:tcPr>
          <w:p>
            <w:pPr>
              <w:spacing w:line="240" w:lineRule="auto" w:after="0" w:before="0"/>
            </w:pPr>
            <w:r/>
            <w:r>
              <w:rPr>
                <w:sz w:val="16"/>
              </w:rPr>
              <w:t>364</w:t>
            </w:r>
          </w:p>
        </w:tc>
        <w:tc>
          <w:tcPr>
            <w:tcW w:type="dxa" w:w="2268"/>
          </w:tcPr>
          <w:p>
            <w:pPr>
              <w:spacing w:line="240" w:lineRule="auto" w:after="0" w:before="0"/>
            </w:pPr>
            <w:r/>
            <w:r>
              <w:rPr>
                <w:sz w:val="16"/>
              </w:rPr>
              <w:t>1.1 %</w:t>
            </w:r>
          </w:p>
        </w:tc>
        <w:tc>
          <w:tcPr>
            <w:tcW w:type="dxa" w:w="2268"/>
          </w:tcPr>
          <w:p>
            <w:pPr>
              <w:spacing w:line="240" w:lineRule="auto" w:after="0" w:before="0"/>
            </w:pPr>
            <w:r/>
            <w:r>
              <w:rPr>
                <w:sz w:val="16"/>
              </w:rPr>
              <w:t>46</w:t>
            </w:r>
          </w:p>
        </w:tc>
      </w:tr>
      <w:tr>
        <w:trPr>
          <w:cantSplit/>
        </w:trPr>
        <w:tc>
          <w:tcPr>
            <w:tcW w:type="dxa" w:w="2268"/>
          </w:tcPr>
          <w:p>
            <w:pPr>
              <w:spacing w:line="240" w:lineRule="auto" w:after="0" w:before="0"/>
            </w:pPr>
            <w:r/>
            <w:r>
              <w:rPr>
                <w:sz w:val="16"/>
              </w:rPr>
              <w:t>hot core</w:t>
            </w:r>
          </w:p>
        </w:tc>
        <w:tc>
          <w:tcPr>
            <w:tcW w:type="dxa" w:w="2268"/>
          </w:tcPr>
          <w:p>
            <w:pPr>
              <w:spacing w:line="240" w:lineRule="auto" w:after="0" w:before="0"/>
            </w:pPr>
            <w:r/>
            <w:r>
              <w:rPr>
                <w:sz w:val="16"/>
              </w:rPr>
              <w:t>174</w:t>
            </w:r>
          </w:p>
        </w:tc>
        <w:tc>
          <w:tcPr>
            <w:tcW w:type="dxa" w:w="2268"/>
          </w:tcPr>
          <w:p>
            <w:pPr>
              <w:spacing w:line="240" w:lineRule="auto" w:after="0" w:before="0"/>
            </w:pPr>
            <w:r/>
            <w:r>
              <w:rPr>
                <w:sz w:val="16"/>
              </w:rPr>
              <w:t>0.5 %</w:t>
            </w:r>
          </w:p>
        </w:tc>
        <w:tc>
          <w:tcPr>
            <w:tcW w:type="dxa" w:w="2268"/>
          </w:tcPr>
          <w:p>
            <w:pPr>
              <w:spacing w:line="240" w:lineRule="auto" w:after="0" w:before="0"/>
            </w:pPr>
            <w:r/>
            <w:r>
              <w:rPr>
                <w:sz w:val="16"/>
              </w:rPr>
              <w:t>32</w:t>
            </w:r>
          </w:p>
        </w:tc>
      </w:tr>
      <w:tr>
        <w:trPr>
          <w:cantSplit/>
        </w:trPr>
        <w:tc>
          <w:tcPr>
            <w:tcW w:type="dxa" w:w="2268"/>
          </w:tcPr>
          <w:p>
            <w:pPr>
              <w:spacing w:line="240" w:lineRule="auto" w:after="0" w:before="0"/>
            </w:pPr>
            <w:r/>
            <w:r>
              <w:rPr>
                <w:sz w:val="16"/>
              </w:rPr>
              <w:t>fired, never contributed</w:t>
            </w:r>
          </w:p>
        </w:tc>
        <w:tc>
          <w:tcPr>
            <w:tcW w:type="dxa" w:w="2268"/>
          </w:tcPr>
          <w:p>
            <w:pPr>
              <w:spacing w:line="240" w:lineRule="auto" w:after="0" w:before="0"/>
            </w:pPr>
            <w:r/>
            <w:r>
              <w:rPr>
                <w:sz w:val="16"/>
              </w:rPr>
              <w:t>1,627</w:t>
            </w:r>
          </w:p>
        </w:tc>
        <w:tc>
          <w:tcPr>
            <w:tcW w:type="dxa" w:w="2268"/>
          </w:tcPr>
          <w:p>
            <w:pPr>
              <w:spacing w:line="240" w:lineRule="auto" w:after="0" w:before="0"/>
            </w:pPr>
            <w:r/>
            <w:r>
              <w:rPr>
                <w:sz w:val="16"/>
              </w:rPr>
              <w:t>4.9 %</w:t>
            </w:r>
          </w:p>
        </w:tc>
        <w:tc>
          <w:tcPr>
            <w:tcW w:type="dxa" w:w="2268"/>
          </w:tcPr>
          <w:p>
            <w:pPr>
              <w:spacing w:line="240" w:lineRule="auto" w:after="0" w:before="0"/>
            </w:pPr>
            <w:r/>
            <w:r>
              <w:rPr>
                <w:sz w:val="16"/>
              </w:rPr>
              <w:t>3</w:t>
            </w:r>
          </w:p>
        </w:tc>
      </w:tr>
      <w:tr>
        <w:trPr>
          <w:cantSplit/>
        </w:trPr>
        <w:tc>
          <w:tcPr>
            <w:tcW w:type="dxa" w:w="2268"/>
          </w:tcPr>
          <w:p>
            <w:pPr>
              <w:spacing w:line="240" w:lineRule="auto" w:after="0" w:before="0"/>
            </w:pPr>
            <w:r/>
            <w:r>
              <w:rPr>
                <w:sz w:val="16"/>
              </w:rPr>
              <w:t>dormant on these corpora</w:t>
            </w:r>
          </w:p>
        </w:tc>
        <w:tc>
          <w:tcPr>
            <w:tcW w:type="dxa" w:w="2268"/>
          </w:tcPr>
          <w:p>
            <w:pPr>
              <w:spacing w:line="240" w:lineRule="auto" w:after="0" w:before="0"/>
            </w:pPr>
            <w:r/>
            <w:r>
              <w:rPr>
                <w:sz w:val="16"/>
              </w:rPr>
              <w:t>31,192</w:t>
            </w:r>
          </w:p>
        </w:tc>
        <w:tc>
          <w:tcPr>
            <w:tcW w:type="dxa" w:w="2268"/>
          </w:tcPr>
          <w:p>
            <w:pPr>
              <w:spacing w:line="240" w:lineRule="auto" w:after="0" w:before="0"/>
            </w:pPr>
            <w:r/>
            <w:r>
              <w:rPr>
                <w:sz w:val="16"/>
              </w:rPr>
              <w:t>94.0 %</w:t>
            </w:r>
          </w:p>
        </w:tc>
        <w:tc>
          <w:tcPr>
            <w:tcW w:type="dxa" w:w="2268"/>
          </w:tcPr>
          <w:p>
            <w:pPr>
              <w:spacing w:line="240" w:lineRule="auto" w:after="0" w:before="0"/>
            </w:pPr>
            <w:r/>
            <w:r>
              <w:rPr>
                <w:sz w:val="16"/>
              </w:rPr>
              <w:t>223</w:t>
            </w:r>
          </w:p>
        </w:tc>
      </w:tr>
    </w:tbl>
    <w:p/>
    <w:p>
      <w:r>
        <w:t>Composition quantified while classifying: 24,293 executable rules (73.2 %) belong to 4,026 generated two-analyte co-occurrence pattern entities (</w:t>
      </w:r>
      <w:r>
        <w:rPr>
          <w:rFonts w:ascii="Courier New" w:hAnsi="Courier New" w:eastAsia="Courier New" w:cs="Courier New"/>
          <w:color w:val="000000"/>
          <w:sz w:val="22"/>
        </w:rPr>
        <w:t>co_*</w:t>
      </w:r>
      <w:r>
        <w:t xml:space="preserve">, entity kind </w:t>
      </w:r>
      <w:r>
        <w:rPr>
          <w:rFonts w:ascii="Courier New" w:hAnsi="Courier New" w:eastAsia="Courier New" w:cs="Courier New"/>
          <w:color w:val="000000"/>
          <w:sz w:val="22"/>
        </w:rPr>
        <w:t>biomarker_pattern</w:t>
      </w:r>
      <w:r>
        <w:t>; every one cites the generic WHO essential-diagnostics landing page); 8,890 rules are attached to 2,502 disease, finding, allergy, drug-level or serology entities. In the active core 105/364 rules are templates; a template entity appeared in the frozen v7 top-5 in 62/2,314 eICU stays (2.7 %). First-cited source class, active core vs all executable: DOI-resolved 10.4 % vs 0.8 %; organisation or generic landing page 73.7 % vs 97.3 %; unreachable 12.1 % vs 1.6 %.</w:t>
      </w:r>
    </w:p>
    <w:p>
      <w:r>
        <w:rPr>
          <w:b/>
        </w:rPr>
        <w:t>Phase B — automated locator search.</w:t>
      </w:r>
      <w:r>
        <w:t xml:space="preserve"> Each active rule's registry locator was fetched (HTML text or PDF via pypdf), DOIs were additionally resolved through Europe PMC full text and PubMed abstracts, and the text was searched for the rule's threshold within 160 characters of an analyte name or synonym. Outcome for 364 rules: statement found for all leaves 2; for some leaves of a multi-leaf rule 4; in abstract only 2; number present without the analyte term 17; reachable page without the statement 150 (100 of them the CLSI EP28 shop page cited as second source by template rules); organisation landing page 120; locator blocked or 404 (who.int, acmg.net, diabetesjournals.org, escardio.org, acc.org, easl.eu, cff.org) 63; no locator 6.</w:t>
      </w:r>
    </w:p>
    <w:p>
      <w:r>
        <w:rPr>
          <w:b/>
        </w:rPr>
        <w:t>Phase C — fresh concordance sample.</w:t>
      </w:r>
      <w:r>
        <w:t xml:space="preserve"> 100 rules were drawn (seed 20261028) from the active core excluding the 200 rules of Note 8 and labelled under the Note 8 rules by the same single AI rater. Every CONCORDANT or DISCORDANT label carries a verbatim quote and the document location; multi-leaf rules were CONCORDANT only when every numeric leaf is stated (partially supported rules remain UNRESOLVABLE with the leaf count recorded); a strict-versus-inclusive boundary mismatch against an explicit source inequality was DISCORDANT; where a publisher page rate-limited automated access the identical article was read from its PubMed Central deposit and this is recorded.</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cantSplit/>
          <w:tblHeader/>
        </w:trPr>
        <w:tc>
          <w:tcPr>
            <w:tcW w:type="dxa" w:w="1814"/>
            <w:shd w:val="clear" w:fill="F2F2F2"/>
          </w:tcPr>
          <w:p>
            <w:pPr>
              <w:spacing w:line="240" w:lineRule="auto" w:after="0" w:before="0"/>
            </w:pPr>
            <w:r>
              <w:rPr>
                <w:b/>
              </w:rPr>
            </w:r>
          </w:p>
        </w:tc>
        <w:tc>
          <w:tcPr>
            <w:tcW w:type="dxa" w:w="1814"/>
            <w:shd w:val="clear" w:fill="F2F2F2"/>
          </w:tcPr>
          <w:p>
            <w:pPr>
              <w:spacing w:line="240" w:lineRule="auto" w:after="0" w:before="0"/>
            </w:pPr>
            <w:r>
              <w:rPr>
                <w:b/>
              </w:rPr>
            </w:r>
            <w:r>
              <w:rPr>
                <w:b/>
                <w:sz w:val="16"/>
              </w:rPr>
              <w:t>n</w:t>
            </w:r>
          </w:p>
        </w:tc>
        <w:tc>
          <w:tcPr>
            <w:tcW w:type="dxa" w:w="1814"/>
            <w:shd w:val="clear" w:fill="F2F2F2"/>
          </w:tcPr>
          <w:p>
            <w:pPr>
              <w:spacing w:line="240" w:lineRule="auto" w:after="0" w:before="0"/>
            </w:pPr>
            <w:r>
              <w:rPr>
                <w:b/>
              </w:rPr>
            </w:r>
            <w:r>
              <w:rPr>
                <w:b/>
                <w:sz w:val="16"/>
              </w:rPr>
              <w:t>CONCORDANT</w:t>
            </w:r>
          </w:p>
        </w:tc>
        <w:tc>
          <w:tcPr>
            <w:tcW w:type="dxa" w:w="1814"/>
            <w:shd w:val="clear" w:fill="F2F2F2"/>
          </w:tcPr>
          <w:p>
            <w:pPr>
              <w:spacing w:line="240" w:lineRule="auto" w:after="0" w:before="0"/>
            </w:pPr>
            <w:r>
              <w:rPr>
                <w:b/>
              </w:rPr>
            </w:r>
            <w:r>
              <w:rPr>
                <w:b/>
                <w:sz w:val="16"/>
              </w:rPr>
              <w:t>DISCORDANT</w:t>
            </w:r>
          </w:p>
        </w:tc>
        <w:tc>
          <w:tcPr>
            <w:tcW w:type="dxa" w:w="1814"/>
            <w:shd w:val="clear" w:fill="F2F2F2"/>
          </w:tcPr>
          <w:p>
            <w:pPr>
              <w:spacing w:line="240" w:lineRule="auto" w:after="0" w:before="0"/>
            </w:pPr>
            <w:r>
              <w:rPr>
                <w:b/>
              </w:rPr>
            </w:r>
            <w:r>
              <w:rPr>
                <w:b/>
                <w:sz w:val="16"/>
              </w:rPr>
              <w:t>UNRESOLVABLE (Wilson 95 % CI)</w:t>
            </w:r>
          </w:p>
        </w:tc>
      </w:tr>
      <w:tr>
        <w:trPr>
          <w:cantSplit/>
        </w:trPr>
        <w:tc>
          <w:tcPr>
            <w:tcW w:type="dxa" w:w="1814"/>
          </w:tcPr>
          <w:p>
            <w:pPr>
              <w:spacing w:line="240" w:lineRule="auto" w:after="0" w:before="0"/>
            </w:pPr>
            <w:r/>
            <w:r>
              <w:rPr>
                <w:sz w:val="16"/>
              </w:rPr>
              <w:t>all sampled</w:t>
            </w:r>
          </w:p>
        </w:tc>
        <w:tc>
          <w:tcPr>
            <w:tcW w:type="dxa" w:w="1814"/>
          </w:tcPr>
          <w:p>
            <w:pPr>
              <w:spacing w:line="240" w:lineRule="auto" w:after="0" w:before="0"/>
            </w:pPr>
            <w:r/>
            <w:r>
              <w:rPr>
                <w:sz w:val="16"/>
              </w:rPr>
              <w:t>100</w:t>
            </w:r>
          </w:p>
        </w:tc>
        <w:tc>
          <w:tcPr>
            <w:tcW w:type="dxa" w:w="1814"/>
          </w:tcPr>
          <w:p>
            <w:pPr>
              <w:spacing w:line="240" w:lineRule="auto" w:after="0" w:before="0"/>
            </w:pPr>
            <w:r/>
            <w:r>
              <w:rPr>
                <w:sz w:val="16"/>
              </w:rPr>
              <w:t>6</w:t>
            </w:r>
          </w:p>
        </w:tc>
        <w:tc>
          <w:tcPr>
            <w:tcW w:type="dxa" w:w="1814"/>
          </w:tcPr>
          <w:p>
            <w:pPr>
              <w:spacing w:line="240" w:lineRule="auto" w:after="0" w:before="0"/>
            </w:pPr>
            <w:r/>
            <w:r>
              <w:rPr>
                <w:sz w:val="16"/>
              </w:rPr>
              <w:t>2</w:t>
            </w:r>
          </w:p>
        </w:tc>
        <w:tc>
          <w:tcPr>
            <w:tcW w:type="dxa" w:w="1814"/>
          </w:tcPr>
          <w:p>
            <w:pPr>
              <w:spacing w:line="240" w:lineRule="auto" w:after="0" w:before="0"/>
            </w:pPr>
            <w:r/>
            <w:r>
              <w:rPr>
                <w:sz w:val="16"/>
              </w:rPr>
              <w:t>92 (85.0–95.9 %)</w:t>
            </w:r>
          </w:p>
        </w:tc>
      </w:tr>
      <w:tr>
        <w:trPr>
          <w:cantSplit/>
        </w:trPr>
        <w:tc>
          <w:tcPr>
            <w:tcW w:type="dxa" w:w="1814"/>
          </w:tcPr>
          <w:p>
            <w:pPr>
              <w:spacing w:line="240" w:lineRule="auto" w:after="0" w:before="0"/>
            </w:pPr>
            <w:r/>
            <w:r>
              <w:rPr>
                <w:sz w:val="16"/>
              </w:rPr>
              <w:t>non-template rules</w:t>
            </w:r>
          </w:p>
        </w:tc>
        <w:tc>
          <w:tcPr>
            <w:tcW w:type="dxa" w:w="1814"/>
          </w:tcPr>
          <w:p>
            <w:pPr>
              <w:spacing w:line="240" w:lineRule="auto" w:after="0" w:before="0"/>
            </w:pPr>
            <w:r/>
            <w:r>
              <w:rPr>
                <w:sz w:val="16"/>
              </w:rPr>
              <w:t>70</w:t>
            </w:r>
          </w:p>
        </w:tc>
        <w:tc>
          <w:tcPr>
            <w:tcW w:type="dxa" w:w="1814"/>
          </w:tcPr>
          <w:p>
            <w:pPr>
              <w:spacing w:line="240" w:lineRule="auto" w:after="0" w:before="0"/>
            </w:pPr>
            <w:r/>
            <w:r>
              <w:rPr>
                <w:sz w:val="16"/>
              </w:rPr>
              <w:t>6</w:t>
            </w:r>
          </w:p>
        </w:tc>
        <w:tc>
          <w:tcPr>
            <w:tcW w:type="dxa" w:w="1814"/>
          </w:tcPr>
          <w:p>
            <w:pPr>
              <w:spacing w:line="240" w:lineRule="auto" w:after="0" w:before="0"/>
            </w:pPr>
            <w:r/>
            <w:r>
              <w:rPr>
                <w:sz w:val="16"/>
              </w:rPr>
              <w:t>2</w:t>
            </w:r>
          </w:p>
        </w:tc>
        <w:tc>
          <w:tcPr>
            <w:tcW w:type="dxa" w:w="1814"/>
          </w:tcPr>
          <w:p>
            <w:pPr>
              <w:spacing w:line="240" w:lineRule="auto" w:after="0" w:before="0"/>
            </w:pPr>
            <w:r/>
            <w:r>
              <w:rPr>
                <w:sz w:val="16"/>
              </w:rPr>
              <w:t>62 (88.6 %; 79.0–94.1)</w:t>
            </w:r>
          </w:p>
        </w:tc>
      </w:tr>
      <w:tr>
        <w:trPr>
          <w:cantSplit/>
        </w:trPr>
        <w:tc>
          <w:tcPr>
            <w:tcW w:type="dxa" w:w="1814"/>
          </w:tcPr>
          <w:p>
            <w:pPr>
              <w:spacing w:line="240" w:lineRule="auto" w:after="0" w:before="0"/>
            </w:pPr>
            <w:r/>
            <w:r>
              <w:rPr>
                <w:sz w:val="16"/>
              </w:rPr>
              <w:t>hot-core rules</w:t>
            </w:r>
          </w:p>
        </w:tc>
        <w:tc>
          <w:tcPr>
            <w:tcW w:type="dxa" w:w="1814"/>
          </w:tcPr>
          <w:p>
            <w:pPr>
              <w:spacing w:line="240" w:lineRule="auto" w:after="0" w:before="0"/>
            </w:pPr>
            <w:r/>
            <w:r>
              <w:rPr>
                <w:sz w:val="16"/>
              </w:rPr>
              <w:t>37</w:t>
            </w:r>
          </w:p>
        </w:tc>
        <w:tc>
          <w:tcPr>
            <w:tcW w:type="dxa" w:w="1814"/>
          </w:tcPr>
          <w:p>
            <w:pPr>
              <w:spacing w:line="240" w:lineRule="auto" w:after="0" w:before="0"/>
            </w:pPr>
            <w:r/>
            <w:r>
              <w:rPr>
                <w:sz w:val="16"/>
              </w:rPr>
              <w:t>3</w:t>
            </w:r>
          </w:p>
        </w:tc>
        <w:tc>
          <w:tcPr>
            <w:tcW w:type="dxa" w:w="1814"/>
          </w:tcPr>
          <w:p>
            <w:pPr>
              <w:spacing w:line="240" w:lineRule="auto" w:after="0" w:before="0"/>
            </w:pPr>
            <w:r/>
            <w:r>
              <w:rPr>
                <w:sz w:val="16"/>
              </w:rPr>
              <w:t>2</w:t>
            </w:r>
          </w:p>
        </w:tc>
        <w:tc>
          <w:tcPr>
            <w:tcW w:type="dxa" w:w="1814"/>
          </w:tcPr>
          <w:p>
            <w:pPr>
              <w:spacing w:line="240" w:lineRule="auto" w:after="0" w:before="0"/>
            </w:pPr>
            <w:r/>
            <w:r>
              <w:rPr>
                <w:sz w:val="16"/>
              </w:rPr>
              <w:t>32 (86.5 %; 72.0–94.1)</w:t>
            </w:r>
          </w:p>
        </w:tc>
      </w:tr>
      <w:tr>
        <w:trPr>
          <w:cantSplit/>
        </w:trPr>
        <w:tc>
          <w:tcPr>
            <w:tcW w:type="dxa" w:w="1814"/>
          </w:tcPr>
          <w:p>
            <w:pPr>
              <w:spacing w:line="240" w:lineRule="auto" w:after="0" w:before="0"/>
            </w:pPr>
            <w:r/>
            <w:r>
              <w:rPr>
                <w:sz w:val="16"/>
              </w:rPr>
              <w:t>Note 8 sample</w:t>
            </w:r>
          </w:p>
        </w:tc>
        <w:tc>
          <w:tcPr>
            <w:tcW w:type="dxa" w:w="1814"/>
          </w:tcPr>
          <w:p>
            <w:pPr>
              <w:spacing w:line="240" w:lineRule="auto" w:after="0" w:before="0"/>
            </w:pPr>
            <w:r/>
            <w:r>
              <w:rPr>
                <w:sz w:val="16"/>
              </w:rPr>
              <w:t>200</w:t>
            </w:r>
          </w:p>
        </w:tc>
        <w:tc>
          <w:tcPr>
            <w:tcW w:type="dxa" w:w="1814"/>
          </w:tcPr>
          <w:p>
            <w:pPr>
              <w:spacing w:line="240" w:lineRule="auto" w:after="0" w:before="0"/>
            </w:pPr>
            <w:r/>
            <w:r>
              <w:rPr>
                <w:sz w:val="16"/>
              </w:rPr>
              <w:t>1</w:t>
            </w:r>
          </w:p>
        </w:tc>
        <w:tc>
          <w:tcPr>
            <w:tcW w:type="dxa" w:w="1814"/>
          </w:tcPr>
          <w:p>
            <w:pPr>
              <w:spacing w:line="240" w:lineRule="auto" w:after="0" w:before="0"/>
            </w:pPr>
            <w:r/>
            <w:r>
              <w:rPr>
                <w:sz w:val="16"/>
              </w:rPr>
              <w:t>15</w:t>
            </w:r>
          </w:p>
        </w:tc>
        <w:tc>
          <w:tcPr>
            <w:tcW w:type="dxa" w:w="1814"/>
          </w:tcPr>
          <w:p>
            <w:pPr>
              <w:spacing w:line="240" w:lineRule="auto" w:after="0" w:before="0"/>
            </w:pPr>
            <w:r/>
            <w:r>
              <w:rPr>
                <w:sz w:val="16"/>
              </w:rPr>
              <w:t>184 (92.0 %; 87.4–95.0)</w:t>
            </w:r>
          </w:p>
        </w:tc>
      </w:tr>
    </w:tbl>
    <w:p/>
    <w:p>
      <w:r>
        <w:t>Concordant: ADA Standards of Care 2026 diabetes criteria (two rules; the random-glucose leaf lacks the source's "classic symptoms" qualifier), ADA 2026 prediabetes ranges, ADA/EASD 2024 severe-DKA tier (pH &lt; 7.0, bicarbonate &lt; 10 mmol/L, β-hydroxybutyrate &gt; 6.0 mmol/L), ADA/EASD 2024 HHS criteria (glucose ≥ 600 mg/dL, total osmolality &gt; 320 mOsm/kg; read from Fig. 2B; the rule omits the source's two exclusion criteria), BSG 2021 iron-deficiency anaemia (ferritin &lt; 30 µg/L with WHO haemoglobin cut-offs). Discordant: HbA1c "&gt; 5.7 %" prediabetes pattern (source 5.7–6.4 % inclusive with upper bound); CK "≥ 1000 U/L" rhabdomyolysis (source "&gt; 1000 IU/L", a systematic review rather than a guideline). Partially supported, left unresolvable: the SIRS-with-laboratory-support rule (8/10 leaves in Sepsis-3 Box 1 and the septic-shock lactate criterion; procalcitonin and CRP leaves absent) and a cyanide screen (lactate ≥ 8 mmol/L stated; bicarbonate leaf absent). Among the 62 unresolvable non-template rules at least 18 cite a specific document whose topic does not address the rule's analyte or disease (an ACG Crohn's guideline for bilirubin, albumin and leucocytes; an AAN status-epilepticus guideline for creatine kinase and leucocytes; the AAP well-child schedule for chloride, sodium and potassium; a myasthenia guidance for lactate), 30 cite only an organisation landing page, and five cite a WHO URL that returns HTTP 404.</w:t>
      </w:r>
    </w:p>
    <w:p>
      <w:r>
        <w:rPr>
          <w:b/>
        </w:rPr>
        <w:t>Registered expectations.</w:t>
      </w:r>
      <w:r>
        <w:t xml:space="preserve"> Core 800–4,000 rules: not met (364). Anchors ≥ 30 % of hot core: not met (18 %). Locator search finding the statement for 30–60 % of active rules: not met (2.2 %). Unresolvable &lt; 92 % in the fresh sample: not met (92.0 %).</w:t>
      </w:r>
    </w:p>
    <w:p>
      <w:r>
        <w:rPr>
          <w:b/>
        </w:rPr>
        <w:t>Reading and limits.</w:t>
      </w:r>
      <w:r>
        <w:t xml:space="preserve"> The output-bearing part of the registry is small and identifiable, its provenance is better than the bulk's but still mostly unauditable from the cited locators, and the fresh sample reproduces the Note 8 failure modes—generic locators, topic-mismatched citations, broken URLs—while finding a small number of verbatim-concordant guideline criteria that Note 8 had not reached. "Dormant" is relative to the analyte coverage of the two corpora (about 50 analytes each); rules on analytes absent from both cannot fire. The audit is single-rater by a declared AI agent and no inter-rater reliability is claimed. No rule, threshold, weight or locator in the shipped registry was modified.</w:t>
      </w:r>
    </w:p>
    <w:p>
      <w:r>
        <w:rPr>
          <w:b/>
        </w:rPr>
        <w:t>Post-audit development release (registry 15.0.0; not used for any result in the main text).</w:t>
      </w:r>
      <w:r>
        <w:t xml:space="preserve"> The audit's classes were turned into a closed, pre-written change protocol and applied once to a development copy of the registry; the paper's engine (v7) and registry (14.1.0) are unchanged. The protocol forbids any change motivated by benchmark labels: every edit is decided from the rule text and its cited source. Six change classes were applied. (R1) The 24,308 template co-occurrence rules were re-attributed from the WHO landing page to an explicit synthetic source record (</w:t>
      </w:r>
      <w:r>
        <w:rPr>
          <w:rFonts w:ascii="Courier New" w:hAnsi="Courier New" w:eastAsia="Courier New" w:cs="Courier New"/>
          <w:color w:val="000000"/>
          <w:sz w:val="22"/>
        </w:rPr>
        <w:t>generated_pair_pattern</w:t>
      </w:r>
      <w:r>
        <w:t>), so that their lack of guideline provenance is stated rather than hidden. (R2) 278 rules were retired: 234 single-ubiquitous-analyte rules asserting a specific entity (creatine kinase → McArdle disease, lactate → cerebral malaria, albumin → kwashiorkor and the like), 25 rules contradicting their own or a retrieved source (prediabetes from HbA1c &lt; 6.5 %; type 1 diabetes or LADA from glucose or HbA1c alone; thrombocytosis attributed to iron deficiency; a fixed-threshold acute-kidney-injury variant with thresholds found in no source), and 19 severity tiers whose thresholds appear in no source. (R3) 37 rules were re-sourced with a verbatim quote, document locator and retrieval date written into the rule (</w:t>
      </w:r>
      <w:r>
        <w:rPr>
          <w:rFonts w:ascii="Courier New" w:hAnsi="Courier New" w:eastAsia="Courier New" w:cs="Courier New"/>
          <w:color w:val="000000"/>
          <w:sz w:val="22"/>
        </w:rPr>
        <w:t>provenance.verified_quote</w:t>
      </w:r>
      <w:r>
        <w:t xml:space="preserve">), written only when the analyte and threshold were found together in text retrieved on 2026-10-27 (WHO 2024 haemoglobin cut-offs from the IRIS PDF; WHO 2020 ferritin thresholds; ADA 2026 diagnostic, prediabetes and hypoglycaemia levels; ADA/EASD 2024 anion gap and euglycaemic-DKA definition; Sepsis-3 shock lactate and SIRS; AHA/ACC 2018 LDL-C ≥ 190 mg/dL; NCEP ATP III lipid classes; ACR/EULAR 2015 urate bands; AASLD 2023 / ACG 2017 ALT limits; KDIGO 2024 GFR and albuminuria categories; KDIGO 2012 AKI definition; BSG 2021 transferrin saturation). Ten further locators resolve but their threshold text could not be retrieved (abstract-only or publisher-blocked); those rules are marked locator-only and no quote is claimed. (R4) 36 reference-limit rules (sodium, potassium, magnesium, phosphate, leucocytes, INR, bilirubin, acid–base) lost their topic-mismatched citation and now cite an explicit </w:t>
      </w:r>
      <w:r>
        <w:rPr>
          <w:rFonts w:ascii="Courier New" w:hAnsi="Courier New" w:eastAsia="Courier New" w:cs="Courier New"/>
          <w:color w:val="000000"/>
          <w:sz w:val="22"/>
        </w:rPr>
        <w:t>reference_interval_convention</w:t>
      </w:r>
      <w:r>
        <w:t xml:space="preserve"> record. (R5) Six logic corrections, each tied to a quote: the child-anaemia rule (Hb &lt; 11.5 g/dL) that had been applied to all ages and both sexes is gated to children; the male iron-deficiency rule used the female haemoglobin cut-off; prediabetes HbA1c &gt; 5.7 % became ≥ 5.7 %; hypoglycaemia &lt; 55 mg/dL became ADA level 2 (&lt; 54 mg/dL); rhabdomyolysis CK ≥ 1,000 U/L became &gt; 1,000 U/L; the euglycaemic-DKA rule, which fired on any non-ketotic acidosis with normal glucose, gained a β-hydroxybutyrate leaf. (R6) Seven source records were added and 18 repaired (the WHO 2024 record had pointed to the wrong WHO item; PubMed Central and official PDF locators were added). One deviation is recorded: the fixed-threshold </w:t>
      </w:r>
      <w:r>
        <w:rPr>
          <w:rFonts w:ascii="Courier New" w:hAnsi="Courier New" w:eastAsia="Courier New" w:cs="Courier New"/>
          <w:color w:val="000000"/>
          <w:sz w:val="22"/>
        </w:rPr>
        <w:t>acute_kidney_injury_v1</w:t>
      </w:r>
      <w:r>
        <w:t xml:space="preserve"> rule, scheduled for retirement, was kept because the unit-test gate showed that the single-panel chronicity-undetermined logic depends on it; it is now labelled a single-panel surrogate with the KDIGO definition quoted beside it.</w:t>
      </w:r>
    </w:p>
    <w:p>
      <w:r>
        <w:t>The release was then evaluated once, with the current development engine (v8.2) in both arms so that only the registry differed. Unit tests (709), the three hard batteries (151/151, 124/124, 77/78 with the same pre-existing failure) and the healthy sweep (0/200) did not regress. On the 2,314 eICU-CRD demo stays, flat recall@5 moved from 61.0 % to 61.2 % and recall@10 from 74.1 % to 74.3 %, while top-1 (two-tier 33.5 % → 33.3 %; grouped 30.2 % → 29.0 %) and grouped recall@3 (55.6 % → 54.9 %) fell; the paired losses (34 grouped top-1 labels lost, 4 gained; exact sign test p &lt; 0.001) sit almost entirely in the renal and sepsis groups and trace to the retired fixed-threshold AKI variant and to retired sepsis tiers with unsourced thresholds. Per-group AUROCs were unchanged to two decimals (mean 0.766 in both arms), and the chart-support rate of confident outputs was 23.1 % in both arms. On 1,000 NHANES 2017–18 adults every AUROC changed by ≤ 0.012 (CKD 0.971 → 0.959; diabetes 0.946, anaemia 0.972 and iron deficiency 0.991 unchanged), and a CK-only McArdle rule disappeared from the outputs of guideline-healthy participants. Re-running the activity log on the same eICU panels, the eICU-only active core shrank from 293 to 193 rules and the hot core from 120 to 83; within the hot core the share of rules with no verifiable provenance fell from 59/120 to 23/83, and 34/83 now carry either a verbatim quote or an explicit convention record. The template layer was not retired (its provenance label changed, its logic did not), and it occupies slightly more top-5 slots afterwards (0.65 % → 0.80 %). These numbers are reported as obtained; the release trades a small amount of top-1 recall on retrospective ICU labels for rules whose thresholds can be read against their sources, and it is the registry on which the prospective study will be run.</w:t>
      </w:r>
    </w:p>
    <w:p>
      <w:pPr>
        <w:pStyle w:val="Heading1"/>
      </w:pPr>
      <w:r>
        <w:rPr>
          <w:rFonts w:ascii="Times New Roman" w:hAnsi="Times New Roman" w:eastAsia="Times New Roman" w:cs="Times New Roman"/>
          <w:b/>
          <w:i w:val="0"/>
          <w:color w:val="000000"/>
        </w:rPr>
        <w:t>Supplementary Note 16 — Audit study: sufficiency of the curated/quote-verified core, mutation testing of the static detectors and transfer to a second LLM-written corpus (protocol frozen 2026-10-28 before any run; registry 15.1.0, harness v8.2; frozen v7 results untouched)</w:t>
      </w:r>
    </w:p>
    <w:p>
      <w:r>
        <w:t>Protocol frozen and committed with the detector code before any result was computed (scripts listed in the Reproducibility map). Frozen v7 results are untouched; every run here uses the v8.2 harness and registry 15.1.0 (or the stated</w:t>
      </w:r>
    </w:p>
    <w:p>
      <w:r>
        <w:t>comparison registry). Reported in the order the parts were executed (2 → 1 → 3), because Part 1 could only be run</w:t>
      </w:r>
    </w:p>
    <w:p>
      <w:r>
        <w:t>after the detectors were frozen and Part 3 only after Part 1.</w:t>
      </w:r>
    </w:p>
    <w:p>
      <w:pPr>
        <w:pStyle w:val="Heading2"/>
      </w:pPr>
      <w:r>
        <w:rPr>
          <w:rFonts w:ascii="Times New Roman" w:hAnsi="Times New Roman" w:eastAsia="Times New Roman" w:cs="Times New Roman"/>
          <w:b/>
          <w:i w:val="0"/>
          <w:color w:val="000000"/>
        </w:rPr>
        <w:t>Pre-freeze calibration (declared)</w:t>
      </w:r>
    </w:p>
    <w:p>
      <w:r>
        <w:t>The seven static detectors (R2a single ubiquitous analyte, R7 arithmetic severity tier, R9 impossible/flat tier,</w:t>
      </w:r>
    </w:p>
    <w:p>
      <w:r>
        <w:t>DIR direction contradiction, UNIT unit–physiology mismatch, POP adult threshold on neonates/infants, SRC source-scope</w:t>
      </w:r>
    </w:p>
    <w:p>
      <w:r>
        <w:t xml:space="preserve">mismatch) were calibrated on registry 15.1.0 </w:t>
      </w:r>
      <w:r>
        <w:rPr>
          <w:b/>
        </w:rPr>
        <w:t>before</w:t>
      </w:r>
      <w:r>
        <w:t xml:space="preserve"> freezing. The first raw run flagged 1,241 rules (unit 713,</w:t>
      </w:r>
    </w:p>
    <w:p>
      <w:r>
        <w:t>src 349, r9 188, dir 40), the overwhelming majority false positives of the heuristics (unit-string synonyms,</w:t>
      </w:r>
    </w:p>
    <w:p>
      <w:r>
        <w:t>domain neighbours such as hepatology↔gastroenterology, deliberate multi-tier severities). Calibration consisted of</w:t>
      </w:r>
    </w:p>
    <w:p>
      <w:r>
        <w:t>whitelists and synonym tables;</w:t>
      </w:r>
    </w:p>
    <w:p>
      <w:r>
        <w:t>no rule was changed. Final density on 15.1.0 after calibration: 87 flagged rules of 6,777 non-template executable</w:t>
      </w:r>
    </w:p>
    <w:p>
      <w:r>
        <w:t xml:space="preserve">rules (1.28 per 100). Consequence, stated in advance: the 15.1.0 density is a </w:t>
      </w:r>
      <w:r>
        <w:rPr>
          <w:i/>
        </w:rPr>
        <w:t>trained-on</w:t>
      </w:r>
      <w:r>
        <w:t xml:space="preserve"> number and is a lower</w:t>
      </w:r>
    </w:p>
    <w:p>
      <w:r>
        <w:t>bound for the detectors' true positive rate on that registry; the 14.1.0 and Part 3 densities are out-of-sample</w:t>
      </w:r>
    </w:p>
    <w:p>
      <w:r>
        <w:t>with respect to the whitelists, except that a named-rule exemption list covers 13 15.1.0 rules by identifier (see Part 3).</w:t>
      </w:r>
    </w:p>
    <w:p>
      <w:pPr>
        <w:pStyle w:val="Heading2"/>
      </w:pPr>
      <w:r>
        <w:rPr>
          <w:rFonts w:ascii="Times New Roman" w:hAnsi="Times New Roman" w:eastAsia="Times New Roman" w:cs="Times New Roman"/>
          <w:b/>
          <w:i w:val="0"/>
          <w:color w:val="000000"/>
        </w:rPr>
        <w:t>Part 2 — Sufficiency of the audited core (registry arm CORE vs full 15.1.0)</w:t>
      </w:r>
    </w:p>
    <w:p>
      <w:r>
        <w:t>CORE = the 335 executable rules of 15.1.0 that are curated (284), carry a verbatim source quote from the 15.0.0</w:t>
      </w:r>
    </w:p>
    <w:p>
      <w:r>
        <w:t xml:space="preserve">re-sourcing of the active core (19 further rules) or are reference-interval conventions (32); it is </w:t>
      </w:r>
      <w:r>
        <w:rPr>
          <w:b/>
        </w:rPr>
        <w:t>not</w:t>
      </w:r>
      <w:r>
        <w:t xml:space="preserve"> the</w:t>
      </w:r>
    </w:p>
    <w:p>
      <w:r>
        <w:t>activity-defined active core — only 94 of the 364 active-core rules are in it (Note 18). Every other rule is set</w:t>
      </w:r>
    </w:p>
    <w:p>
      <w:r>
        <w:t>non-executable; sources untouched. Same harness, same cohorts, same seeds.</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cantSplit/>
          <w:tblHeader/>
        </w:trPr>
        <w:tc>
          <w:tcPr>
            <w:tcW w:type="dxa" w:w="1814"/>
            <w:shd w:val="clear" w:fill="F2F2F2"/>
          </w:tcPr>
          <w:p>
            <w:pPr>
              <w:spacing w:line="240" w:lineRule="auto" w:after="0" w:before="0"/>
            </w:pPr>
            <w:r>
              <w:rPr>
                <w:b/>
              </w:rPr>
            </w:r>
            <w:r>
              <w:rPr>
                <w:b/>
                <w:sz w:val="16"/>
              </w:rPr>
              <w:t>metric</w:t>
            </w:r>
          </w:p>
        </w:tc>
        <w:tc>
          <w:tcPr>
            <w:tcW w:type="dxa" w:w="1814"/>
            <w:shd w:val="clear" w:fill="F2F2F2"/>
          </w:tcPr>
          <w:p>
            <w:pPr>
              <w:spacing w:line="240" w:lineRule="auto" w:after="0" w:before="0"/>
            </w:pPr>
            <w:r>
              <w:rPr>
                <w:b/>
              </w:rPr>
            </w:r>
            <w:r>
              <w:rPr>
                <w:b/>
                <w:sz w:val="16"/>
              </w:rPr>
              <w:t>full 15.1.0</w:t>
            </w:r>
          </w:p>
        </w:tc>
        <w:tc>
          <w:tcPr>
            <w:tcW w:type="dxa" w:w="1814"/>
            <w:shd w:val="clear" w:fill="F2F2F2"/>
          </w:tcPr>
          <w:p>
            <w:pPr>
              <w:spacing w:line="240" w:lineRule="auto" w:after="0" w:before="0"/>
            </w:pPr>
            <w:r>
              <w:rPr>
                <w:b/>
              </w:rPr>
            </w:r>
            <w:r>
              <w:rPr>
                <w:b/>
                <w:sz w:val="16"/>
              </w:rPr>
              <w:t>CORE (335 rules)</w:t>
            </w:r>
          </w:p>
        </w:tc>
        <w:tc>
          <w:tcPr>
            <w:tcW w:type="dxa" w:w="1814"/>
            <w:shd w:val="clear" w:fill="F2F2F2"/>
          </w:tcPr>
          <w:p>
            <w:pPr>
              <w:spacing w:line="240" w:lineRule="auto" w:after="0" w:before="0"/>
            </w:pPr>
            <w:r>
              <w:rPr>
                <w:b/>
              </w:rPr>
            </w:r>
            <w:r>
              <w:rPr>
                <w:b/>
                <w:sz w:val="16"/>
              </w:rPr>
              <w:t>Δ (pts)</w:t>
            </w:r>
          </w:p>
        </w:tc>
        <w:tc>
          <w:tcPr>
            <w:tcW w:type="dxa" w:w="1814"/>
            <w:shd w:val="clear" w:fill="F2F2F2"/>
          </w:tcPr>
          <w:p>
            <w:pPr>
              <w:spacing w:line="240" w:lineRule="auto" w:after="0" w:before="0"/>
            </w:pPr>
            <w:r>
              <w:rPr>
                <w:b/>
              </w:rPr>
            </w:r>
            <w:r>
              <w:rPr>
                <w:b/>
                <w:sz w:val="16"/>
              </w:rPr>
              <w:t>paired full−CORE (gained / lost, exact McNemar p)</w:t>
            </w:r>
          </w:p>
        </w:tc>
      </w:tr>
      <w:tr>
        <w:trPr>
          <w:cantSplit/>
        </w:trPr>
        <w:tc>
          <w:tcPr>
            <w:tcW w:type="dxa" w:w="1814"/>
          </w:tcPr>
          <w:p>
            <w:pPr>
              <w:spacing w:line="240" w:lineRule="auto" w:after="0" w:before="0"/>
            </w:pPr>
            <w:r/>
            <w:r>
              <w:rPr>
                <w:sz w:val="16"/>
              </w:rPr>
              <w:t>eICU flat recall@3</w:t>
            </w:r>
          </w:p>
        </w:tc>
        <w:tc>
          <w:tcPr>
            <w:tcW w:type="dxa" w:w="1814"/>
          </w:tcPr>
          <w:p>
            <w:pPr>
              <w:spacing w:line="240" w:lineRule="auto" w:after="0" w:before="0"/>
            </w:pPr>
            <w:r/>
            <w:r>
              <w:rPr>
                <w:sz w:val="16"/>
              </w:rPr>
              <w:t>48.0</w:t>
            </w:r>
          </w:p>
        </w:tc>
        <w:tc>
          <w:tcPr>
            <w:tcW w:type="dxa" w:w="1814"/>
          </w:tcPr>
          <w:p>
            <w:pPr>
              <w:spacing w:line="240" w:lineRule="auto" w:after="0" w:before="0"/>
            </w:pPr>
            <w:r/>
            <w:r>
              <w:rPr>
                <w:sz w:val="16"/>
              </w:rPr>
              <w:t>47.8</w:t>
            </w:r>
          </w:p>
        </w:tc>
        <w:tc>
          <w:tcPr>
            <w:tcW w:type="dxa" w:w="1814"/>
          </w:tcPr>
          <w:p>
            <w:pPr>
              <w:spacing w:line="240" w:lineRule="auto" w:after="0" w:before="0"/>
            </w:pPr>
            <w:r/>
            <w:r>
              <w:rPr>
                <w:sz w:val="16"/>
              </w:rPr>
              <w:t>−0.21</w:t>
            </w:r>
          </w:p>
        </w:tc>
        <w:tc>
          <w:tcPr>
            <w:tcW w:type="dxa" w:w="1814"/>
          </w:tcPr>
          <w:p>
            <w:pPr>
              <w:spacing w:line="240" w:lineRule="auto" w:after="0" w:before="0"/>
            </w:pPr>
            <w:r/>
            <w:r>
              <w:rPr>
                <w:sz w:val="16"/>
              </w:rPr>
              <w:t>+40 / −35, n.s.</w:t>
            </w:r>
          </w:p>
        </w:tc>
      </w:tr>
      <w:tr>
        <w:trPr>
          <w:cantSplit/>
        </w:trPr>
        <w:tc>
          <w:tcPr>
            <w:tcW w:type="dxa" w:w="1814"/>
          </w:tcPr>
          <w:p>
            <w:pPr>
              <w:spacing w:line="240" w:lineRule="auto" w:after="0" w:before="0"/>
            </w:pPr>
            <w:r/>
            <w:r>
              <w:rPr>
                <w:sz w:val="16"/>
              </w:rPr>
              <w:t>eICU flat recall@5</w:t>
            </w:r>
          </w:p>
        </w:tc>
        <w:tc>
          <w:tcPr>
            <w:tcW w:type="dxa" w:w="1814"/>
          </w:tcPr>
          <w:p>
            <w:pPr>
              <w:spacing w:line="240" w:lineRule="auto" w:after="0" w:before="0"/>
            </w:pPr>
            <w:r/>
            <w:r>
              <w:rPr>
                <w:sz w:val="16"/>
              </w:rPr>
              <w:t>61.2</w:t>
            </w:r>
          </w:p>
        </w:tc>
        <w:tc>
          <w:tcPr>
            <w:tcW w:type="dxa" w:w="1814"/>
          </w:tcPr>
          <w:p>
            <w:pPr>
              <w:spacing w:line="240" w:lineRule="auto" w:after="0" w:before="0"/>
            </w:pPr>
            <w:r/>
            <w:r>
              <w:rPr>
                <w:sz w:val="16"/>
              </w:rPr>
              <w:t>61.2</w:t>
            </w:r>
          </w:p>
        </w:tc>
        <w:tc>
          <w:tcPr>
            <w:tcW w:type="dxa" w:w="1814"/>
          </w:tcPr>
          <w:p>
            <w:pPr>
              <w:spacing w:line="240" w:lineRule="auto" w:after="0" w:before="0"/>
            </w:pPr>
            <w:r/>
            <w:r>
              <w:rPr>
                <w:sz w:val="16"/>
              </w:rPr>
              <w:t>+0.04</w:t>
            </w:r>
          </w:p>
        </w:tc>
        <w:tc>
          <w:tcPr>
            <w:tcW w:type="dxa" w:w="1814"/>
          </w:tcPr>
          <w:p>
            <w:pPr>
              <w:spacing w:line="240" w:lineRule="auto" w:after="0" w:before="0"/>
            </w:pPr>
            <w:r/>
            <w:r>
              <w:rPr>
                <w:sz w:val="16"/>
              </w:rPr>
              <w:t>+45 / −49, n.s.</w:t>
            </w:r>
          </w:p>
        </w:tc>
      </w:tr>
      <w:tr>
        <w:trPr>
          <w:cantSplit/>
        </w:trPr>
        <w:tc>
          <w:tcPr>
            <w:tcW w:type="dxa" w:w="1814"/>
          </w:tcPr>
          <w:p>
            <w:pPr>
              <w:spacing w:line="240" w:lineRule="auto" w:after="0" w:before="0"/>
            </w:pPr>
            <w:r/>
            <w:r>
              <w:rPr>
                <w:sz w:val="16"/>
              </w:rPr>
              <w:t>eICU flat recall@10</w:t>
            </w:r>
          </w:p>
        </w:tc>
        <w:tc>
          <w:tcPr>
            <w:tcW w:type="dxa" w:w="1814"/>
          </w:tcPr>
          <w:p>
            <w:pPr>
              <w:spacing w:line="240" w:lineRule="auto" w:after="0" w:before="0"/>
            </w:pPr>
            <w:r/>
            <w:r>
              <w:rPr>
                <w:sz w:val="16"/>
              </w:rPr>
              <w:t>74.3</w:t>
            </w:r>
          </w:p>
        </w:tc>
        <w:tc>
          <w:tcPr>
            <w:tcW w:type="dxa" w:w="1814"/>
          </w:tcPr>
          <w:p>
            <w:pPr>
              <w:spacing w:line="240" w:lineRule="auto" w:after="0" w:before="0"/>
            </w:pPr>
            <w:r/>
            <w:r>
              <w:rPr>
                <w:sz w:val="16"/>
              </w:rPr>
              <w:t>73.1</w:t>
            </w:r>
          </w:p>
        </w:tc>
        <w:tc>
          <w:tcPr>
            <w:tcW w:type="dxa" w:w="1814"/>
          </w:tcPr>
          <w:p>
            <w:pPr>
              <w:spacing w:line="240" w:lineRule="auto" w:after="0" w:before="0"/>
            </w:pPr>
            <w:r/>
            <w:r>
              <w:rPr>
                <w:sz w:val="16"/>
              </w:rPr>
              <w:t>−1.23</w:t>
            </w:r>
          </w:p>
        </w:tc>
        <w:tc>
          <w:tcPr>
            <w:tcW w:type="dxa" w:w="1814"/>
          </w:tcPr>
          <w:p>
            <w:pPr>
              <w:spacing w:line="240" w:lineRule="auto" w:after="0" w:before="0"/>
            </w:pPr>
            <w:r/>
            <w:r>
              <w:rPr>
                <w:sz w:val="16"/>
              </w:rPr>
              <w:t>+65 / −36, p = 0.005</w:t>
            </w:r>
          </w:p>
        </w:tc>
      </w:tr>
      <w:tr>
        <w:trPr>
          <w:cantSplit/>
        </w:trPr>
        <w:tc>
          <w:tcPr>
            <w:tcW w:type="dxa" w:w="1814"/>
          </w:tcPr>
          <w:p>
            <w:pPr>
              <w:spacing w:line="240" w:lineRule="auto" w:after="0" w:before="0"/>
            </w:pPr>
            <w:r/>
            <w:r>
              <w:rPr>
                <w:sz w:val="16"/>
              </w:rPr>
              <w:t>eICU two-tier @1 / @3 / @5</w:t>
            </w:r>
          </w:p>
        </w:tc>
        <w:tc>
          <w:tcPr>
            <w:tcW w:type="dxa" w:w="1814"/>
          </w:tcPr>
          <w:p>
            <w:pPr>
              <w:spacing w:line="240" w:lineRule="auto" w:after="0" w:before="0"/>
            </w:pPr>
            <w:r/>
            <w:r>
              <w:rPr>
                <w:sz w:val="16"/>
              </w:rPr>
              <w:t>33.3 / 62.3 / 72.4</w:t>
            </w:r>
          </w:p>
        </w:tc>
        <w:tc>
          <w:tcPr>
            <w:tcW w:type="dxa" w:w="1814"/>
          </w:tcPr>
          <w:p>
            <w:pPr>
              <w:spacing w:line="240" w:lineRule="auto" w:after="0" w:before="0"/>
            </w:pPr>
            <w:r/>
            <w:r>
              <w:rPr>
                <w:sz w:val="16"/>
              </w:rPr>
              <w:t>32.3 / 60.9 / 70.1</w:t>
            </w:r>
          </w:p>
        </w:tc>
        <w:tc>
          <w:tcPr>
            <w:tcW w:type="dxa" w:w="1814"/>
          </w:tcPr>
          <w:p>
            <w:pPr>
              <w:spacing w:line="240" w:lineRule="auto" w:after="0" w:before="0"/>
            </w:pPr>
            <w:r/>
            <w:r>
              <w:rPr>
                <w:sz w:val="16"/>
              </w:rPr>
              <w:t>−0.99 / −1.36 / −2.30</w:t>
            </w:r>
          </w:p>
        </w:tc>
        <w:tc>
          <w:tcPr>
            <w:tcW w:type="dxa" w:w="1814"/>
          </w:tcPr>
          <w:p>
            <w:pPr>
              <w:spacing w:line="240" w:lineRule="auto" w:after="0" w:before="0"/>
            </w:pPr>
            <w:r/>
            <w:r>
              <w:rPr>
                <w:sz w:val="16"/>
              </w:rPr>
              <w:t>@1 +25 / −9, p = 0.009</w:t>
            </w:r>
          </w:p>
        </w:tc>
      </w:tr>
      <w:tr>
        <w:trPr>
          <w:cantSplit/>
        </w:trPr>
        <w:tc>
          <w:tcPr>
            <w:tcW w:type="dxa" w:w="1814"/>
          </w:tcPr>
          <w:p>
            <w:pPr>
              <w:spacing w:line="240" w:lineRule="auto" w:after="0" w:before="0"/>
            </w:pPr>
            <w:r/>
            <w:r>
              <w:rPr>
                <w:sz w:val="16"/>
              </w:rPr>
              <w:t>eICU grouped @1 / @3 / @5 / @10</w:t>
            </w:r>
          </w:p>
        </w:tc>
        <w:tc>
          <w:tcPr>
            <w:tcW w:type="dxa" w:w="1814"/>
          </w:tcPr>
          <w:p>
            <w:pPr>
              <w:spacing w:line="240" w:lineRule="auto" w:after="0" w:before="0"/>
            </w:pPr>
            <w:r/>
            <w:r>
              <w:rPr>
                <w:sz w:val="16"/>
              </w:rPr>
              <w:t>29.0 / 54.8 / 67.1 / 77.9</w:t>
            </w:r>
          </w:p>
        </w:tc>
        <w:tc>
          <w:tcPr>
            <w:tcW w:type="dxa" w:w="1814"/>
          </w:tcPr>
          <w:p>
            <w:pPr>
              <w:spacing w:line="240" w:lineRule="auto" w:after="0" w:before="0"/>
            </w:pPr>
            <w:r/>
            <w:r>
              <w:rPr>
                <w:sz w:val="16"/>
              </w:rPr>
              <w:t>28.7 / 55.3 / 67.1 / 76.2</w:t>
            </w:r>
          </w:p>
        </w:tc>
        <w:tc>
          <w:tcPr>
            <w:tcW w:type="dxa" w:w="1814"/>
          </w:tcPr>
          <w:p>
            <w:pPr>
              <w:spacing w:line="240" w:lineRule="auto" w:after="0" w:before="0"/>
            </w:pPr>
            <w:r/>
            <w:r>
              <w:rPr>
                <w:sz w:val="16"/>
              </w:rPr>
              <w:t>−0.25 / +0.49 / −0.04 / −1.69</w:t>
            </w:r>
          </w:p>
        </w:tc>
        <w:tc>
          <w:tcPr>
            <w:tcW w:type="dxa" w:w="1814"/>
          </w:tcPr>
          <w:p>
            <w:pPr>
              <w:spacing w:line="240" w:lineRule="auto" w:after="0" w:before="0"/>
            </w:pPr>
            <w:r/>
            <w:r>
              <w:rPr>
                <w:sz w:val="16"/>
              </w:rPr>
              <w:t>@10 +69 / −28, p = 3.8e-5</w:t>
            </w:r>
          </w:p>
        </w:tc>
      </w:tr>
      <w:tr>
        <w:trPr>
          <w:cantSplit/>
        </w:trPr>
        <w:tc>
          <w:tcPr>
            <w:tcW w:type="dxa" w:w="1814"/>
          </w:tcPr>
          <w:p>
            <w:pPr>
              <w:spacing w:line="240" w:lineRule="auto" w:after="0" w:before="0"/>
            </w:pPr>
            <w:r/>
            <w:r>
              <w:rPr>
                <w:sz w:val="16"/>
              </w:rPr>
              <w:t>eICU mean per-label AUROC</w:t>
            </w:r>
          </w:p>
        </w:tc>
        <w:tc>
          <w:tcPr>
            <w:tcW w:type="dxa" w:w="1814"/>
          </w:tcPr>
          <w:p>
            <w:pPr>
              <w:spacing w:line="240" w:lineRule="auto" w:after="0" w:before="0"/>
            </w:pPr>
            <w:r/>
            <w:r>
              <w:rPr>
                <w:sz w:val="16"/>
              </w:rPr>
              <w:t>.766</w:t>
            </w:r>
          </w:p>
        </w:tc>
        <w:tc>
          <w:tcPr>
            <w:tcW w:type="dxa" w:w="1814"/>
          </w:tcPr>
          <w:p>
            <w:pPr>
              <w:spacing w:line="240" w:lineRule="auto" w:after="0" w:before="0"/>
            </w:pPr>
            <w:r/>
            <w:r>
              <w:rPr>
                <w:sz w:val="16"/>
              </w:rPr>
              <w:t>.761</w:t>
            </w:r>
          </w:p>
        </w:tc>
        <w:tc>
          <w:tcPr>
            <w:tcW w:type="dxa" w:w="1814"/>
          </w:tcPr>
          <w:p>
            <w:pPr>
              <w:spacing w:line="240" w:lineRule="auto" w:after="0" w:before="0"/>
            </w:pPr>
            <w:r/>
            <w:r>
              <w:rPr>
                <w:sz w:val="16"/>
              </w:rPr>
              <w:t>−.005</w:t>
            </w:r>
          </w:p>
        </w:tc>
        <w:tc>
          <w:tcPr>
            <w:tcW w:type="dxa" w:w="1814"/>
          </w:tcPr>
          <w:p>
            <w:pPr>
              <w:spacing w:line="240" w:lineRule="auto" w:after="0" w:before="0"/>
            </w:pPr>
            <w:r/>
            <w:r>
              <w:rPr>
                <w:sz w:val="16"/>
              </w:rPr>
              <w:t>—</w:t>
            </w:r>
          </w:p>
        </w:tc>
      </w:tr>
      <w:tr>
        <w:trPr>
          <w:cantSplit/>
        </w:trPr>
        <w:tc>
          <w:tcPr>
            <w:tcW w:type="dxa" w:w="1814"/>
          </w:tcPr>
          <w:p>
            <w:pPr>
              <w:spacing w:line="240" w:lineRule="auto" w:after="0" w:before="0"/>
            </w:pPr>
            <w:r/>
            <w:r>
              <w:rPr>
                <w:sz w:val="16"/>
              </w:rPr>
              <w:t>NHANES 2017–18 AUROCs (7 targets)</w:t>
            </w:r>
          </w:p>
        </w:tc>
        <w:tc>
          <w:tcPr>
            <w:tcW w:type="dxa" w:w="1814"/>
          </w:tcPr>
          <w:p>
            <w:pPr>
              <w:spacing w:line="240" w:lineRule="auto" w:after="0" w:before="0"/>
            </w:pPr>
            <w:r/>
            <w:r>
              <w:rPr>
                <w:sz w:val="16"/>
              </w:rPr>
              <w:t>identical</w:t>
            </w:r>
          </w:p>
        </w:tc>
        <w:tc>
          <w:tcPr>
            <w:tcW w:type="dxa" w:w="1814"/>
          </w:tcPr>
          <w:p>
            <w:pPr>
              <w:spacing w:line="240" w:lineRule="auto" w:after="0" w:before="0"/>
            </w:pPr>
            <w:r/>
            <w:r>
              <w:rPr>
                <w:sz w:val="16"/>
              </w:rPr>
              <w:t>identical</w:t>
            </w:r>
          </w:p>
        </w:tc>
        <w:tc>
          <w:tcPr>
            <w:tcW w:type="dxa" w:w="1814"/>
          </w:tcPr>
          <w:p>
            <w:pPr>
              <w:spacing w:line="240" w:lineRule="auto" w:after="0" w:before="0"/>
            </w:pPr>
            <w:r/>
            <w:r>
              <w:rPr>
                <w:sz w:val="16"/>
              </w:rPr>
              <w:t>0</w:t>
            </w:r>
          </w:p>
        </w:tc>
        <w:tc>
          <w:tcPr>
            <w:tcW w:type="dxa" w:w="1814"/>
          </w:tcPr>
          <w:p>
            <w:pPr>
              <w:spacing w:line="240" w:lineRule="auto" w:after="0" w:before="0"/>
            </w:pPr>
            <w:r/>
            <w:r>
              <w:rPr>
                <w:sz w:val="16"/>
              </w:rPr>
              <w:t>—</w:t>
            </w:r>
          </w:p>
        </w:tc>
      </w:tr>
      <w:tr>
        <w:trPr>
          <w:cantSplit/>
        </w:trPr>
        <w:tc>
          <w:tcPr>
            <w:tcW w:type="dxa" w:w="1814"/>
          </w:tcPr>
          <w:p>
            <w:pPr>
              <w:spacing w:line="240" w:lineRule="auto" w:after="0" w:before="0"/>
            </w:pPr>
            <w:r/>
            <w:r>
              <w:rPr>
                <w:sz w:val="16"/>
              </w:rPr>
              <w:t>healthy-adult false assertions</w:t>
            </w:r>
          </w:p>
        </w:tc>
        <w:tc>
          <w:tcPr>
            <w:tcW w:type="dxa" w:w="1814"/>
          </w:tcPr>
          <w:p>
            <w:pPr>
              <w:spacing w:line="240" w:lineRule="auto" w:after="0" w:before="0"/>
            </w:pPr>
            <w:r/>
            <w:r>
              <w:rPr>
                <w:sz w:val="16"/>
              </w:rPr>
              <w:t>0/51</w:t>
            </w:r>
          </w:p>
        </w:tc>
        <w:tc>
          <w:tcPr>
            <w:tcW w:type="dxa" w:w="1814"/>
          </w:tcPr>
          <w:p>
            <w:pPr>
              <w:spacing w:line="240" w:lineRule="auto" w:after="0" w:before="0"/>
            </w:pPr>
            <w:r/>
            <w:r>
              <w:rPr>
                <w:sz w:val="16"/>
              </w:rPr>
              <w:t>0/51</w:t>
            </w:r>
          </w:p>
        </w:tc>
        <w:tc>
          <w:tcPr>
            <w:tcW w:type="dxa" w:w="1814"/>
          </w:tcPr>
          <w:p>
            <w:pPr>
              <w:spacing w:line="240" w:lineRule="auto" w:after="0" w:before="0"/>
            </w:pPr>
            <w:r/>
            <w:r>
              <w:rPr>
                <w:sz w:val="16"/>
              </w:rPr>
              <w:t>0</w:t>
            </w:r>
          </w:p>
        </w:tc>
        <w:tc>
          <w:tcPr>
            <w:tcW w:type="dxa" w:w="1814"/>
          </w:tcPr>
          <w:p>
            <w:pPr>
              <w:spacing w:line="240" w:lineRule="auto" w:after="0" w:before="0"/>
            </w:pPr>
            <w:r/>
            <w:r>
              <w:rPr>
                <w:sz w:val="16"/>
              </w:rPr>
              <w:t>—</w:t>
            </w:r>
          </w:p>
        </w:tc>
      </w:tr>
    </w:tbl>
    <w:p/>
    <w:p>
      <w:r>
        <w:t>Denominator 2,432 labelled stay–diagnosis pairs in 2,314 stays. The gains of the full registry at @10 are driven by</w:t>
      </w:r>
    </w:p>
    <w:p>
      <w:r>
        <w:t xml:space="preserve">diabetes (+28 grouped@10, +31 flat@10) and AKI/renal pattern templates; no </w:t>
      </w:r>
      <w:r>
        <w:rPr>
          <w:rFonts w:ascii="Courier New" w:hAnsi="Courier New" w:eastAsia="Courier New" w:cs="Courier New"/>
          <w:color w:val="000000"/>
          <w:sz w:val="22"/>
        </w:rPr>
        <w:t>co_</w:t>
      </w:r>
      <w:r>
        <w:t xml:space="preserve"> template appears in any CORE top-5</w:t>
      </w:r>
    </w:p>
    <w:p>
      <w:r>
        <w:t>(0 vs 88 in the full arm). Verdict under the protocol's pre-stated thresholds: the un-audited 30,735 executable</w:t>
      </w:r>
    </w:p>
    <w:p>
      <w:r>
        <w:t xml:space="preserve">rules are </w:t>
      </w:r>
      <w:r>
        <w:rPr>
          <w:b/>
        </w:rPr>
        <w:t>not load-bearing at @3/@5 (|Δ| ≤ 0.5 pt)</w:t>
      </w:r>
      <w:r>
        <w:t xml:space="preserve"> and **partially load-bearing at @10 and in the two-tier</w:t>
      </w:r>
    </w:p>
    <w:p>
      <w:r>
        <w:t>metric (1.0–2.3 pt, significant)**. The curated/quote-verified 1.1 % of rules therefore carries the ranking at the</w:t>
      </w:r>
    </w:p>
    <w:p>
      <w:r>
        <w:t>cut-offs the paper reports as primary.</w:t>
      </w:r>
    </w:p>
    <w:p>
      <w:pPr>
        <w:pStyle w:val="Heading2"/>
      </w:pPr>
      <w:r>
        <w:rPr>
          <w:rFonts w:ascii="Times New Roman" w:hAnsi="Times New Roman" w:eastAsia="Times New Roman" w:cs="Times New Roman"/>
          <w:b/>
          <w:i w:val="0"/>
          <w:color w:val="000000"/>
        </w:rPr>
        <w:t>Part 1 — Mutation testing of the frozen detectors (registry 15.1.0, detectors `9c87645`)</w:t>
      </w:r>
    </w:p>
    <w:p>
      <w:r>
        <w:t>303 seed rules (every curated rule plus a seeded sample of active-core rules). Each mutation class is applied to</w:t>
      </w:r>
    </w:p>
    <w:p>
      <w:r>
        <w:t>every seed to which it is applicable; a mutant is "detected" if any detector flags it and the unmutated seed is not</w:t>
      </w:r>
    </w:p>
    <w:p>
      <w:r>
        <w:t>flagged for the same reason.</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cantSplit/>
          <w:tblHeader/>
        </w:trPr>
        <w:tc>
          <w:tcPr>
            <w:tcW w:type="dxa" w:w="1814"/>
            <w:shd w:val="clear" w:fill="F2F2F2"/>
          </w:tcPr>
          <w:p>
            <w:pPr>
              <w:spacing w:line="240" w:lineRule="auto" w:after="0" w:before="0"/>
            </w:pPr>
            <w:r>
              <w:rPr>
                <w:b/>
              </w:rPr>
            </w:r>
            <w:r>
              <w:rPr>
                <w:b/>
                <w:sz w:val="16"/>
              </w:rPr>
              <w:t>class</w:t>
            </w:r>
          </w:p>
        </w:tc>
        <w:tc>
          <w:tcPr>
            <w:tcW w:type="dxa" w:w="1814"/>
            <w:shd w:val="clear" w:fill="F2F2F2"/>
          </w:tcPr>
          <w:p>
            <w:pPr>
              <w:spacing w:line="240" w:lineRule="auto" w:after="0" w:before="0"/>
            </w:pPr>
            <w:r>
              <w:rPr>
                <w:b/>
              </w:rPr>
            </w:r>
            <w:r>
              <w:rPr>
                <w:b/>
                <w:sz w:val="16"/>
              </w:rPr>
              <w:t>mutation</w:t>
            </w:r>
          </w:p>
        </w:tc>
        <w:tc>
          <w:tcPr>
            <w:tcW w:type="dxa" w:w="1814"/>
            <w:shd w:val="clear" w:fill="F2F2F2"/>
          </w:tcPr>
          <w:p>
            <w:pPr>
              <w:spacing w:line="240" w:lineRule="auto" w:after="0" w:before="0"/>
            </w:pPr>
            <w:r>
              <w:rPr>
                <w:b/>
              </w:rPr>
            </w:r>
            <w:r>
              <w:rPr>
                <w:b/>
                <w:sz w:val="16"/>
              </w:rPr>
              <w:t>mutants</w:t>
            </w:r>
          </w:p>
        </w:tc>
        <w:tc>
          <w:tcPr>
            <w:tcW w:type="dxa" w:w="1814"/>
            <w:shd w:val="clear" w:fill="F2F2F2"/>
          </w:tcPr>
          <w:p>
            <w:pPr>
              <w:spacing w:line="240" w:lineRule="auto" w:after="0" w:before="0"/>
            </w:pPr>
            <w:r>
              <w:rPr>
                <w:b/>
              </w:rPr>
            </w:r>
            <w:r>
              <w:rPr>
                <w:b/>
                <w:sz w:val="16"/>
              </w:rPr>
              <w:t>detected</w:t>
            </w:r>
          </w:p>
        </w:tc>
        <w:tc>
          <w:tcPr>
            <w:tcW w:type="dxa" w:w="1814"/>
            <w:shd w:val="clear" w:fill="F2F2F2"/>
          </w:tcPr>
          <w:p>
            <w:pPr>
              <w:spacing w:line="240" w:lineRule="auto" w:after="0" w:before="0"/>
            </w:pPr>
            <w:r>
              <w:rPr>
                <w:b/>
              </w:rPr>
            </w:r>
            <w:r>
              <w:rPr>
                <w:b/>
                <w:sz w:val="16"/>
              </w:rPr>
              <w:t>recall</w:t>
            </w:r>
          </w:p>
        </w:tc>
      </w:tr>
      <w:tr>
        <w:trPr>
          <w:cantSplit/>
        </w:trPr>
        <w:tc>
          <w:tcPr>
            <w:tcW w:type="dxa" w:w="1814"/>
          </w:tcPr>
          <w:p>
            <w:pPr>
              <w:spacing w:line="240" w:lineRule="auto" w:after="0" w:before="0"/>
            </w:pPr>
            <w:r/>
            <w:r>
              <w:rPr>
                <w:sz w:val="16"/>
              </w:rPr>
              <w:t>M1</w:t>
            </w:r>
          </w:p>
        </w:tc>
        <w:tc>
          <w:tcPr>
            <w:tcW w:type="dxa" w:w="1814"/>
          </w:tcPr>
          <w:p>
            <w:pPr>
              <w:spacing w:line="240" w:lineRule="auto" w:after="0" w:before="0"/>
            </w:pPr>
            <w:r/>
            <w:r>
              <w:rPr>
                <w:sz w:val="16"/>
              </w:rPr>
              <w:t>threshold shifted to a value that violates the feature's physiological limits</w:t>
            </w:r>
          </w:p>
        </w:tc>
        <w:tc>
          <w:tcPr>
            <w:tcW w:type="dxa" w:w="1814"/>
          </w:tcPr>
          <w:p>
            <w:pPr>
              <w:spacing w:line="240" w:lineRule="auto" w:after="0" w:before="0"/>
            </w:pPr>
            <w:r/>
            <w:r>
              <w:rPr>
                <w:sz w:val="16"/>
              </w:rPr>
              <w:t>73</w:t>
            </w:r>
          </w:p>
        </w:tc>
        <w:tc>
          <w:tcPr>
            <w:tcW w:type="dxa" w:w="1814"/>
          </w:tcPr>
          <w:p>
            <w:pPr>
              <w:spacing w:line="240" w:lineRule="auto" w:after="0" w:before="0"/>
            </w:pPr>
            <w:r/>
            <w:r>
              <w:rPr>
                <w:sz w:val="16"/>
              </w:rPr>
              <w:t>40</w:t>
            </w:r>
          </w:p>
        </w:tc>
        <w:tc>
          <w:tcPr>
            <w:tcW w:type="dxa" w:w="1814"/>
          </w:tcPr>
          <w:p>
            <w:pPr>
              <w:spacing w:line="240" w:lineRule="auto" w:after="0" w:before="0"/>
            </w:pPr>
            <w:r/>
            <w:r>
              <w:rPr>
                <w:sz w:val="16"/>
              </w:rPr>
              <w:t>0.548</w:t>
            </w:r>
          </w:p>
        </w:tc>
      </w:tr>
      <w:tr>
        <w:trPr>
          <w:cantSplit/>
        </w:trPr>
        <w:tc>
          <w:tcPr>
            <w:tcW w:type="dxa" w:w="1814"/>
          </w:tcPr>
          <w:p>
            <w:pPr>
              <w:spacing w:line="240" w:lineRule="auto" w:after="0" w:before="0"/>
            </w:pPr>
            <w:r/>
            <w:r>
              <w:rPr>
                <w:sz w:val="16"/>
              </w:rPr>
              <w:t>M2</w:t>
            </w:r>
          </w:p>
        </w:tc>
        <w:tc>
          <w:tcPr>
            <w:tcW w:type="dxa" w:w="1814"/>
          </w:tcPr>
          <w:p>
            <w:pPr>
              <w:spacing w:line="240" w:lineRule="auto" w:after="0" w:before="0"/>
            </w:pPr>
            <w:r/>
            <w:r>
              <w:rPr>
                <w:sz w:val="16"/>
              </w:rPr>
              <w:t>threshold shifted ×0.5 / ×2 inside physiological limits</w:t>
            </w:r>
          </w:p>
        </w:tc>
        <w:tc>
          <w:tcPr>
            <w:tcW w:type="dxa" w:w="1814"/>
          </w:tcPr>
          <w:p>
            <w:pPr>
              <w:spacing w:line="240" w:lineRule="auto" w:after="0" w:before="0"/>
            </w:pPr>
            <w:r/>
            <w:r>
              <w:rPr>
                <w:sz w:val="16"/>
              </w:rPr>
              <w:t>303</w:t>
            </w:r>
          </w:p>
        </w:tc>
        <w:tc>
          <w:tcPr>
            <w:tcW w:type="dxa" w:w="1814"/>
          </w:tcPr>
          <w:p>
            <w:pPr>
              <w:spacing w:line="240" w:lineRule="auto" w:after="0" w:before="0"/>
            </w:pPr>
            <w:r/>
            <w:r>
              <w:rPr>
                <w:sz w:val="16"/>
              </w:rPr>
              <w:t>1</w:t>
            </w:r>
          </w:p>
        </w:tc>
        <w:tc>
          <w:tcPr>
            <w:tcW w:type="dxa" w:w="1814"/>
          </w:tcPr>
          <w:p>
            <w:pPr>
              <w:spacing w:line="240" w:lineRule="auto" w:after="0" w:before="0"/>
            </w:pPr>
            <w:r/>
            <w:r>
              <w:rPr>
                <w:sz w:val="16"/>
              </w:rPr>
              <w:t>0.003</w:t>
            </w:r>
          </w:p>
        </w:tc>
      </w:tr>
      <w:tr>
        <w:trPr>
          <w:cantSplit/>
        </w:trPr>
        <w:tc>
          <w:tcPr>
            <w:tcW w:type="dxa" w:w="1814"/>
          </w:tcPr>
          <w:p>
            <w:pPr>
              <w:spacing w:line="240" w:lineRule="auto" w:after="0" w:before="0"/>
            </w:pPr>
            <w:r/>
            <w:r>
              <w:rPr>
                <w:sz w:val="16"/>
              </w:rPr>
              <w:t>M3</w:t>
            </w:r>
          </w:p>
        </w:tc>
        <w:tc>
          <w:tcPr>
            <w:tcW w:type="dxa" w:w="1814"/>
          </w:tcPr>
          <w:p>
            <w:pPr>
              <w:spacing w:line="240" w:lineRule="auto" w:after="0" w:before="0"/>
            </w:pPr>
            <w:r/>
            <w:r>
              <w:rPr>
                <w:sz w:val="16"/>
              </w:rPr>
              <w:t>comparison operator flipped (&lt; ↔ &gt;)</w:t>
            </w:r>
          </w:p>
        </w:tc>
        <w:tc>
          <w:tcPr>
            <w:tcW w:type="dxa" w:w="1814"/>
          </w:tcPr>
          <w:p>
            <w:pPr>
              <w:spacing w:line="240" w:lineRule="auto" w:after="0" w:before="0"/>
            </w:pPr>
            <w:r/>
            <w:r>
              <w:rPr>
                <w:sz w:val="16"/>
              </w:rPr>
              <w:t>274</w:t>
            </w:r>
          </w:p>
        </w:tc>
        <w:tc>
          <w:tcPr>
            <w:tcW w:type="dxa" w:w="1814"/>
          </w:tcPr>
          <w:p>
            <w:pPr>
              <w:spacing w:line="240" w:lineRule="auto" w:after="0" w:before="0"/>
            </w:pPr>
            <w:r/>
            <w:r>
              <w:rPr>
                <w:sz w:val="16"/>
              </w:rPr>
              <w:t>36</w:t>
            </w:r>
          </w:p>
        </w:tc>
        <w:tc>
          <w:tcPr>
            <w:tcW w:type="dxa" w:w="1814"/>
          </w:tcPr>
          <w:p>
            <w:pPr>
              <w:spacing w:line="240" w:lineRule="auto" w:after="0" w:before="0"/>
            </w:pPr>
            <w:r/>
            <w:r>
              <w:rPr>
                <w:sz w:val="16"/>
              </w:rPr>
              <w:t>0.131</w:t>
            </w:r>
          </w:p>
        </w:tc>
      </w:tr>
      <w:tr>
        <w:trPr>
          <w:cantSplit/>
        </w:trPr>
        <w:tc>
          <w:tcPr>
            <w:tcW w:type="dxa" w:w="1814"/>
          </w:tcPr>
          <w:p>
            <w:pPr>
              <w:spacing w:line="240" w:lineRule="auto" w:after="0" w:before="0"/>
            </w:pPr>
            <w:r/>
            <w:r>
              <w:rPr>
                <w:sz w:val="16"/>
              </w:rPr>
              <w:t>M4</w:t>
            </w:r>
          </w:p>
        </w:tc>
        <w:tc>
          <w:tcPr>
            <w:tcW w:type="dxa" w:w="1814"/>
          </w:tcPr>
          <w:p>
            <w:pPr>
              <w:spacing w:line="240" w:lineRule="auto" w:after="0" w:before="0"/>
            </w:pPr>
            <w:r/>
            <w:r>
              <w:rPr>
                <w:sz w:val="16"/>
              </w:rPr>
              <w:t>unit replaced by a quantitatively different unit of the same analyte</w:t>
            </w:r>
          </w:p>
        </w:tc>
        <w:tc>
          <w:tcPr>
            <w:tcW w:type="dxa" w:w="1814"/>
          </w:tcPr>
          <w:p>
            <w:pPr>
              <w:spacing w:line="240" w:lineRule="auto" w:after="0" w:before="0"/>
            </w:pPr>
            <w:r/>
            <w:r>
              <w:rPr>
                <w:sz w:val="16"/>
              </w:rPr>
              <w:t>152</w:t>
            </w:r>
          </w:p>
        </w:tc>
        <w:tc>
          <w:tcPr>
            <w:tcW w:type="dxa" w:w="1814"/>
          </w:tcPr>
          <w:p>
            <w:pPr>
              <w:spacing w:line="240" w:lineRule="auto" w:after="0" w:before="0"/>
            </w:pPr>
            <w:r/>
            <w:r>
              <w:rPr>
                <w:sz w:val="16"/>
              </w:rPr>
              <w:t>113</w:t>
            </w:r>
          </w:p>
        </w:tc>
        <w:tc>
          <w:tcPr>
            <w:tcW w:type="dxa" w:w="1814"/>
          </w:tcPr>
          <w:p>
            <w:pPr>
              <w:spacing w:line="240" w:lineRule="auto" w:after="0" w:before="0"/>
            </w:pPr>
            <w:r/>
            <w:r>
              <w:rPr>
                <w:sz w:val="16"/>
              </w:rPr>
              <w:t>0.743</w:t>
            </w:r>
          </w:p>
        </w:tc>
      </w:tr>
      <w:tr>
        <w:trPr>
          <w:cantSplit/>
        </w:trPr>
        <w:tc>
          <w:tcPr>
            <w:tcW w:type="dxa" w:w="1814"/>
          </w:tcPr>
          <w:p>
            <w:pPr>
              <w:spacing w:line="240" w:lineRule="auto" w:after="0" w:before="0"/>
            </w:pPr>
            <w:r/>
            <w:r>
              <w:rPr>
                <w:sz w:val="16"/>
              </w:rPr>
              <w:t>M5</w:t>
            </w:r>
          </w:p>
        </w:tc>
        <w:tc>
          <w:tcPr>
            <w:tcW w:type="dxa" w:w="1814"/>
          </w:tcPr>
          <w:p>
            <w:pPr>
              <w:spacing w:line="240" w:lineRule="auto" w:after="0" w:before="0"/>
            </w:pPr>
            <w:r/>
            <w:r>
              <w:rPr>
                <w:sz w:val="16"/>
              </w:rPr>
              <w:t>severity tier made arithmetically derived</w:t>
            </w:r>
          </w:p>
        </w:tc>
        <w:tc>
          <w:tcPr>
            <w:tcW w:type="dxa" w:w="1814"/>
          </w:tcPr>
          <w:p>
            <w:pPr>
              <w:spacing w:line="240" w:lineRule="auto" w:after="0" w:before="0"/>
            </w:pPr>
            <w:r/>
            <w:r>
              <w:rPr>
                <w:sz w:val="16"/>
              </w:rPr>
              <w:t>1</w:t>
            </w:r>
          </w:p>
        </w:tc>
        <w:tc>
          <w:tcPr>
            <w:tcW w:type="dxa" w:w="1814"/>
          </w:tcPr>
          <w:p>
            <w:pPr>
              <w:spacing w:line="240" w:lineRule="auto" w:after="0" w:before="0"/>
            </w:pPr>
            <w:r/>
            <w:r>
              <w:rPr>
                <w:sz w:val="16"/>
              </w:rPr>
              <w:t>0</w:t>
            </w:r>
          </w:p>
        </w:tc>
        <w:tc>
          <w:tcPr>
            <w:tcW w:type="dxa" w:w="1814"/>
          </w:tcPr>
          <w:p>
            <w:pPr>
              <w:spacing w:line="240" w:lineRule="auto" w:after="0" w:before="0"/>
            </w:pPr>
            <w:r/>
            <w:r>
              <w:rPr>
                <w:sz w:val="16"/>
              </w:rPr>
              <w:t>— (not evaluable)</w:t>
            </w:r>
          </w:p>
        </w:tc>
      </w:tr>
      <w:tr>
        <w:trPr>
          <w:cantSplit/>
        </w:trPr>
        <w:tc>
          <w:tcPr>
            <w:tcW w:type="dxa" w:w="1814"/>
          </w:tcPr>
          <w:p>
            <w:pPr>
              <w:spacing w:line="240" w:lineRule="auto" w:after="0" w:before="0"/>
            </w:pPr>
            <w:r/>
            <w:r>
              <w:rPr>
                <w:sz w:val="16"/>
              </w:rPr>
              <w:t>M6</w:t>
            </w:r>
          </w:p>
        </w:tc>
        <w:tc>
          <w:tcPr>
            <w:tcW w:type="dxa" w:w="1814"/>
          </w:tcPr>
          <w:p>
            <w:pPr>
              <w:spacing w:line="240" w:lineRule="auto" w:after="0" w:before="0"/>
            </w:pPr>
            <w:r/>
            <w:r>
              <w:rPr>
                <w:sz w:val="16"/>
              </w:rPr>
              <w:t>multi-leaf rule reduced to a single ubiquitous analyte</w:t>
            </w:r>
          </w:p>
        </w:tc>
        <w:tc>
          <w:tcPr>
            <w:tcW w:type="dxa" w:w="1814"/>
          </w:tcPr>
          <w:p>
            <w:pPr>
              <w:spacing w:line="240" w:lineRule="auto" w:after="0" w:before="0"/>
            </w:pPr>
            <w:r/>
            <w:r>
              <w:rPr>
                <w:sz w:val="16"/>
              </w:rPr>
              <w:t>141</w:t>
            </w:r>
          </w:p>
        </w:tc>
        <w:tc>
          <w:tcPr>
            <w:tcW w:type="dxa" w:w="1814"/>
          </w:tcPr>
          <w:p>
            <w:pPr>
              <w:spacing w:line="240" w:lineRule="auto" w:after="0" w:before="0"/>
            </w:pPr>
            <w:r/>
            <w:r>
              <w:rPr>
                <w:sz w:val="16"/>
              </w:rPr>
              <w:t>138</w:t>
            </w:r>
          </w:p>
        </w:tc>
        <w:tc>
          <w:tcPr>
            <w:tcW w:type="dxa" w:w="1814"/>
          </w:tcPr>
          <w:p>
            <w:pPr>
              <w:spacing w:line="240" w:lineRule="auto" w:after="0" w:before="0"/>
            </w:pPr>
            <w:r/>
            <w:r>
              <w:rPr>
                <w:sz w:val="16"/>
              </w:rPr>
              <w:t>0.979</w:t>
            </w:r>
          </w:p>
        </w:tc>
      </w:tr>
      <w:tr>
        <w:trPr>
          <w:cantSplit/>
        </w:trPr>
        <w:tc>
          <w:tcPr>
            <w:tcW w:type="dxa" w:w="1814"/>
          </w:tcPr>
          <w:p>
            <w:pPr>
              <w:spacing w:line="240" w:lineRule="auto" w:after="0" w:before="0"/>
            </w:pPr>
            <w:r/>
            <w:r>
              <w:rPr>
                <w:sz w:val="16"/>
              </w:rPr>
              <w:t>M7</w:t>
            </w:r>
          </w:p>
        </w:tc>
        <w:tc>
          <w:tcPr>
            <w:tcW w:type="dxa" w:w="1814"/>
          </w:tcPr>
          <w:p>
            <w:pPr>
              <w:spacing w:line="240" w:lineRule="auto" w:after="0" w:before="0"/>
            </w:pPr>
            <w:r/>
            <w:r>
              <w:rPr>
                <w:sz w:val="16"/>
              </w:rPr>
              <w:t>tier order inverted / made impossible</w:t>
            </w:r>
          </w:p>
        </w:tc>
        <w:tc>
          <w:tcPr>
            <w:tcW w:type="dxa" w:w="1814"/>
          </w:tcPr>
          <w:p>
            <w:pPr>
              <w:spacing w:line="240" w:lineRule="auto" w:after="0" w:before="0"/>
            </w:pPr>
            <w:r/>
            <w:r>
              <w:rPr>
                <w:sz w:val="16"/>
              </w:rPr>
              <w:t>301</w:t>
            </w:r>
          </w:p>
        </w:tc>
        <w:tc>
          <w:tcPr>
            <w:tcW w:type="dxa" w:w="1814"/>
          </w:tcPr>
          <w:p>
            <w:pPr>
              <w:spacing w:line="240" w:lineRule="auto" w:after="0" w:before="0"/>
            </w:pPr>
            <w:r/>
            <w:r>
              <w:rPr>
                <w:sz w:val="16"/>
              </w:rPr>
              <w:t>301</w:t>
            </w:r>
          </w:p>
        </w:tc>
        <w:tc>
          <w:tcPr>
            <w:tcW w:type="dxa" w:w="1814"/>
          </w:tcPr>
          <w:p>
            <w:pPr>
              <w:spacing w:line="240" w:lineRule="auto" w:after="0" w:before="0"/>
            </w:pPr>
            <w:r/>
            <w:r>
              <w:rPr>
                <w:sz w:val="16"/>
              </w:rPr>
              <w:t>1.000</w:t>
            </w:r>
          </w:p>
        </w:tc>
      </w:tr>
      <w:tr>
        <w:trPr>
          <w:cantSplit/>
        </w:trPr>
        <w:tc>
          <w:tcPr>
            <w:tcW w:type="dxa" w:w="1814"/>
          </w:tcPr>
          <w:p>
            <w:pPr>
              <w:spacing w:line="240" w:lineRule="auto" w:after="0" w:before="0"/>
            </w:pPr>
            <w:r/>
            <w:r>
              <w:rPr>
                <w:sz w:val="16"/>
              </w:rPr>
              <w:t>M8</w:t>
            </w:r>
          </w:p>
        </w:tc>
        <w:tc>
          <w:tcPr>
            <w:tcW w:type="dxa" w:w="1814"/>
          </w:tcPr>
          <w:p>
            <w:pPr>
              <w:spacing w:line="240" w:lineRule="auto" w:after="0" w:before="0"/>
            </w:pPr>
            <w:r/>
            <w:r>
              <w:rPr>
                <w:sz w:val="16"/>
              </w:rPr>
              <w:t>source replaced by a random source of a non-neighbouring domain</w:t>
            </w:r>
          </w:p>
        </w:tc>
        <w:tc>
          <w:tcPr>
            <w:tcW w:type="dxa" w:w="1814"/>
          </w:tcPr>
          <w:p>
            <w:pPr>
              <w:spacing w:line="240" w:lineRule="auto" w:after="0" w:before="0"/>
            </w:pPr>
            <w:r/>
            <w:r>
              <w:rPr>
                <w:sz w:val="16"/>
              </w:rPr>
              <w:t>88</w:t>
            </w:r>
          </w:p>
        </w:tc>
        <w:tc>
          <w:tcPr>
            <w:tcW w:type="dxa" w:w="1814"/>
          </w:tcPr>
          <w:p>
            <w:pPr>
              <w:spacing w:line="240" w:lineRule="auto" w:after="0" w:before="0"/>
            </w:pPr>
            <w:r/>
            <w:r>
              <w:rPr>
                <w:sz w:val="16"/>
              </w:rPr>
              <w:t>40</w:t>
            </w:r>
          </w:p>
        </w:tc>
        <w:tc>
          <w:tcPr>
            <w:tcW w:type="dxa" w:w="1814"/>
          </w:tcPr>
          <w:p>
            <w:pPr>
              <w:spacing w:line="240" w:lineRule="auto" w:after="0" w:before="0"/>
            </w:pPr>
            <w:r/>
            <w:r>
              <w:rPr>
                <w:sz w:val="16"/>
              </w:rPr>
              <w:t>0.455</w:t>
            </w:r>
          </w:p>
        </w:tc>
      </w:tr>
    </w:tbl>
    <w:p/>
    <w:p>
      <w:r>
        <w:t xml:space="preserve">Specificity on the 303 unmutated seeds: 8 flagged (0.974). On inspection four of the eight are </w:t>
      </w:r>
      <w:r>
        <w:rPr>
          <w:b/>
        </w:rPr>
        <w:t>true defects</w:t>
      </w:r>
    </w:p>
    <w:p>
      <w:r>
        <w:t xml:space="preserve">(adult haemoglobin &lt; 12 g/dL applied with a neonate population in the iron-deficiency and haemolytic </w:t>
      </w:r>
      <w:r>
        <w:rPr>
          <w:rFonts w:ascii="Courier New" w:hAnsi="Courier New" w:eastAsia="Courier New" w:cs="Courier New"/>
          <w:color w:val="000000"/>
          <w:sz w:val="22"/>
        </w:rPr>
        <w:t>_cur13</w:t>
      </w:r>
    </w:p>
    <w:p>
      <w:r>
        <w:t>rules), one is the acknowledged fixed-threshold AKI surrogate, three are SRC false positives (HHS and lactic</w:t>
      </w:r>
    </w:p>
    <w:p>
      <w:r>
        <w:t>acidosis cited to diabetes/critical-care sources). Interpretation: static detectors are strong for what they were</w:t>
      </w:r>
    </w:p>
    <w:p>
      <w:r>
        <w:t>built for (structural and unit defects, M4/M6/M7) and essentially blind to plausible wrong thresholds (M2) and to</w:t>
      </w:r>
    </w:p>
    <w:p>
      <w:r>
        <w:t>operator flips that remain within physiological range (M3). This is the limitation the paper states: *static audit</w:t>
      </w:r>
    </w:p>
    <w:p>
      <w:r>
        <w:t>is necessary, not sufficient; a plausibly wrong number passes.* A first version of M8 that drew the replacement</w:t>
      </w:r>
    </w:p>
    <w:p>
      <w:r>
        <w:t>source from the detector's own scope table was discarded as circular (recall 0.989) and replaced by the random</w:t>
      </w:r>
    </w:p>
    <w:p>
      <w:r>
        <w:t>swap reported above.</w:t>
      </w:r>
    </w:p>
    <w:p>
      <w:r>
        <w:t>Defects in rules found incidentally during calibration, re-inspected against the engine and the sources before</w:t>
      </w:r>
    </w:p>
    <w:p>
      <w:r>
        <w:t>release 15.2.0 (protocol in the repository): MCV &gt; 200 / &lt; 20 fL and total protein &gt; 16.6 / &lt; 1.5</w:t>
      </w:r>
    </w:p>
    <w:p>
      <w:r>
        <w:t>g/dL severity tiers (4 rules, retired); unit labels — ACTH thresholds numerically in pg/mL but labelled ng/mL (93</w:t>
      </w:r>
    </w:p>
    <w:p>
      <w:r>
        <w:t>rules; the feature registry's canonical ng/mL was the wrong side, corrected to pg/mL), PTH ng/mL for pg/mL values</w:t>
      </w:r>
    </w:p>
    <w:p>
      <w:r>
        <w:t>(14 rules), cortisol 60/230 ng/mL converted exactly to 6/23 µg/dL (19 rules); wrong sources — four pancreatitis</w:t>
      </w:r>
    </w:p>
    <w:p>
      <w:r>
        <w:t>rules citing a GERD guideline, ten sodium/osmolality pattern rules citing a paediatric liver entry mis-keyed as a</w:t>
      </w:r>
    </w:p>
    <w:p>
      <w:r>
        <w:t xml:space="preserve">sodium guideline. Two items first listed as defects were withdrawn on inspection: </w:t>
      </w:r>
      <w:r>
        <w:rPr>
          <w:rFonts w:ascii="Courier New" w:hAnsi="Courier New" w:eastAsia="Courier New" w:cs="Courier New"/>
          <w:color w:val="000000"/>
          <w:sz w:val="22"/>
        </w:rPr>
        <w:t>rhabdomyolysis_v1</w:t>
      </w:r>
      <w:r>
        <w:t xml:space="preserve"> ("CK &gt; 0")</w:t>
      </w:r>
    </w:p>
    <w:p>
      <w:r>
        <w:t xml:space="preserve">carries a 5 × ULN context flag that the engine applies at run time (the static detector does not read </w:t>
      </w:r>
      <w:r>
        <w:rPr>
          <w:rFonts w:ascii="Courier New" w:hAnsi="Courier New" w:eastAsia="Courier New" w:cs="Courier New"/>
          <w:color w:val="000000"/>
          <w:sz w:val="22"/>
        </w:rPr>
        <w:t>context</w:t>
      </w:r>
      <w:r>
        <w:t xml:space="preserve"> —</w:t>
      </w:r>
    </w:p>
    <w:p>
      <w:r>
        <w:t>an audit false positive), and the β2-microglobulin inconsistency is on a different feature id (</w:t>
      </w:r>
      <w:r>
        <w:rPr>
          <w:rFonts w:ascii="Courier New" w:hAnsi="Courier New" w:eastAsia="Courier New" w:cs="Courier New"/>
          <w:color w:val="000000"/>
          <w:sz w:val="22"/>
        </w:rPr>
        <w:t>beta_2_microglobulin_tumor</w:t>
      </w:r>
      <w:r>
        <w:t xml:space="preserve">, 2 rules), left open. The four </w:t>
      </w:r>
      <w:r>
        <w:rPr>
          <w:rFonts w:ascii="Courier New" w:hAnsi="Courier New" w:eastAsia="Courier New" w:cs="Courier New"/>
          <w:color w:val="000000"/>
          <w:sz w:val="22"/>
        </w:rPr>
        <w:t>_cur13</w:t>
      </w:r>
      <w:r>
        <w:t xml:space="preserve"> anaemia</w:t>
      </w:r>
    </w:p>
    <w:p>
      <w:r>
        <w:t>rules with a neonatal population were restricted to ≥ adolescent.</w:t>
      </w:r>
    </w:p>
    <w:p>
      <w:pPr>
        <w:pStyle w:val="Heading2"/>
      </w:pPr>
      <w:r>
        <w:rPr>
          <w:rFonts w:ascii="Times New Roman" w:hAnsi="Times New Roman" w:eastAsia="Times New Roman" w:cs="Times New Roman"/>
          <w:b/>
          <w:i w:val="0"/>
          <w:color w:val="000000"/>
        </w:rPr>
        <w:t>Part 3 — Application to a second LLM-authored corpus</w:t>
      </w:r>
    </w:p>
    <w:p>
      <w:r>
        <w:t xml:space="preserve">Corpus SHA-256 </w:t>
      </w:r>
      <w:r>
        <w:rPr>
          <w:rFonts w:ascii="Courier New" w:hAnsi="Courier New" w:eastAsia="Courier New" w:cs="Courier New"/>
          <w:color w:val="000000"/>
          <w:sz w:val="22"/>
        </w:rPr>
        <w:t>96d423f1dd65583692d491c37a9179e738ea6cba7f4b82c1f644e4ea58e9dca6</w:t>
      </w:r>
      <w:r>
        <w:t>, 200 entities ×</w:t>
      </w:r>
    </w:p>
    <w:p>
      <w:r>
        <w:t xml:space="preserve">2 rules = 400 rules (120 infectious, 80 haematology, 60 renal, 60 endocrine, 80 other), written under a fixed prompt (reproduced at the end of this Note). </w:t>
      </w:r>
      <w:r>
        <w:rPr>
          <w:b/>
        </w:rPr>
        <w:t>Full disclosure of how the corpus was produced.</w:t>
      </w:r>
      <w:r>
        <w:t xml:space="preserve"> It was written by the same agent that wrote</w:t>
      </w:r>
    </w:p>
    <w:p>
      <w:r>
        <w:t xml:space="preserve">the detectors, from memory, in one pass, without re-opening the detector code. Three edits were made </w:t>
      </w:r>
      <w:r>
        <w:rPr>
          <w:i/>
        </w:rPr>
        <w:t>before</w:t>
      </w:r>
      <w:r>
        <w:t xml:space="preserve"> the hash was</w:t>
      </w:r>
    </w:p>
    <w:p>
      <w:r>
        <w:t>taken and before any audit run: (i) the first pass produced 188 entities with the wrong stratum counts; four</w:t>
      </w:r>
    </w:p>
    <w:p>
      <w:r>
        <w:t>endocrine/other entities were dropped and sixteen infectious/haematology/renal entities appended to reach the</w:t>
      </w:r>
    </w:p>
    <w:p>
      <w:r>
        <w:t>pre-specified strata; (ii) ten cited source identifiers that did not exist in the 15.1.0 source list were replaced</w:t>
      </w:r>
    </w:p>
    <w:p>
      <w:r>
        <w:t xml:space="preserve">by the nearest existing identifier (e.g. </w:t>
      </w:r>
      <w:r>
        <w:rPr>
          <w:rFonts w:ascii="Courier New" w:hAnsi="Courier New" w:eastAsia="Courier New" w:cs="Courier New"/>
          <w:color w:val="000000"/>
          <w:sz w:val="22"/>
        </w:rPr>
        <w:t>cdc_tetanus_2024</w:t>
      </w:r>
      <w:r>
        <w:t xml:space="preserve"> → </w:t>
      </w:r>
      <w:r>
        <w:rPr>
          <w:rFonts w:ascii="Courier New" w:hAnsi="Courier New" w:eastAsia="Courier New" w:cs="Courier New"/>
          <w:color w:val="000000"/>
          <w:sz w:val="22"/>
        </w:rPr>
        <w:t>idsa_guidelines</w:t>
      </w:r>
      <w:r>
        <w:t>), because the prompt required</w:t>
      </w:r>
    </w:p>
    <w:p>
      <w:r>
        <w:t>identifiers from that list; (iii) in conversion, 33 feature identifiers were mapped to their registry equivalents</w:t>
      </w:r>
    </w:p>
    <w:p>
      <w:r>
        <w:t>(alias table in the conversion script), and population was set to all age groups except for three</w:t>
      </w:r>
    </w:p>
    <w:p>
      <w:r>
        <w:t>explicitly neonatal entities, which is the default the Hemoglyph generator applied. 733 of 765 leaves (95.8 %)</w:t>
      </w:r>
    </w:p>
    <w:p>
      <w:r>
        <w:t>reference a feature in the feature registry and are therefore unit-checkable; 32 are not. This is a second</w:t>
      </w:r>
    </w:p>
    <w:p>
      <w:r>
        <w:t>LLM-authored corpus, not an independent knowledge base; it tests whether the defect classes recur under a</w:t>
      </w:r>
    </w:p>
    <w:p>
      <w:r>
        <w:t>different generation process (one pass, no templates, no post-processing), not whether a third party would</w:t>
      </w:r>
    </w:p>
    <w:p>
      <w:r>
        <w:t>produce them.</w:t>
      </w:r>
    </w:p>
    <w:p>
      <w:r>
        <w:t>Densities per 100 rules (Wilson 95 % CI), same code, same tables:</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268"/>
            <w:shd w:val="clear" w:fill="F2F2F2"/>
          </w:tcPr>
          <w:p>
            <w:pPr>
              <w:spacing w:line="240" w:lineRule="auto" w:after="0" w:before="0"/>
            </w:pPr>
            <w:r>
              <w:rPr>
                <w:b/>
              </w:rPr>
            </w:r>
            <w:r>
              <w:rPr>
                <w:b/>
                <w:sz w:val="16"/>
              </w:rPr>
              <w:t>detector</w:t>
            </w:r>
          </w:p>
        </w:tc>
        <w:tc>
          <w:tcPr>
            <w:tcW w:type="dxa" w:w="2268"/>
            <w:shd w:val="clear" w:fill="F2F2F2"/>
          </w:tcPr>
          <w:p>
            <w:pPr>
              <w:spacing w:line="240" w:lineRule="auto" w:after="0" w:before="0"/>
            </w:pPr>
            <w:r>
              <w:rPr>
                <w:b/>
              </w:rPr>
            </w:r>
            <w:r>
              <w:rPr>
                <w:b/>
                <w:sz w:val="16"/>
              </w:rPr>
              <w:t>14.1.0 (paper registry; 8,890 non-template executable)</w:t>
            </w:r>
          </w:p>
        </w:tc>
        <w:tc>
          <w:tcPr>
            <w:tcW w:type="dxa" w:w="2268"/>
            <w:shd w:val="clear" w:fill="F2F2F2"/>
          </w:tcPr>
          <w:p>
            <w:pPr>
              <w:spacing w:line="240" w:lineRule="auto" w:after="0" w:before="0"/>
            </w:pPr>
            <w:r>
              <w:rPr>
                <w:b/>
              </w:rPr>
            </w:r>
            <w:r>
              <w:rPr>
                <w:b/>
                <w:sz w:val="16"/>
              </w:rPr>
              <w:t>15.1.0 (6,777)</w:t>
            </w:r>
          </w:p>
        </w:tc>
        <w:tc>
          <w:tcPr>
            <w:tcW w:type="dxa" w:w="2268"/>
            <w:shd w:val="clear" w:fill="F2F2F2"/>
          </w:tcPr>
          <w:p>
            <w:pPr>
              <w:spacing w:line="240" w:lineRule="auto" w:after="0" w:before="0"/>
            </w:pPr>
            <w:r>
              <w:rPr>
                <w:b/>
              </w:rPr>
            </w:r>
            <w:r>
              <w:rPr>
                <w:b/>
                <w:sz w:val="16"/>
              </w:rPr>
              <w:t>LLM corpus (400)</w:t>
            </w:r>
          </w:p>
        </w:tc>
      </w:tr>
      <w:tr>
        <w:trPr>
          <w:cantSplit/>
        </w:trPr>
        <w:tc>
          <w:tcPr>
            <w:tcW w:type="dxa" w:w="2268"/>
          </w:tcPr>
          <w:p>
            <w:pPr>
              <w:spacing w:line="240" w:lineRule="auto" w:after="0" w:before="0"/>
            </w:pPr>
            <w:r/>
            <w:r>
              <w:rPr>
                <w:sz w:val="16"/>
              </w:rPr>
              <w:t>R2a single ubiquitous analyte</w:t>
            </w:r>
          </w:p>
        </w:tc>
        <w:tc>
          <w:tcPr>
            <w:tcW w:type="dxa" w:w="2268"/>
          </w:tcPr>
          <w:p>
            <w:pPr>
              <w:spacing w:line="240" w:lineRule="auto" w:after="0" w:before="0"/>
            </w:pPr>
            <w:r/>
            <w:r>
              <w:rPr>
                <w:sz w:val="16"/>
              </w:rPr>
              <w:t>11.47 (10.83–12.15)</w:t>
            </w:r>
          </w:p>
        </w:tc>
        <w:tc>
          <w:tcPr>
            <w:tcW w:type="dxa" w:w="2268"/>
          </w:tcPr>
          <w:p>
            <w:pPr>
              <w:spacing w:line="240" w:lineRule="auto" w:after="0" w:before="0"/>
            </w:pPr>
            <w:r/>
            <w:r>
              <w:rPr>
                <w:sz w:val="16"/>
              </w:rPr>
              <w:t>0.01 (0.00–0.08)</w:t>
            </w:r>
          </w:p>
        </w:tc>
        <w:tc>
          <w:tcPr>
            <w:tcW w:type="dxa" w:w="2268"/>
          </w:tcPr>
          <w:p>
            <w:pPr>
              <w:spacing w:line="240" w:lineRule="auto" w:after="0" w:before="0"/>
            </w:pPr>
            <w:r/>
            <w:r>
              <w:rPr>
                <w:sz w:val="16"/>
              </w:rPr>
              <w:t>6.00 (4.06–8.77)</w:t>
            </w:r>
          </w:p>
        </w:tc>
      </w:tr>
      <w:tr>
        <w:trPr>
          <w:cantSplit/>
        </w:trPr>
        <w:tc>
          <w:tcPr>
            <w:tcW w:type="dxa" w:w="2268"/>
          </w:tcPr>
          <w:p>
            <w:pPr>
              <w:spacing w:line="240" w:lineRule="auto" w:after="0" w:before="0"/>
            </w:pPr>
            <w:r/>
            <w:r>
              <w:rPr>
                <w:sz w:val="16"/>
              </w:rPr>
              <w:t>R7 arithmetic tier</w:t>
            </w:r>
          </w:p>
        </w:tc>
        <w:tc>
          <w:tcPr>
            <w:tcW w:type="dxa" w:w="2268"/>
          </w:tcPr>
          <w:p>
            <w:pPr>
              <w:spacing w:line="240" w:lineRule="auto" w:after="0" w:before="0"/>
            </w:pPr>
            <w:r/>
            <w:r>
              <w:rPr>
                <w:sz w:val="16"/>
              </w:rPr>
              <w:t>14.56 (13.84–15.30)</w:t>
            </w:r>
          </w:p>
        </w:tc>
        <w:tc>
          <w:tcPr>
            <w:tcW w:type="dxa" w:w="2268"/>
          </w:tcPr>
          <w:p>
            <w:pPr>
              <w:spacing w:line="240" w:lineRule="auto" w:after="0" w:before="0"/>
            </w:pPr>
            <w:r/>
            <w:r>
              <w:rPr>
                <w:sz w:val="16"/>
              </w:rPr>
              <w:t>0 (0–0.06)</w:t>
            </w:r>
          </w:p>
        </w:tc>
        <w:tc>
          <w:tcPr>
            <w:tcW w:type="dxa" w:w="2268"/>
          </w:tcPr>
          <w:p>
            <w:pPr>
              <w:spacing w:line="240" w:lineRule="auto" w:after="0" w:before="0"/>
            </w:pPr>
            <w:r/>
            <w:r>
              <w:rPr>
                <w:sz w:val="16"/>
              </w:rPr>
              <w:t>0.50 (0.14–1.80)</w:t>
            </w:r>
          </w:p>
        </w:tc>
      </w:tr>
      <w:tr>
        <w:trPr>
          <w:cantSplit/>
        </w:trPr>
        <w:tc>
          <w:tcPr>
            <w:tcW w:type="dxa" w:w="2268"/>
          </w:tcPr>
          <w:p>
            <w:pPr>
              <w:spacing w:line="240" w:lineRule="auto" w:after="0" w:before="0"/>
            </w:pPr>
            <w:r/>
            <w:r>
              <w:rPr>
                <w:sz w:val="16"/>
              </w:rPr>
              <w:t>R9 impossible/flat tier</w:t>
            </w:r>
          </w:p>
        </w:tc>
        <w:tc>
          <w:tcPr>
            <w:tcW w:type="dxa" w:w="2268"/>
          </w:tcPr>
          <w:p>
            <w:pPr>
              <w:spacing w:line="240" w:lineRule="auto" w:after="0" w:before="0"/>
            </w:pPr>
            <w:r/>
            <w:r>
              <w:rPr>
                <w:sz w:val="16"/>
              </w:rPr>
              <w:t>0.12 (0.07–0.22)</w:t>
            </w:r>
          </w:p>
        </w:tc>
        <w:tc>
          <w:tcPr>
            <w:tcW w:type="dxa" w:w="2268"/>
          </w:tcPr>
          <w:p>
            <w:pPr>
              <w:spacing w:line="240" w:lineRule="auto" w:after="0" w:before="0"/>
            </w:pPr>
            <w:r/>
            <w:r>
              <w:rPr>
                <w:sz w:val="16"/>
              </w:rPr>
              <w:t>0.09 (0.04–0.19)</w:t>
            </w:r>
          </w:p>
        </w:tc>
        <w:tc>
          <w:tcPr>
            <w:tcW w:type="dxa" w:w="2268"/>
          </w:tcPr>
          <w:p>
            <w:pPr>
              <w:spacing w:line="240" w:lineRule="auto" w:after="0" w:before="0"/>
            </w:pPr>
            <w:r/>
            <w:r>
              <w:rPr>
                <w:sz w:val="16"/>
              </w:rPr>
              <w:t>0 (0–0.95)</w:t>
            </w:r>
          </w:p>
        </w:tc>
      </w:tr>
      <w:tr>
        <w:trPr>
          <w:cantSplit/>
        </w:trPr>
        <w:tc>
          <w:tcPr>
            <w:tcW w:type="dxa" w:w="2268"/>
          </w:tcPr>
          <w:p>
            <w:pPr>
              <w:spacing w:line="240" w:lineRule="auto" w:after="0" w:before="0"/>
            </w:pPr>
            <w:r/>
            <w:r>
              <w:rPr>
                <w:sz w:val="16"/>
              </w:rPr>
              <w:t>DIR direction contradiction</w:t>
            </w:r>
          </w:p>
        </w:tc>
        <w:tc>
          <w:tcPr>
            <w:tcW w:type="dxa" w:w="2268"/>
          </w:tcPr>
          <w:p>
            <w:pPr>
              <w:spacing w:line="240" w:lineRule="auto" w:after="0" w:before="0"/>
            </w:pPr>
            <w:r/>
            <w:r>
              <w:rPr>
                <w:sz w:val="16"/>
              </w:rPr>
              <w:t>0.09 (0.05–0.18)</w:t>
            </w:r>
          </w:p>
        </w:tc>
        <w:tc>
          <w:tcPr>
            <w:tcW w:type="dxa" w:w="2268"/>
          </w:tcPr>
          <w:p>
            <w:pPr>
              <w:spacing w:line="240" w:lineRule="auto" w:after="0" w:before="0"/>
            </w:pPr>
            <w:r/>
            <w:r>
              <w:rPr>
                <w:sz w:val="16"/>
              </w:rPr>
              <w:t>0.01 (0.00–0.08)</w:t>
            </w:r>
          </w:p>
        </w:tc>
        <w:tc>
          <w:tcPr>
            <w:tcW w:type="dxa" w:w="2268"/>
          </w:tcPr>
          <w:p>
            <w:pPr>
              <w:spacing w:line="240" w:lineRule="auto" w:after="0" w:before="0"/>
            </w:pPr>
            <w:r/>
            <w:r>
              <w:rPr>
                <w:sz w:val="16"/>
              </w:rPr>
              <w:t>0 (0–0.95)</w:t>
            </w:r>
          </w:p>
        </w:tc>
      </w:tr>
      <w:tr>
        <w:trPr>
          <w:cantSplit/>
        </w:trPr>
        <w:tc>
          <w:tcPr>
            <w:tcW w:type="dxa" w:w="2268"/>
          </w:tcPr>
          <w:p>
            <w:pPr>
              <w:spacing w:line="240" w:lineRule="auto" w:after="0" w:before="0"/>
            </w:pPr>
            <w:r/>
            <w:r>
              <w:rPr>
                <w:sz w:val="16"/>
              </w:rPr>
              <w:t>UNIT</w:t>
            </w:r>
          </w:p>
        </w:tc>
        <w:tc>
          <w:tcPr>
            <w:tcW w:type="dxa" w:w="2268"/>
          </w:tcPr>
          <w:p>
            <w:pPr>
              <w:spacing w:line="240" w:lineRule="auto" w:after="0" w:before="0"/>
            </w:pPr>
            <w:r/>
            <w:r>
              <w:rPr>
                <w:sz w:val="16"/>
              </w:rPr>
              <w:t>0.22 (0.15–0.35)</w:t>
            </w:r>
          </w:p>
        </w:tc>
        <w:tc>
          <w:tcPr>
            <w:tcW w:type="dxa" w:w="2268"/>
          </w:tcPr>
          <w:p>
            <w:pPr>
              <w:spacing w:line="240" w:lineRule="auto" w:after="0" w:before="0"/>
            </w:pPr>
            <w:r/>
            <w:r>
              <w:rPr>
                <w:sz w:val="16"/>
              </w:rPr>
              <w:t>0.24 (0.15–0.38)</w:t>
            </w:r>
          </w:p>
        </w:tc>
        <w:tc>
          <w:tcPr>
            <w:tcW w:type="dxa" w:w="2268"/>
          </w:tcPr>
          <w:p>
            <w:pPr>
              <w:spacing w:line="240" w:lineRule="auto" w:after="0" w:before="0"/>
            </w:pPr>
            <w:r/>
            <w:r>
              <w:rPr>
                <w:sz w:val="16"/>
              </w:rPr>
              <w:t>1.50 (0.69–3.23)</w:t>
            </w:r>
          </w:p>
        </w:tc>
      </w:tr>
      <w:tr>
        <w:trPr>
          <w:cantSplit/>
        </w:trPr>
        <w:tc>
          <w:tcPr>
            <w:tcW w:type="dxa" w:w="2268"/>
          </w:tcPr>
          <w:p>
            <w:pPr>
              <w:spacing w:line="240" w:lineRule="auto" w:after="0" w:before="0"/>
            </w:pPr>
            <w:r/>
            <w:r>
              <w:rPr>
                <w:sz w:val="16"/>
              </w:rPr>
              <w:t>POP adult threshold on neonates</w:t>
            </w:r>
          </w:p>
        </w:tc>
        <w:tc>
          <w:tcPr>
            <w:tcW w:type="dxa" w:w="2268"/>
          </w:tcPr>
          <w:p>
            <w:pPr>
              <w:spacing w:line="240" w:lineRule="auto" w:after="0" w:before="0"/>
            </w:pPr>
            <w:r/>
            <w:r>
              <w:rPr>
                <w:sz w:val="16"/>
              </w:rPr>
              <w:t>0.15 (0.09–0.25)</w:t>
            </w:r>
          </w:p>
        </w:tc>
        <w:tc>
          <w:tcPr>
            <w:tcW w:type="dxa" w:w="2268"/>
          </w:tcPr>
          <w:p>
            <w:pPr>
              <w:spacing w:line="240" w:lineRule="auto" w:after="0" w:before="0"/>
            </w:pPr>
            <w:r/>
            <w:r>
              <w:rPr>
                <w:sz w:val="16"/>
              </w:rPr>
              <w:t>0.15 (0.08–0.27)</w:t>
            </w:r>
          </w:p>
        </w:tc>
        <w:tc>
          <w:tcPr>
            <w:tcW w:type="dxa" w:w="2268"/>
          </w:tcPr>
          <w:p>
            <w:pPr>
              <w:spacing w:line="240" w:lineRule="auto" w:after="0" w:before="0"/>
            </w:pPr>
            <w:r/>
            <w:r>
              <w:rPr>
                <w:sz w:val="16"/>
              </w:rPr>
              <w:t>3.25 (1.91–5.48)</w:t>
            </w:r>
          </w:p>
        </w:tc>
      </w:tr>
      <w:tr>
        <w:trPr>
          <w:cantSplit/>
        </w:trPr>
        <w:tc>
          <w:tcPr>
            <w:tcW w:type="dxa" w:w="2268"/>
          </w:tcPr>
          <w:p>
            <w:pPr>
              <w:spacing w:line="240" w:lineRule="auto" w:after="0" w:before="0"/>
            </w:pPr>
            <w:r/>
            <w:r>
              <w:rPr>
                <w:sz w:val="16"/>
              </w:rPr>
              <w:t>SRC source-scope mismatch</w:t>
            </w:r>
          </w:p>
        </w:tc>
        <w:tc>
          <w:tcPr>
            <w:tcW w:type="dxa" w:w="2268"/>
          </w:tcPr>
          <w:p>
            <w:pPr>
              <w:spacing w:line="240" w:lineRule="auto" w:after="0" w:before="0"/>
            </w:pPr>
            <w:r/>
            <w:r>
              <w:rPr>
                <w:sz w:val="16"/>
              </w:rPr>
              <w:t>0.85 (0.68–1.07)</w:t>
            </w:r>
          </w:p>
        </w:tc>
        <w:tc>
          <w:tcPr>
            <w:tcW w:type="dxa" w:w="2268"/>
          </w:tcPr>
          <w:p>
            <w:pPr>
              <w:spacing w:line="240" w:lineRule="auto" w:after="0" w:before="0"/>
            </w:pPr>
            <w:r/>
            <w:r>
              <w:rPr>
                <w:sz w:val="16"/>
              </w:rPr>
              <w:t>0.80 (0.61–1.04)</w:t>
            </w:r>
          </w:p>
        </w:tc>
        <w:tc>
          <w:tcPr>
            <w:tcW w:type="dxa" w:w="2268"/>
          </w:tcPr>
          <w:p>
            <w:pPr>
              <w:spacing w:line="240" w:lineRule="auto" w:after="0" w:before="0"/>
            </w:pPr>
            <w:r/>
            <w:r>
              <w:rPr>
                <w:sz w:val="16"/>
              </w:rPr>
              <w:t>1.50 (0.69–3.23)</w:t>
            </w:r>
          </w:p>
        </w:tc>
      </w:tr>
      <w:tr>
        <w:trPr>
          <w:cantSplit/>
        </w:trPr>
        <w:tc>
          <w:tcPr>
            <w:tcW w:type="dxa" w:w="2268"/>
          </w:tcPr>
          <w:p>
            <w:pPr>
              <w:spacing w:line="240" w:lineRule="auto" w:after="0" w:before="0"/>
            </w:pPr>
            <w:r/>
            <w:r>
              <w:rPr>
                <w:b/>
                <w:sz w:val="16"/>
              </w:rPr>
              <w:t>any</w:t>
            </w:r>
          </w:p>
        </w:tc>
        <w:tc>
          <w:tcPr>
            <w:tcW w:type="dxa" w:w="2268"/>
          </w:tcPr>
          <w:p>
            <w:pPr>
              <w:spacing w:line="240" w:lineRule="auto" w:after="0" w:before="0"/>
            </w:pPr>
            <w:r/>
            <w:r>
              <w:rPr>
                <w:b/>
                <w:sz w:val="16"/>
              </w:rPr>
              <w:t>23.62 (22.75–24.52)</w:t>
            </w:r>
          </w:p>
        </w:tc>
        <w:tc>
          <w:tcPr>
            <w:tcW w:type="dxa" w:w="2268"/>
          </w:tcPr>
          <w:p>
            <w:pPr>
              <w:spacing w:line="240" w:lineRule="auto" w:after="0" w:before="0"/>
            </w:pPr>
            <w:r/>
            <w:r>
              <w:rPr>
                <w:b/>
                <w:sz w:val="16"/>
              </w:rPr>
              <w:t>1.28 (1.04–1.58)</w:t>
            </w:r>
          </w:p>
        </w:tc>
        <w:tc>
          <w:tcPr>
            <w:tcW w:type="dxa" w:w="2268"/>
          </w:tcPr>
          <w:p>
            <w:pPr>
              <w:spacing w:line="240" w:lineRule="auto" w:after="0" w:before="0"/>
            </w:pPr>
            <w:r/>
            <w:r>
              <w:rPr>
                <w:b/>
                <w:sz w:val="16"/>
              </w:rPr>
              <w:t>12.75 (9.83–16.38)</w:t>
            </w:r>
          </w:p>
        </w:tc>
      </w:tr>
    </w:tbl>
    <w:p/>
    <w:p>
      <w:r>
        <w:t>The 14.1.0 density is dominated by the generated R2a/R7 rules that release 15 retired; the 15.1.0 density is the</w:t>
      </w:r>
    </w:p>
    <w:p>
      <w:r>
        <w:t>calibration set (see above). Adjudication of the 51 LLM-corpus flags by the author (the same single rater as</w:t>
      </w:r>
    </w:p>
    <w:p>
      <w:r>
        <w:t>elsewhere; verdicts are in the repository):</w:t>
      </w:r>
    </w:p>
    <w:p>
      <w:pPr>
        <w:pStyle w:val="ListBullet"/>
        <w:spacing w:after="40"/>
      </w:pPr>
      <w:r>
        <w:t>R2a (24): all are genuinely single-analyte screens on a ubiquitous analyte (CRP for cellulitis, creatinine for</w:t>
      </w:r>
    </w:p>
    <w:p>
      <w:r>
        <w:t xml:space="preserve">  contrast nephropathy, lactate for septic shock, TSH for hypothyroidism, …). One of them has an exact Hemoglyph</w:t>
      </w:r>
    </w:p>
    <w:p>
      <w:r>
        <w:t xml:space="preserve">  counterpart that the named-rule exemption list covers (lipase ≥ 3 × ULN for pancreatitis, Atlanta 2012); applying</w:t>
      </w:r>
    </w:p>
    <w:p>
      <w:r>
        <w:t xml:space="preserve">  the same exemption gives 23 (5.75/100). Whether a single-analyte screen is a </w:t>
      </w:r>
      <w:r>
        <w:rPr>
          <w:i/>
        </w:rPr>
        <w:t>defect</w:t>
      </w:r>
      <w:r>
        <w:t xml:space="preserve"> is a design position, the</w:t>
      </w:r>
    </w:p>
    <w:p>
      <w:r>
        <w:t xml:space="preserve">  same one the paper takes for Hemoglyph; the number is comparable, not a verdict on the author.</w:t>
      </w:r>
    </w:p>
    <w:p>
      <w:pPr>
        <w:pStyle w:val="ListBullet"/>
        <w:spacing w:after="40"/>
      </w:pPr>
      <w:r>
        <w:t>POP (13): all are haemoglobin &lt; 12 g/dL with an all-ages population. The population is the converter's default,</w:t>
      </w:r>
    </w:p>
    <w:p>
      <w:r>
        <w:t xml:space="preserve">  not something the prompt asked for; it is reported because it is exactly the defect found in Hemoglyph's own</w:t>
      </w:r>
    </w:p>
    <w:p>
      <w:r>
        <w:t xml:space="preserve">  curated rules in Part 1 and arises from the same cause (no population gate written at generation time).</w:t>
      </w:r>
    </w:p>
    <w:p>
      <w:r>
        <w:t xml:space="preserve">  Excluding POP, the density is 38/400 = 9.50/100 (7.00–12.77).</w:t>
      </w:r>
    </w:p>
    <w:p>
      <w:pPr>
        <w:pStyle w:val="ListBullet"/>
        <w:spacing w:after="40"/>
      </w:pPr>
      <w:r>
        <w:t>UNIT (6): methylmalonic acid µmol/L, ACTH pg/mL, plasma metanephrines nmol/L, 17-OH-progesterone ng/dL — all</w:t>
      </w:r>
    </w:p>
    <w:p>
      <w:r>
        <w:t xml:space="preserve">  conventional reporting units; the flags arise because the feature registry lists a single accepted unit. They</w:t>
      </w:r>
    </w:p>
    <w:p>
      <w:r>
        <w:t xml:space="preserve">  are unit </w:t>
      </w:r>
      <w:r>
        <w:rPr>
          <w:i/>
        </w:rPr>
        <w:t>inconsistencies between corpus and registry</w:t>
      </w:r>
      <w:r>
        <w:t>, side undetermined, the same class recorded for PTH/ACTH</w:t>
      </w:r>
    </w:p>
    <w:p>
      <w:r>
        <w:t xml:space="preserve">  in Part 1; they are not corpus errors.</w:t>
      </w:r>
    </w:p>
    <w:p>
      <w:pPr>
        <w:pStyle w:val="ListBullet"/>
        <w:spacing w:after="40"/>
      </w:pPr>
      <w:r>
        <w:t>SRC (6): hepatorenal syndrome → EASL cirrhosis guideline, tumour lysis → NCCN ALL, post-streptococcal</w:t>
      </w:r>
    </w:p>
    <w:p>
      <w:r>
        <w:t xml:space="preserve">  glomerulonephritis → KDIGO glomerular diseases. All three attributions are clinically correct; the flags are</w:t>
      </w:r>
    </w:p>
    <w:p>
      <w:r>
        <w:t xml:space="preserve">  false positives of the domain-scope heuristic (the entity's domain label, not the source, is the odd one out).</w:t>
      </w:r>
    </w:p>
    <w:p>
      <w:pPr>
        <w:pStyle w:val="ListBullet"/>
        <w:spacing w:after="40"/>
      </w:pPr>
      <w:r>
        <w:t>R7 (2): folate 2 vs 4 ng/mL and 25-OH-vitamin D 10 vs 20 ng/mL. Both pairs are the conventional thresholds;</w:t>
      </w:r>
    </w:p>
    <w:p>
      <w:r>
        <w:t xml:space="preserve">  arithmetic coincidence, false positives.</w:t>
      </w:r>
    </w:p>
    <w:p>
      <w:r>
        <w:t>Net: of 51 flags, 24 (R2a) + 13 (POP) are real under the paper's definitions, 6 (UNIT) are undetermined, and 8</w:t>
      </w:r>
    </w:p>
    <w:p>
      <w:r>
        <w:t>(SRC, R7) are detector false positives — a positive predictive value of 0.73–0.84 on this corpus, consistent with</w:t>
      </w:r>
    </w:p>
    <w:p>
      <w:r>
        <w:t>the 0.974 specificity measured in Part 1 on unmutated seeds (which are a much easier negative set).</w:t>
      </w:r>
    </w:p>
    <w:p>
      <w:pPr>
        <w:pStyle w:val="Heading2"/>
      </w:pPr>
      <w:r>
        <w:rPr>
          <w:rFonts w:ascii="Times New Roman" w:hAnsi="Times New Roman" w:eastAsia="Times New Roman" w:cs="Times New Roman"/>
          <w:b/>
          <w:i w:val="0"/>
          <w:color w:val="000000"/>
        </w:rPr>
        <w:t>What the three parts say together</w:t>
      </w:r>
    </w:p>
    <w:p>
      <w:r>
        <w:t>1. The bulk of the registry outside the curated/quote-verified set is not load-bearing at the primary cut-offs</w:t>
      </w:r>
    </w:p>
    <w:p>
      <w:r>
        <w:t xml:space="preserve">   (Part 2); the activity-defined active core overlaps that set only partly (94/364), which the ledger (Note 18) makes explicit.</w:t>
      </w:r>
    </w:p>
    <w:p>
      <w:r>
        <w:t>2. The static detectors catch the structural defect classes they were designed for with recall 0.74–1.00 and are</w:t>
      </w:r>
    </w:p>
    <w:p>
      <w:r>
        <w:t xml:space="preserve">   blind to plausible wrong numbers (recall ≤ 0.13) — the honest ceiling of static verification (Part 1).</w:t>
      </w:r>
    </w:p>
    <w:p>
      <w:r>
        <w:t>3. A second LLM-authored corpus written without templates shows the same two dominant defect classes</w:t>
      </w:r>
    </w:p>
    <w:p>
      <w:r>
        <w:t xml:space="preserve">   (single-analyte screens and missing population gates) at 6.0 and 3.3 per 100, and the detector false-positive</w:t>
      </w:r>
    </w:p>
    <w:p>
      <w:r>
        <w:t xml:space="preserve">   pattern recurs (Part 3). The defect classes are properties of LLM-drafted rules, not of Hemoglyph's template</w:t>
      </w:r>
    </w:p>
    <w:p>
      <w:r>
        <w:t xml:space="preserve">   generator; the fix (population gates, multi-analyte patterns, section-level locators) is generic.</w:t>
      </w:r>
    </w:p>
    <w:p>
      <w:pPr>
        <w:pStyle w:val="Heading2"/>
      </w:pPr>
      <w:r>
        <w:rPr>
          <w:rFonts w:ascii="Times New Roman" w:hAnsi="Times New Roman" w:eastAsia="Times New Roman" w:cs="Times New Roman"/>
          <w:b/>
          <w:i w:val="0"/>
          <w:color w:val="000000"/>
        </w:rPr>
        <w:t>Release 15.2.0 (2026-10-28, after this study)</w:t>
      </w:r>
    </w:p>
    <w:p>
      <w:r>
        <w:t>The defects above were corrected under a written protocol: 4 tiers</w:t>
      </w:r>
    </w:p>
    <w:p>
      <w:r>
        <w:t>retired, 4 population gates, 126 unit labels (ACTH 93, PTH 14, cortisol 19), 14 source corrections; no threshold</w:t>
      </w:r>
    </w:p>
    <w:p>
      <w:r>
        <w:t>tuned. Frozen detectors re-run on 15.2.0: 68 flagged of 6,773 (1.00 per 100; was 1.28). Non-regression gate:</w:t>
      </w:r>
    </w:p>
    <w:p>
      <w:r>
        <w:t>pytest 709/9; eICU every count identical to 15.1.0; NHANES all AUROCs identical; healthy 0/51 — as expected, since</w:t>
      </w:r>
    </w:p>
    <w:p>
      <w:r>
        <w:t>none of the touched analytes fires on these panels. The paper's frozen results are unaffected.</w:t>
      </w:r>
    </w:p>
    <w:p>
      <w:pPr>
        <w:pStyle w:val="Heading2"/>
      </w:pPr>
      <w:r>
        <w:rPr>
          <w:rFonts w:ascii="Times New Roman" w:hAnsi="Times New Roman" w:eastAsia="Times New Roman" w:cs="Times New Roman"/>
          <w:b/>
          <w:i w:val="0"/>
          <w:color w:val="000000"/>
        </w:rPr>
        <w:t>Fixed generation prompt for the second corpus</w:t>
      </w:r>
    </w:p>
    <w:p>
      <w:pPr>
        <w:spacing w:after="0" w:line="240" w:lineRule="auto"/>
      </w:pPr>
      <w:r>
        <w:rPr>
          <w:rFonts w:ascii="Courier New" w:hAnsi="Courier New" w:eastAsia="Courier New" w:cs="Courier New"/>
          <w:color w:val="000000"/>
          <w:sz w:val="18"/>
        </w:rPr>
        <w:t>PROMPT (fixed, used verbatim for the Part 3 corpus; written 2026-10-28)</w:t>
      </w:r>
    </w:p>
    <w:p>
      <w:pPr>
        <w:spacing w:after="0" w:line="240" w:lineRule="auto"/>
      </w:pPr>
      <w:r>
        <w:rPr>
          <w:rFonts w:ascii="Courier New" w:hAnsi="Courier New" w:eastAsia="Courier New" w:cs="Courier New"/>
          <w:color w:val="000000"/>
          <w:sz w:val="18"/>
        </w:rPr>
      </w:r>
    </w:p>
    <w:p>
      <w:pPr>
        <w:spacing w:after="0" w:line="240" w:lineRule="auto"/>
      </w:pPr>
      <w:r>
        <w:rPr>
          <w:rFonts w:ascii="Courier New" w:hAnsi="Courier New" w:eastAsia="Courier New" w:cs="Courier New"/>
          <w:color w:val="000000"/>
          <w:sz w:val="18"/>
        </w:rPr>
        <w:t>You are a clinical knowledge engineer. Produce an executable laboratory-interpretation rule set for 200 clinical</w:t>
      </w:r>
    </w:p>
    <w:p>
      <w:pPr>
        <w:spacing w:after="0" w:line="240" w:lineRule="auto"/>
      </w:pPr>
      <w:r>
        <w:rPr>
          <w:rFonts w:ascii="Courier New" w:hAnsi="Courier New" w:eastAsia="Courier New" w:cs="Courier New"/>
          <w:color w:val="000000"/>
          <w:sz w:val="18"/>
        </w:rPr>
        <w:t>entities in the following strata: 60 infectious, 40 haematological, 30 renal, 30 endocrine/metabolic, 40 other</w:t>
      </w:r>
    </w:p>
    <w:p>
      <w:pPr>
        <w:spacing w:after="0" w:line="240" w:lineRule="auto"/>
      </w:pPr>
      <w:r>
        <w:rPr>
          <w:rFonts w:ascii="Courier New" w:hAnsi="Courier New" w:eastAsia="Courier New" w:cs="Courier New"/>
          <w:color w:val="000000"/>
          <w:sz w:val="18"/>
        </w:rPr>
        <w:t>(hepatic, cardiac, rheumatological, toxicological, obstetric, oncological). For every entity write exactly two</w:t>
      </w:r>
    </w:p>
    <w:p>
      <w:pPr>
        <w:spacing w:after="0" w:line="240" w:lineRule="auto"/>
      </w:pPr>
      <w:r>
        <w:rPr>
          <w:rFonts w:ascii="Courier New" w:hAnsi="Courier New" w:eastAsia="Courier New" w:cs="Courier New"/>
          <w:color w:val="000000"/>
          <w:sz w:val="18"/>
        </w:rPr>
        <w:t>rules: one "screening" rule (the laboratory pattern that should raise the entity in a differential) and one</w:t>
      </w:r>
    </w:p>
    <w:p>
      <w:pPr>
        <w:spacing w:after="0" w:line="240" w:lineRule="auto"/>
      </w:pPr>
      <w:r>
        <w:rPr>
          <w:rFonts w:ascii="Courier New" w:hAnsi="Courier New" w:eastAsia="Courier New" w:cs="Courier New"/>
          <w:color w:val="000000"/>
          <w:sz w:val="18"/>
        </w:rPr>
        <w:t>"diagnostic_criterion" or "staging_severity" rule (a stricter or severity threshold). Use only quantitative</w:t>
      </w:r>
    </w:p>
    <w:p>
      <w:pPr>
        <w:spacing w:after="0" w:line="240" w:lineRule="auto"/>
      </w:pPr>
      <w:r>
        <w:rPr>
          <w:rFonts w:ascii="Courier New" w:hAnsi="Courier New" w:eastAsia="Courier New" w:cs="Courier New"/>
          <w:color w:val="000000"/>
          <w:sz w:val="18"/>
        </w:rPr>
        <w:t>laboratory analytes, with the threshold, operator and unit you would use in practice, and cite one guideline</w:t>
      </w:r>
    </w:p>
    <w:p>
      <w:pPr>
        <w:spacing w:after="0" w:line="240" w:lineRule="auto"/>
      </w:pPr>
      <w:r>
        <w:rPr>
          <w:rFonts w:ascii="Courier New" w:hAnsi="Courier New" w:eastAsia="Courier New" w:cs="Courier New"/>
          <w:color w:val="000000"/>
          <w:sz w:val="18"/>
        </w:rPr>
        <w:t>source identifier from the supplied source list per rule. Output one rule per line as</w:t>
      </w:r>
    </w:p>
    <w:p>
      <w:pPr>
        <w:spacing w:after="0" w:line="240" w:lineRule="auto"/>
      </w:pPr>
      <w:r>
        <w:rPr>
          <w:rFonts w:ascii="Courier New" w:hAnsi="Courier New" w:eastAsia="Courier New" w:cs="Courier New"/>
          <w:color w:val="000000"/>
          <w:sz w:val="18"/>
        </w:rPr>
        <w:t>entity_id | display name | domain | entity_kind | rule_type | expression | source_id</w:t>
      </w:r>
    </w:p>
    <w:p>
      <w:pPr>
        <w:spacing w:after="0" w:line="240" w:lineRule="auto"/>
      </w:pPr>
      <w:r>
        <w:rPr>
          <w:rFonts w:ascii="Courier New" w:hAnsi="Courier New" w:eastAsia="Courier New" w:cs="Courier New"/>
          <w:color w:val="000000"/>
          <w:sz w:val="18"/>
        </w:rPr>
        <w:t>where expression is either "feature op value unit" or "all: f1 op v1 u1; f2 op v2 u2" / "any: ...".</w:t>
      </w:r>
    </w:p>
    <w:p>
      <w:pPr>
        <w:spacing w:after="0" w:line="240" w:lineRule="auto"/>
      </w:pPr>
      <w:r>
        <w:rPr>
          <w:rFonts w:ascii="Courier New" w:hAnsi="Courier New" w:eastAsia="Courier New" w:cs="Courier New"/>
          <w:color w:val="000000"/>
          <w:sz w:val="18"/>
        </w:rPr>
        <w:t>Write the thresholds from your own knowledge; do not look anything up; do not add commentary.</w:t>
      </w:r>
    </w:p>
    <w:p>
      <w:pPr>
        <w:pStyle w:val="Heading1"/>
      </w:pPr>
      <w:r>
        <w:rPr>
          <w:rFonts w:ascii="Times New Roman" w:hAnsi="Times New Roman" w:eastAsia="Times New Roman" w:cs="Times New Roman"/>
          <w:b/>
          <w:i w:val="0"/>
          <w:color w:val="000000"/>
        </w:rPr>
        <w:t>Supplementary Note 18 — Per-rule verification ledger (registry 15.2.0; built 2026-10-28 from the frozen artefacts of Notes 8, 13, 15 and 16, the static detectors and the property tests; nothing re-measured) and its closure in registry 15.3.0</w:t>
      </w:r>
    </w:p>
    <w:p>
      <w:r>
        <w:t xml:space="preserve">Scope and construction are defined by </w:t>
      </w:r>
      <w:r>
        <w:rPr>
          <w:rFonts w:ascii="Courier New" w:hAnsi="Courier New" w:eastAsia="Courier New" w:cs="Courier New"/>
          <w:color w:val="000000"/>
          <w:sz w:val="22"/>
        </w:rPr>
        <w:t>eval/verification_ledger/build_ledger.py</w:t>
      </w:r>
      <w:r>
        <w:t xml:space="preserve">; </w:t>
      </w:r>
      <w:r>
        <w:rPr>
          <w:rFonts w:ascii="Courier New" w:hAnsi="Courier New" w:eastAsia="Courier New" w:cs="Courier New"/>
          <w:color w:val="000000"/>
          <w:sz w:val="22"/>
        </w:rPr>
        <w:t>tests/test_verification_ledger.py</w:t>
      </w:r>
      <w:r>
        <w:t xml:space="preserve"> asserts that every count below reconciles with the Notes it was copied from. The ledger is a join of existing verdicts, not a new audit: a </w:t>
      </w:r>
      <w:r>
        <w:rPr>
          <w:rFonts w:ascii="Courier New" w:hAnsi="Courier New" w:eastAsia="Courier New" w:cs="Courier New"/>
          <w:color w:val="000000"/>
          <w:sz w:val="22"/>
        </w:rPr>
        <w:t>quote_verified</w:t>
      </w:r>
      <w:r>
        <w:t xml:space="preserve"> label is single-rater transcription concordance, </w:t>
      </w:r>
      <w:r>
        <w:rPr>
          <w:rFonts w:ascii="Courier New" w:hAnsi="Courier New" w:eastAsia="Courier New" w:cs="Courier New"/>
          <w:color w:val="000000"/>
          <w:sz w:val="22"/>
        </w:rPr>
        <w:t>flagged_open</w:t>
      </w:r>
      <w:r>
        <w:t xml:space="preserve"> is a calibrated-detector candidate, and </w:t>
      </w:r>
      <w:r>
        <w:rPr>
          <w:rFonts w:ascii="Courier New" w:hAnsi="Courier New" w:eastAsia="Courier New" w:cs="Courier New"/>
          <w:color w:val="000000"/>
          <w:sz w:val="22"/>
        </w:rPr>
        <w:t>source_reachable_unverified</w:t>
      </w:r>
      <w:r>
        <w:t xml:space="preserve"> means exactly that nobody has read the source against the rule.</w:t>
      </w:r>
    </w:p>
    <w:p>
      <w:r>
        <w:t>Rows: 605 rules = union of the 285 curated rules of 14.1.0 (272 anchors + 13 demoted), the 364-rule active core and the 335-rule CORE arm.</w:t>
      </w:r>
    </w:p>
    <w:p>
      <w:pPr>
        <w:pStyle w:val="Heading2"/>
      </w:pPr>
      <w:r>
        <w:rPr>
          <w:rFonts w:ascii="Times New Roman" w:hAnsi="Times New Roman" w:eastAsia="Times New Roman" w:cs="Times New Roman"/>
          <w:b/>
          <w:i w:val="0"/>
          <w:color w:val="000000"/>
        </w:rPr>
        <w:t>Status precedence (first matching label wins)</w:t>
      </w:r>
    </w:p>
    <w:p>
      <w:r>
        <w:t xml:space="preserve">1. </w:t>
      </w:r>
      <w:r>
        <w:rPr>
          <w:rFonts w:ascii="Courier New" w:hAnsi="Courier New" w:eastAsia="Courier New" w:cs="Courier New"/>
          <w:color w:val="000000"/>
          <w:sz w:val="22"/>
        </w:rPr>
        <w:t>retired</w:t>
      </w:r>
      <w:r>
        <w:t xml:space="preserve"> — non-executable in 15.2.0 with a </w:t>
      </w:r>
      <w:r>
        <w:rPr>
          <w:rFonts w:ascii="Courier New" w:hAnsi="Courier New" w:eastAsia="Courier New" w:cs="Courier New"/>
          <w:color w:val="000000"/>
          <w:sz w:val="22"/>
        </w:rPr>
        <w:t>retired_*</w:t>
      </w:r>
      <w:r>
        <w:t xml:space="preserve"> status (15.0.0/15.1.0 patches under written protocol).</w:t>
      </w:r>
    </w:p>
    <w:p>
      <w:r>
        <w:t xml:space="preserve">2. </w:t>
      </w:r>
      <w:r>
        <w:rPr>
          <w:rFonts w:ascii="Courier New" w:hAnsi="Courier New" w:eastAsia="Courier New" w:cs="Courier New"/>
          <w:color w:val="000000"/>
          <w:sz w:val="22"/>
        </w:rPr>
        <w:t>discordant_open</w:t>
      </w:r>
      <w:r>
        <w:t xml:space="preserve"> — a frozen-sample verdict of DISCORDANT and no change to the rule since (status unchanged, no patch touched it).</w:t>
      </w:r>
    </w:p>
    <w:p>
      <w:r>
        <w:t xml:space="preserve">3. </w:t>
      </w:r>
      <w:r>
        <w:rPr>
          <w:rFonts w:ascii="Courier New" w:hAnsi="Courier New" w:eastAsia="Courier New" w:cs="Courier New"/>
          <w:color w:val="000000"/>
          <w:sz w:val="22"/>
        </w:rPr>
        <w:t>discordant_corrected</w:t>
      </w:r>
      <w:r>
        <w:t xml:space="preserve"> — DISCORDANT verdict (both samples were rated on the pre-15.0.0 rule text), and the rule's text or source changed in 15.x so that the recorded finding no longer holds.</w:t>
      </w:r>
    </w:p>
    <w:p>
      <w:r>
        <w:t xml:space="preserve">4. </w:t>
      </w:r>
      <w:r>
        <w:rPr>
          <w:rFonts w:ascii="Courier New" w:hAnsi="Courier New" w:eastAsia="Courier New" w:cs="Courier New"/>
          <w:color w:val="000000"/>
          <w:sz w:val="22"/>
        </w:rPr>
        <w:t>quote_verified</w:t>
      </w:r>
      <w:r>
        <w:t xml:space="preserve"> — the registry carries a verbatim source quote for the rule (15.0.0 R3) or a frozen-sample verdict of CONCORDANT with quote.</w:t>
      </w:r>
    </w:p>
    <w:p>
      <w:r>
        <w:t xml:space="preserve">5. </w:t>
      </w:r>
      <w:r>
        <w:rPr>
          <w:rFonts w:ascii="Courier New" w:hAnsi="Courier New" w:eastAsia="Courier New" w:cs="Courier New"/>
          <w:color w:val="000000"/>
          <w:sz w:val="22"/>
        </w:rPr>
        <w:t>flagged_open</w:t>
      </w:r>
      <w:r>
        <w:t xml:space="preserve"> — at least one static-detector flag on 15.2.0 (calibrated detectors; a flag is a candidate defect, not a verdict).</w:t>
      </w:r>
    </w:p>
    <w:p>
      <w:r>
        <w:t xml:space="preserve">6. </w:t>
      </w:r>
      <w:r>
        <w:rPr>
          <w:rFonts w:ascii="Courier New" w:hAnsi="Courier New" w:eastAsia="Courier New" w:cs="Courier New"/>
          <w:color w:val="000000"/>
          <w:sz w:val="22"/>
        </w:rPr>
        <w:t>source_reachable_unverified</w:t>
      </w:r>
      <w:r>
        <w:t xml:space="preserve"> — first source resolves to a DOI or a specific document page, but no one has checked the rule against it.</w:t>
      </w:r>
    </w:p>
    <w:p>
      <w:r>
        <w:t xml:space="preserve">7. </w:t>
      </w:r>
      <w:r>
        <w:rPr>
          <w:rFonts w:ascii="Courier New" w:hAnsi="Courier New" w:eastAsia="Courier New" w:cs="Courier New"/>
          <w:color w:val="000000"/>
          <w:sz w:val="22"/>
        </w:rPr>
        <w:t>unresolvable</w:t>
      </w:r>
      <w:r>
        <w:t xml:space="preserve"> — first source is a generic standards page, an organisation landing page, unreachable, or absent; or the sampled verdict was UNRESOLVABLE.</w:t>
      </w:r>
    </w:p>
    <w:p>
      <w:r>
        <w:rPr>
          <w:rFonts w:ascii="Courier New" w:hAnsi="Courier New" w:eastAsia="Courier New" w:cs="Courier New"/>
          <w:color w:val="000000"/>
          <w:sz w:val="22"/>
        </w:rPr>
        <w:t>quote_verified</w:t>
      </w:r>
      <w:r>
        <w:t xml:space="preserve"> means transcription concordance by a single declared AI rater; it is not clinical validation.</w:t>
      </w:r>
    </w:p>
    <w:p>
      <w:pPr>
        <w:pStyle w:val="Heading2"/>
      </w:pPr>
      <w:r>
        <w:rPr>
          <w:rFonts w:ascii="Times New Roman" w:hAnsi="Times New Roman" w:eastAsia="Times New Roman" w:cs="Times New Roman"/>
          <w:b/>
          <w:i w:val="0"/>
          <w:color w:val="000000"/>
        </w:rPr>
        <w:t>Counts</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rPr>
          <w:cantSplit/>
          <w:tblHeader/>
        </w:trPr>
        <w:tc>
          <w:tcPr>
            <w:tcW w:type="dxa" w:w="1008"/>
            <w:shd w:val="clear" w:fill="F2F2F2"/>
          </w:tcPr>
          <w:p>
            <w:pPr>
              <w:spacing w:line="240" w:lineRule="auto" w:after="0" w:before="0"/>
            </w:pPr>
            <w:r>
              <w:rPr>
                <w:b/>
              </w:rPr>
            </w:r>
            <w:r>
              <w:rPr>
                <w:b/>
                <w:sz w:val="16"/>
              </w:rPr>
              <w:t>set</w:t>
            </w:r>
          </w:p>
        </w:tc>
        <w:tc>
          <w:tcPr>
            <w:tcW w:type="dxa" w:w="1008"/>
            <w:shd w:val="clear" w:fill="F2F2F2"/>
          </w:tcPr>
          <w:p>
            <w:pPr>
              <w:spacing w:line="240" w:lineRule="auto" w:after="0" w:before="0"/>
            </w:pPr>
            <w:r>
              <w:rPr>
                <w:b/>
              </w:rPr>
            </w:r>
            <w:r>
              <w:rPr>
                <w:b/>
                <w:sz w:val="16"/>
              </w:rPr>
              <w:t>n</w:t>
            </w:r>
          </w:p>
        </w:tc>
        <w:tc>
          <w:tcPr>
            <w:tcW w:type="dxa" w:w="1008"/>
            <w:shd w:val="clear" w:fill="F2F2F2"/>
          </w:tcPr>
          <w:p>
            <w:pPr>
              <w:spacing w:line="240" w:lineRule="auto" w:after="0" w:before="0"/>
            </w:pPr>
            <w:r>
              <w:rPr>
                <w:b/>
              </w:rPr>
            </w:r>
            <w:r>
              <w:rPr>
                <w:b/>
                <w:sz w:val="16"/>
              </w:rPr>
              <w:t>retired</w:t>
            </w:r>
          </w:p>
        </w:tc>
        <w:tc>
          <w:tcPr>
            <w:tcW w:type="dxa" w:w="1008"/>
            <w:shd w:val="clear" w:fill="F2F2F2"/>
          </w:tcPr>
          <w:p>
            <w:pPr>
              <w:spacing w:line="240" w:lineRule="auto" w:after="0" w:before="0"/>
            </w:pPr>
            <w:r>
              <w:rPr>
                <w:b/>
              </w:rPr>
            </w:r>
            <w:r>
              <w:rPr>
                <w:b/>
                <w:sz w:val="16"/>
              </w:rPr>
              <w:t>discordant_open</w:t>
            </w:r>
          </w:p>
        </w:tc>
        <w:tc>
          <w:tcPr>
            <w:tcW w:type="dxa" w:w="1008"/>
            <w:shd w:val="clear" w:fill="F2F2F2"/>
          </w:tcPr>
          <w:p>
            <w:pPr>
              <w:spacing w:line="240" w:lineRule="auto" w:after="0" w:before="0"/>
            </w:pPr>
            <w:r>
              <w:rPr>
                <w:b/>
              </w:rPr>
            </w:r>
            <w:r>
              <w:rPr>
                <w:b/>
                <w:sz w:val="16"/>
              </w:rPr>
              <w:t>discordant_corrected</w:t>
            </w:r>
          </w:p>
        </w:tc>
        <w:tc>
          <w:tcPr>
            <w:tcW w:type="dxa" w:w="1008"/>
            <w:shd w:val="clear" w:fill="F2F2F2"/>
          </w:tcPr>
          <w:p>
            <w:pPr>
              <w:spacing w:line="240" w:lineRule="auto" w:after="0" w:before="0"/>
            </w:pPr>
            <w:r>
              <w:rPr>
                <w:b/>
              </w:rPr>
            </w:r>
            <w:r>
              <w:rPr>
                <w:b/>
                <w:sz w:val="16"/>
              </w:rPr>
              <w:t>quote_verified</w:t>
            </w:r>
          </w:p>
        </w:tc>
        <w:tc>
          <w:tcPr>
            <w:tcW w:type="dxa" w:w="1008"/>
            <w:shd w:val="clear" w:fill="F2F2F2"/>
          </w:tcPr>
          <w:p>
            <w:pPr>
              <w:spacing w:line="240" w:lineRule="auto" w:after="0" w:before="0"/>
            </w:pPr>
            <w:r>
              <w:rPr>
                <w:b/>
              </w:rPr>
            </w:r>
            <w:r>
              <w:rPr>
                <w:b/>
                <w:sz w:val="16"/>
              </w:rPr>
              <w:t>flagged_open</w:t>
            </w:r>
          </w:p>
        </w:tc>
        <w:tc>
          <w:tcPr>
            <w:tcW w:type="dxa" w:w="1008"/>
            <w:shd w:val="clear" w:fill="F2F2F2"/>
          </w:tcPr>
          <w:p>
            <w:pPr>
              <w:spacing w:line="240" w:lineRule="auto" w:after="0" w:before="0"/>
            </w:pPr>
            <w:r>
              <w:rPr>
                <w:b/>
              </w:rPr>
            </w:r>
            <w:r>
              <w:rPr>
                <w:b/>
                <w:sz w:val="16"/>
              </w:rPr>
              <w:t>source_reachable_unverified</w:t>
            </w:r>
          </w:p>
        </w:tc>
        <w:tc>
          <w:tcPr>
            <w:tcW w:type="dxa" w:w="1008"/>
            <w:shd w:val="clear" w:fill="F2F2F2"/>
          </w:tcPr>
          <w:p>
            <w:pPr>
              <w:spacing w:line="240" w:lineRule="auto" w:after="0" w:before="0"/>
            </w:pPr>
            <w:r>
              <w:rPr>
                <w:b/>
              </w:rPr>
            </w:r>
            <w:r>
              <w:rPr>
                <w:b/>
                <w:sz w:val="16"/>
              </w:rPr>
              <w:t>unresolvable</w:t>
            </w:r>
          </w:p>
        </w:tc>
      </w:tr>
      <w:tr>
        <w:trPr>
          <w:cantSplit/>
        </w:trPr>
        <w:tc>
          <w:tcPr>
            <w:tcW w:type="dxa" w:w="1008"/>
          </w:tcPr>
          <w:p>
            <w:pPr>
              <w:spacing w:line="240" w:lineRule="auto" w:after="0" w:before="0"/>
            </w:pPr>
            <w:r/>
            <w:r>
              <w:rPr>
                <w:sz w:val="16"/>
              </w:rPr>
              <w:t>curated anchors (272, 14.1.0)</w:t>
            </w:r>
          </w:p>
        </w:tc>
        <w:tc>
          <w:tcPr>
            <w:tcW w:type="dxa" w:w="1008"/>
          </w:tcPr>
          <w:p>
            <w:pPr>
              <w:spacing w:line="240" w:lineRule="auto" w:after="0" w:before="0"/>
            </w:pPr>
            <w:r/>
            <w:r>
              <w:rPr>
                <w:sz w:val="16"/>
              </w:rPr>
              <w:t>272</w:t>
            </w:r>
          </w:p>
        </w:tc>
        <w:tc>
          <w:tcPr>
            <w:tcW w:type="dxa" w:w="1008"/>
          </w:tcPr>
          <w:p>
            <w:pPr>
              <w:spacing w:line="240" w:lineRule="auto" w:after="0" w:before="0"/>
            </w:pPr>
            <w:r/>
            <w:r>
              <w:rPr>
                <w:sz w:val="16"/>
              </w:rPr>
              <w:t>1 (0%)</w:t>
            </w:r>
          </w:p>
        </w:tc>
        <w:tc>
          <w:tcPr>
            <w:tcW w:type="dxa" w:w="1008"/>
          </w:tcPr>
          <w:p>
            <w:pPr>
              <w:spacing w:line="240" w:lineRule="auto" w:after="0" w:before="0"/>
            </w:pPr>
            <w:r/>
            <w:r>
              <w:rPr>
                <w:sz w:val="16"/>
              </w:rPr>
              <w:t>6 (2%)</w:t>
            </w:r>
          </w:p>
        </w:tc>
        <w:tc>
          <w:tcPr>
            <w:tcW w:type="dxa" w:w="1008"/>
          </w:tcPr>
          <w:p>
            <w:pPr>
              <w:spacing w:line="240" w:lineRule="auto" w:after="0" w:before="0"/>
            </w:pPr>
            <w:r/>
            <w:r>
              <w:rPr>
                <w:sz w:val="16"/>
              </w:rPr>
              <w:t>2 (1%)</w:t>
            </w:r>
          </w:p>
        </w:tc>
        <w:tc>
          <w:tcPr>
            <w:tcW w:type="dxa" w:w="1008"/>
          </w:tcPr>
          <w:p>
            <w:pPr>
              <w:spacing w:line="240" w:lineRule="auto" w:after="0" w:before="0"/>
            </w:pPr>
            <w:r/>
            <w:r>
              <w:rPr>
                <w:sz w:val="16"/>
              </w:rPr>
              <w:t>18 (7%)</w:t>
            </w:r>
          </w:p>
        </w:tc>
        <w:tc>
          <w:tcPr>
            <w:tcW w:type="dxa" w:w="1008"/>
          </w:tcPr>
          <w:p>
            <w:pPr>
              <w:spacing w:line="240" w:lineRule="auto" w:after="0" w:before="0"/>
            </w:pPr>
            <w:r/>
            <w:r>
              <w:rPr>
                <w:sz w:val="16"/>
              </w:rPr>
              <w:t>3 (1%)</w:t>
            </w:r>
          </w:p>
        </w:tc>
        <w:tc>
          <w:tcPr>
            <w:tcW w:type="dxa" w:w="1008"/>
          </w:tcPr>
          <w:p>
            <w:pPr>
              <w:spacing w:line="240" w:lineRule="auto" w:after="0" w:before="0"/>
            </w:pPr>
            <w:r/>
            <w:r>
              <w:rPr>
                <w:sz w:val="16"/>
              </w:rPr>
              <w:t>101 (37%)</w:t>
            </w:r>
          </w:p>
        </w:tc>
        <w:tc>
          <w:tcPr>
            <w:tcW w:type="dxa" w:w="1008"/>
          </w:tcPr>
          <w:p>
            <w:pPr>
              <w:spacing w:line="240" w:lineRule="auto" w:after="0" w:before="0"/>
            </w:pPr>
            <w:r/>
            <w:r>
              <w:rPr>
                <w:sz w:val="16"/>
              </w:rPr>
              <w:t>141 (52%)</w:t>
            </w:r>
          </w:p>
        </w:tc>
      </w:tr>
      <w:tr>
        <w:trPr>
          <w:cantSplit/>
        </w:trPr>
        <w:tc>
          <w:tcPr>
            <w:tcW w:type="dxa" w:w="1008"/>
          </w:tcPr>
          <w:p>
            <w:pPr>
              <w:spacing w:line="240" w:lineRule="auto" w:after="0" w:before="0"/>
            </w:pPr>
            <w:r/>
            <w:r>
              <w:rPr>
                <w:sz w:val="16"/>
              </w:rPr>
              <w:t>active core (364)</w:t>
            </w:r>
          </w:p>
        </w:tc>
        <w:tc>
          <w:tcPr>
            <w:tcW w:type="dxa" w:w="1008"/>
          </w:tcPr>
          <w:p>
            <w:pPr>
              <w:spacing w:line="240" w:lineRule="auto" w:after="0" w:before="0"/>
            </w:pPr>
            <w:r/>
            <w:r>
              <w:rPr>
                <w:sz w:val="16"/>
              </w:rPr>
              <w:t>364</w:t>
            </w:r>
          </w:p>
        </w:tc>
        <w:tc>
          <w:tcPr>
            <w:tcW w:type="dxa" w:w="1008"/>
          </w:tcPr>
          <w:p>
            <w:pPr>
              <w:spacing w:line="240" w:lineRule="auto" w:after="0" w:before="0"/>
            </w:pPr>
            <w:r/>
            <w:r>
              <w:rPr>
                <w:sz w:val="16"/>
              </w:rPr>
              <w:t>145 (40%)</w:t>
            </w:r>
          </w:p>
        </w:tc>
        <w:tc>
          <w:tcPr>
            <w:tcW w:type="dxa" w:w="1008"/>
          </w:tcPr>
          <w:p>
            <w:pPr>
              <w:spacing w:line="240" w:lineRule="auto" w:after="0" w:before="0"/>
            </w:pPr>
            <w:r/>
            <w:r>
              <w:rPr>
                <w:sz w:val="16"/>
              </w:rPr>
              <w:t>3 (1%)</w:t>
            </w:r>
          </w:p>
        </w:tc>
        <w:tc>
          <w:tcPr>
            <w:tcW w:type="dxa" w:w="1008"/>
          </w:tcPr>
          <w:p>
            <w:pPr>
              <w:spacing w:line="240" w:lineRule="auto" w:after="0" w:before="0"/>
            </w:pPr>
            <w:r/>
            <w:r>
              <w:rPr>
                <w:sz w:val="16"/>
              </w:rPr>
              <w:t>2 (1%)</w:t>
            </w:r>
          </w:p>
        </w:tc>
        <w:tc>
          <w:tcPr>
            <w:tcW w:type="dxa" w:w="1008"/>
          </w:tcPr>
          <w:p>
            <w:pPr>
              <w:spacing w:line="240" w:lineRule="auto" w:after="0" w:before="0"/>
            </w:pPr>
            <w:r/>
            <w:r>
              <w:rPr>
                <w:sz w:val="16"/>
              </w:rPr>
              <w:t>37 (10%)</w:t>
            </w:r>
          </w:p>
        </w:tc>
        <w:tc>
          <w:tcPr>
            <w:tcW w:type="dxa" w:w="1008"/>
          </w:tcPr>
          <w:p>
            <w:pPr>
              <w:spacing w:line="240" w:lineRule="auto" w:after="0" w:before="0"/>
            </w:pPr>
            <w:r/>
            <w:r>
              <w:rPr>
                <w:sz w:val="16"/>
              </w:rPr>
              <w:t>3 (1%)</w:t>
            </w:r>
          </w:p>
        </w:tc>
        <w:tc>
          <w:tcPr>
            <w:tcW w:type="dxa" w:w="1008"/>
          </w:tcPr>
          <w:p>
            <w:pPr>
              <w:spacing w:line="240" w:lineRule="auto" w:after="0" w:before="0"/>
            </w:pPr>
            <w:r/>
            <w:r>
              <w:rPr>
                <w:sz w:val="16"/>
              </w:rPr>
              <w:t>17 (5%)</w:t>
            </w:r>
          </w:p>
        </w:tc>
        <w:tc>
          <w:tcPr>
            <w:tcW w:type="dxa" w:w="1008"/>
          </w:tcPr>
          <w:p>
            <w:pPr>
              <w:spacing w:line="240" w:lineRule="auto" w:after="0" w:before="0"/>
            </w:pPr>
            <w:r/>
            <w:r>
              <w:rPr>
                <w:sz w:val="16"/>
              </w:rPr>
              <w:t>157 (43%)</w:t>
            </w:r>
          </w:p>
        </w:tc>
      </w:tr>
      <w:tr>
        <w:trPr>
          <w:cantSplit/>
        </w:trPr>
        <w:tc>
          <w:tcPr>
            <w:tcW w:type="dxa" w:w="1008"/>
          </w:tcPr>
          <w:p>
            <w:pPr>
              <w:spacing w:line="240" w:lineRule="auto" w:after="0" w:before="0"/>
            </w:pPr>
            <w:r/>
            <w:r>
              <w:rPr>
                <w:sz w:val="16"/>
              </w:rPr>
              <w:t>hot core (174)</w:t>
            </w:r>
          </w:p>
        </w:tc>
        <w:tc>
          <w:tcPr>
            <w:tcW w:type="dxa" w:w="1008"/>
          </w:tcPr>
          <w:p>
            <w:pPr>
              <w:spacing w:line="240" w:lineRule="auto" w:after="0" w:before="0"/>
            </w:pPr>
            <w:r/>
            <w:r>
              <w:rPr>
                <w:sz w:val="16"/>
              </w:rPr>
              <w:t>174</w:t>
            </w:r>
          </w:p>
        </w:tc>
        <w:tc>
          <w:tcPr>
            <w:tcW w:type="dxa" w:w="1008"/>
          </w:tcPr>
          <w:p>
            <w:pPr>
              <w:spacing w:line="240" w:lineRule="auto" w:after="0" w:before="0"/>
            </w:pPr>
            <w:r/>
            <w:r>
              <w:rPr>
                <w:sz w:val="16"/>
              </w:rPr>
              <w:t>71 (41%)</w:t>
            </w:r>
          </w:p>
        </w:tc>
        <w:tc>
          <w:tcPr>
            <w:tcW w:type="dxa" w:w="1008"/>
          </w:tcPr>
          <w:p>
            <w:pPr>
              <w:spacing w:line="240" w:lineRule="auto" w:after="0" w:before="0"/>
            </w:pPr>
            <w:r/>
            <w:r>
              <w:rPr>
                <w:sz w:val="16"/>
              </w:rPr>
              <w:t>3 (2%)</w:t>
            </w:r>
          </w:p>
        </w:tc>
        <w:tc>
          <w:tcPr>
            <w:tcW w:type="dxa" w:w="1008"/>
          </w:tcPr>
          <w:p>
            <w:pPr>
              <w:spacing w:line="240" w:lineRule="auto" w:after="0" w:before="0"/>
            </w:pPr>
            <w:r/>
            <w:r>
              <w:rPr>
                <w:sz w:val="16"/>
              </w:rPr>
              <w:t>2 (1%)</w:t>
            </w:r>
          </w:p>
        </w:tc>
        <w:tc>
          <w:tcPr>
            <w:tcW w:type="dxa" w:w="1008"/>
          </w:tcPr>
          <w:p>
            <w:pPr>
              <w:spacing w:line="240" w:lineRule="auto" w:after="0" w:before="0"/>
            </w:pPr>
            <w:r/>
            <w:r>
              <w:rPr>
                <w:sz w:val="16"/>
              </w:rPr>
              <w:t>30 (17%)</w:t>
            </w:r>
          </w:p>
        </w:tc>
        <w:tc>
          <w:tcPr>
            <w:tcW w:type="dxa" w:w="1008"/>
          </w:tcPr>
          <w:p>
            <w:pPr>
              <w:spacing w:line="240" w:lineRule="auto" w:after="0" w:before="0"/>
            </w:pPr>
            <w:r/>
            <w:r>
              <w:rPr>
                <w:sz w:val="16"/>
              </w:rPr>
              <w:t>1 (1%)</w:t>
            </w:r>
          </w:p>
        </w:tc>
        <w:tc>
          <w:tcPr>
            <w:tcW w:type="dxa" w:w="1008"/>
          </w:tcPr>
          <w:p>
            <w:pPr>
              <w:spacing w:line="240" w:lineRule="auto" w:after="0" w:before="0"/>
            </w:pPr>
            <w:r/>
            <w:r>
              <w:rPr>
                <w:sz w:val="16"/>
              </w:rPr>
              <w:t>10 (6%)</w:t>
            </w:r>
          </w:p>
        </w:tc>
        <w:tc>
          <w:tcPr>
            <w:tcW w:type="dxa" w:w="1008"/>
          </w:tcPr>
          <w:p>
            <w:pPr>
              <w:spacing w:line="240" w:lineRule="auto" w:after="0" w:before="0"/>
            </w:pPr>
            <w:r/>
            <w:r>
              <w:rPr>
                <w:sz w:val="16"/>
              </w:rPr>
              <w:t>57 (33%)</w:t>
            </w:r>
          </w:p>
        </w:tc>
      </w:tr>
      <w:tr>
        <w:trPr>
          <w:cantSplit/>
        </w:trPr>
        <w:tc>
          <w:tcPr>
            <w:tcW w:type="dxa" w:w="1008"/>
          </w:tcPr>
          <w:p>
            <w:pPr>
              <w:spacing w:line="240" w:lineRule="auto" w:after="0" w:before="0"/>
            </w:pPr>
            <w:r/>
            <w:r>
              <w:rPr>
                <w:sz w:val="16"/>
              </w:rPr>
              <w:t>CORE arm of the sufficiency study (335, 15.1.0)</w:t>
            </w:r>
          </w:p>
        </w:tc>
        <w:tc>
          <w:tcPr>
            <w:tcW w:type="dxa" w:w="1008"/>
          </w:tcPr>
          <w:p>
            <w:pPr>
              <w:spacing w:line="240" w:lineRule="auto" w:after="0" w:before="0"/>
            </w:pPr>
            <w:r/>
            <w:r>
              <w:rPr>
                <w:sz w:val="16"/>
              </w:rPr>
              <w:t>335</w:t>
            </w:r>
          </w:p>
        </w:tc>
        <w:tc>
          <w:tcPr>
            <w:tcW w:type="dxa" w:w="1008"/>
          </w:tcPr>
          <w:p>
            <w:pPr>
              <w:spacing w:line="240" w:lineRule="auto" w:after="0" w:before="0"/>
            </w:pPr>
            <w:r/>
            <w:r>
              <w:rPr>
                <w:sz w:val="16"/>
              </w:rPr>
              <w:t>0 (0%)</w:t>
            </w:r>
          </w:p>
        </w:tc>
        <w:tc>
          <w:tcPr>
            <w:tcW w:type="dxa" w:w="1008"/>
          </w:tcPr>
          <w:p>
            <w:pPr>
              <w:spacing w:line="240" w:lineRule="auto" w:after="0" w:before="0"/>
            </w:pPr>
            <w:r/>
            <w:r>
              <w:rPr>
                <w:sz w:val="16"/>
              </w:rPr>
              <w:t>7 (2%)</w:t>
            </w:r>
          </w:p>
        </w:tc>
        <w:tc>
          <w:tcPr>
            <w:tcW w:type="dxa" w:w="1008"/>
          </w:tcPr>
          <w:p>
            <w:pPr>
              <w:spacing w:line="240" w:lineRule="auto" w:after="0" w:before="0"/>
            </w:pPr>
            <w:r/>
            <w:r>
              <w:rPr>
                <w:sz w:val="16"/>
              </w:rPr>
              <w:t>2 (1%)</w:t>
            </w:r>
          </w:p>
        </w:tc>
        <w:tc>
          <w:tcPr>
            <w:tcW w:type="dxa" w:w="1008"/>
          </w:tcPr>
          <w:p>
            <w:pPr>
              <w:spacing w:line="240" w:lineRule="auto" w:after="0" w:before="0"/>
            </w:pPr>
            <w:r/>
            <w:r>
              <w:rPr>
                <w:sz w:val="16"/>
              </w:rPr>
              <w:t>37 (11%)</w:t>
            </w:r>
          </w:p>
        </w:tc>
        <w:tc>
          <w:tcPr>
            <w:tcW w:type="dxa" w:w="1008"/>
          </w:tcPr>
          <w:p>
            <w:pPr>
              <w:spacing w:line="240" w:lineRule="auto" w:after="0" w:before="0"/>
            </w:pPr>
            <w:r/>
            <w:r>
              <w:rPr>
                <w:sz w:val="16"/>
              </w:rPr>
              <w:t>3 (1%)</w:t>
            </w:r>
          </w:p>
        </w:tc>
        <w:tc>
          <w:tcPr>
            <w:tcW w:type="dxa" w:w="1008"/>
          </w:tcPr>
          <w:p>
            <w:pPr>
              <w:spacing w:line="240" w:lineRule="auto" w:after="0" w:before="0"/>
            </w:pPr>
            <w:r/>
            <w:r>
              <w:rPr>
                <w:sz w:val="16"/>
              </w:rPr>
              <w:t>108 (32%)</w:t>
            </w:r>
          </w:p>
        </w:tc>
        <w:tc>
          <w:tcPr>
            <w:tcW w:type="dxa" w:w="1008"/>
          </w:tcPr>
          <w:p>
            <w:pPr>
              <w:spacing w:line="240" w:lineRule="auto" w:after="0" w:before="0"/>
            </w:pPr>
            <w:r/>
            <w:r>
              <w:rPr>
                <w:sz w:val="16"/>
              </w:rPr>
              <w:t>178 (53%)</w:t>
            </w:r>
          </w:p>
        </w:tc>
      </w:tr>
      <w:tr>
        <w:trPr>
          <w:cantSplit/>
        </w:trPr>
        <w:tc>
          <w:tcPr>
            <w:tcW w:type="dxa" w:w="1008"/>
          </w:tcPr>
          <w:p>
            <w:pPr>
              <w:spacing w:line="240" w:lineRule="auto" w:after="0" w:before="0"/>
            </w:pPr>
            <w:r/>
            <w:r>
              <w:rPr>
                <w:sz w:val="16"/>
              </w:rPr>
              <w:t>union (all ledger rows)</w:t>
            </w:r>
          </w:p>
        </w:tc>
        <w:tc>
          <w:tcPr>
            <w:tcW w:type="dxa" w:w="1008"/>
          </w:tcPr>
          <w:p>
            <w:pPr>
              <w:spacing w:line="240" w:lineRule="auto" w:after="0" w:before="0"/>
            </w:pPr>
            <w:r/>
            <w:r>
              <w:rPr>
                <w:sz w:val="16"/>
              </w:rPr>
              <w:t>605</w:t>
            </w:r>
          </w:p>
        </w:tc>
        <w:tc>
          <w:tcPr>
            <w:tcW w:type="dxa" w:w="1008"/>
          </w:tcPr>
          <w:p>
            <w:pPr>
              <w:spacing w:line="240" w:lineRule="auto" w:after="0" w:before="0"/>
            </w:pPr>
            <w:r/>
            <w:r>
              <w:rPr>
                <w:sz w:val="16"/>
              </w:rPr>
              <w:t>145 (24%)</w:t>
            </w:r>
          </w:p>
        </w:tc>
        <w:tc>
          <w:tcPr>
            <w:tcW w:type="dxa" w:w="1008"/>
          </w:tcPr>
          <w:p>
            <w:pPr>
              <w:spacing w:line="240" w:lineRule="auto" w:after="0" w:before="0"/>
            </w:pPr>
            <w:r/>
            <w:r>
              <w:rPr>
                <w:sz w:val="16"/>
              </w:rPr>
              <w:t>7 (1%)</w:t>
            </w:r>
          </w:p>
        </w:tc>
        <w:tc>
          <w:tcPr>
            <w:tcW w:type="dxa" w:w="1008"/>
          </w:tcPr>
          <w:p>
            <w:pPr>
              <w:spacing w:line="240" w:lineRule="auto" w:after="0" w:before="0"/>
            </w:pPr>
            <w:r/>
            <w:r>
              <w:rPr>
                <w:sz w:val="16"/>
              </w:rPr>
              <w:t>2 (0%)</w:t>
            </w:r>
          </w:p>
        </w:tc>
        <w:tc>
          <w:tcPr>
            <w:tcW w:type="dxa" w:w="1008"/>
          </w:tcPr>
          <w:p>
            <w:pPr>
              <w:spacing w:line="240" w:lineRule="auto" w:after="0" w:before="0"/>
            </w:pPr>
            <w:r/>
            <w:r>
              <w:rPr>
                <w:sz w:val="16"/>
              </w:rPr>
              <w:t>37 (6%)</w:t>
            </w:r>
          </w:p>
        </w:tc>
        <w:tc>
          <w:tcPr>
            <w:tcW w:type="dxa" w:w="1008"/>
          </w:tcPr>
          <w:p>
            <w:pPr>
              <w:spacing w:line="240" w:lineRule="auto" w:after="0" w:before="0"/>
            </w:pPr>
            <w:r/>
            <w:r>
              <w:rPr>
                <w:sz w:val="16"/>
              </w:rPr>
              <w:t>5 (1%)</w:t>
            </w:r>
          </w:p>
        </w:tc>
        <w:tc>
          <w:tcPr>
            <w:tcW w:type="dxa" w:w="1008"/>
          </w:tcPr>
          <w:p>
            <w:pPr>
              <w:spacing w:line="240" w:lineRule="auto" w:after="0" w:before="0"/>
            </w:pPr>
            <w:r/>
            <w:r>
              <w:rPr>
                <w:sz w:val="16"/>
              </w:rPr>
              <w:t>115 (19%)</w:t>
            </w:r>
          </w:p>
        </w:tc>
        <w:tc>
          <w:tcPr>
            <w:tcW w:type="dxa" w:w="1008"/>
          </w:tcPr>
          <w:p>
            <w:pPr>
              <w:spacing w:line="240" w:lineRule="auto" w:after="0" w:before="0"/>
            </w:pPr>
            <w:r/>
            <w:r>
              <w:rPr>
                <w:sz w:val="16"/>
              </w:rPr>
              <w:t>294 (49%)</w:t>
            </w:r>
          </w:p>
        </w:tc>
      </w:tr>
    </w:tbl>
    <w:p/>
    <w:p>
      <w:pPr>
        <w:pStyle w:val="Heading2"/>
      </w:pPr>
      <w:r>
        <w:rPr>
          <w:rFonts w:ascii="Times New Roman" w:hAnsi="Times New Roman" w:eastAsia="Times New Roman" w:cs="Times New Roman"/>
          <w:b/>
          <w:i w:val="0"/>
          <w:color w:val="000000"/>
        </w:rPr>
        <w:t>Facts the ledger makes explicit</w:t>
      </w:r>
    </w:p>
    <w:p>
      <w:pPr>
        <w:pStyle w:val="ListBullet"/>
        <w:spacing w:after="40"/>
      </w:pPr>
      <w:r>
        <w:t xml:space="preserve">The CORE arm (335) is </w:t>
      </w:r>
      <w:r>
        <w:rPr>
          <w:b/>
        </w:rPr>
        <w:t>not</w:t>
      </w:r>
      <w:r>
        <w:t xml:space="preserve"> the active core: it is 284 curated rules + 19 quote-verified non-curated rules + 32 reference-interval conventions; only 94 of the 364 active-core rules are in it.</w:t>
      </w:r>
    </w:p>
    <w:p>
      <w:pPr>
        <w:pStyle w:val="ListBullet"/>
        <w:spacing w:after="40"/>
      </w:pPr>
      <w:r>
        <w:t>Of the 364 active-core rules, 219 are still executable in 15.2.0 (145 retired under the 15.0.0 protocol).</w:t>
      </w:r>
    </w:p>
    <w:p>
      <w:pPr>
        <w:pStyle w:val="ListBullet"/>
        <w:spacing w:after="40"/>
      </w:pPr>
      <w:r>
        <w:t>Invariant tests reach the analyte of 104 of the 219 executable active-core rules; the rest are untouched by any executable property.</w:t>
      </w:r>
    </w:p>
    <w:p>
      <w:pPr>
        <w:pStyle w:val="ListBullet"/>
        <w:spacing w:after="40"/>
      </w:pPr>
      <w:r>
        <w:t>Static detectors flag 6 ledger rules on 15.2.0 (was 120 on 14.1.0).</w:t>
      </w:r>
    </w:p>
    <w:p>
      <w:pPr>
        <w:pStyle w:val="ListBullet"/>
        <w:spacing w:after="40"/>
      </w:pPr>
      <w:r>
        <w:t>Concordance verdicts exist for 116 ledger rules from the 200-rule sample and 100 from the active-core sample.</w:t>
      </w:r>
    </w:p>
    <w:p>
      <w:pPr>
        <w:pStyle w:val="Heading2"/>
      </w:pPr>
      <w:r>
        <w:rPr>
          <w:rFonts w:ascii="Times New Roman" w:hAnsi="Times New Roman" w:eastAsia="Times New Roman" w:cs="Times New Roman"/>
          <w:b/>
          <w:i w:val="0"/>
          <w:color w:val="000000"/>
        </w:rPr>
        <w:t>Open items at 15.2.0 (closed by registry 15.3.0, see below; the ledger itself is a 15.2.0 snapshot)</w:t>
      </w:r>
    </w:p>
    <w:p>
      <w:pPr>
        <w:pStyle w:val="ListBullet"/>
        <w:spacing w:after="40"/>
      </w:pPr>
      <w:r>
        <w:rPr>
          <w:rFonts w:ascii="Courier New" w:hAnsi="Courier New" w:eastAsia="Courier New" w:cs="Courier New"/>
          <w:color w:val="000000"/>
          <w:sz w:val="22"/>
        </w:rPr>
        <w:t>acquired_hemophilia_a_reanchor_scre_v13_4</w:t>
      </w:r>
      <w:r>
        <w:t xml:space="preserve"> — discordant_open: Note 8: attribution: acquired haemophilia A cites the BSH rare coagulation disorders guideline, which excludes FVIII deficiency (covered by a separate BSH guideline)</w:t>
      </w:r>
    </w:p>
    <w:p>
      <w:pPr>
        <w:pStyle w:val="ListBullet"/>
        <w:spacing w:after="40"/>
      </w:pPr>
      <w:r>
        <w:rPr>
          <w:rFonts w:ascii="Courier New" w:hAnsi="Courier New" w:eastAsia="Courier New" w:cs="Courier New"/>
          <w:color w:val="000000"/>
          <w:sz w:val="22"/>
        </w:rPr>
        <w:t>acute_kidney_injury_kdigo_2012_creatinine_absolute_cur13</w:t>
      </w:r>
      <w:r>
        <w:t xml:space="preserve"> — flagged_open: ; r2a: single ubiquitous analyte creatinine for clinical entity acute_kidney_injury</w:t>
      </w:r>
    </w:p>
    <w:p>
      <w:pPr>
        <w:pStyle w:val="ListBullet"/>
        <w:spacing w:after="40"/>
      </w:pPr>
      <w:r>
        <w:rPr>
          <w:rFonts w:ascii="Courier New" w:hAnsi="Courier New" w:eastAsia="Courier New" w:cs="Courier New"/>
          <w:color w:val="000000"/>
          <w:sz w:val="22"/>
        </w:rPr>
        <w:t>hepatitis_a_igm_anti_hav_positive_cur13</w:t>
      </w:r>
      <w:r>
        <w:t xml:space="preserve"> — discordant_open: Note 8: attribution: hepatitis A IgM criterion cites the EASL hepatitis E guideline</w:t>
      </w:r>
    </w:p>
    <w:p>
      <w:pPr>
        <w:pStyle w:val="ListBullet"/>
        <w:spacing w:after="40"/>
      </w:pPr>
      <w:r>
        <w:rPr>
          <w:rFonts w:ascii="Courier New" w:hAnsi="Courier New" w:eastAsia="Courier New" w:cs="Courier New"/>
          <w:color w:val="000000"/>
          <w:sz w:val="22"/>
        </w:rPr>
        <w:t>hyperosmolar_hyperglycemic_state_ada_easd_2024_hhs_ketoacidosis_exclusion_cur13</w:t>
      </w:r>
      <w:r>
        <w:t xml:space="preserve"> — flagged_open: ; src: source ada_easd_hyperglycemic_crises_2024 scope ['endocrine'] vs entity domain critical_care</w:t>
      </w:r>
    </w:p>
    <w:p>
      <w:pPr>
        <w:pStyle w:val="ListBullet"/>
        <w:spacing w:after="40"/>
      </w:pPr>
      <w:r>
        <w:rPr>
          <w:rFonts w:ascii="Courier New" w:hAnsi="Courier New" w:eastAsia="Courier New" w:cs="Courier New"/>
          <w:color w:val="000000"/>
          <w:sz w:val="22"/>
        </w:rPr>
        <w:t>hyperprolactinemia_pituitary_2023_prolactin_elevated_cur13</w:t>
      </w:r>
      <w:r>
        <w:t xml:space="preserve"> — discordant_open: Note 8: threshold: Pituitary Society 2023 consensus (full text retrieved) defers to assay-specific reference ranges and does not state 25 ng/mL</w:t>
      </w:r>
    </w:p>
    <w:p>
      <w:pPr>
        <w:pStyle w:val="ListBullet"/>
        <w:spacing w:after="40"/>
      </w:pPr>
      <w:r>
        <w:rPr>
          <w:rFonts w:ascii="Courier New" w:hAnsi="Courier New" w:eastAsia="Courier New" w:cs="Courier New"/>
          <w:color w:val="000000"/>
          <w:sz w:val="22"/>
        </w:rPr>
        <w:t>hypomagnesemia_severe_1_2_cur13</w:t>
      </w:r>
      <w:r>
        <w:t xml:space="preserve"> — discordant_open: Note 8: attribution: severe hypomagnesaemia &lt;1.2 mg/dL cites the KDIGO potassium/dyskalaemia conference report</w:t>
      </w:r>
    </w:p>
    <w:p>
      <w:pPr>
        <w:pStyle w:val="ListBullet"/>
        <w:spacing w:after="40"/>
      </w:pPr>
      <w:r>
        <w:rPr>
          <w:rFonts w:ascii="Courier New" w:hAnsi="Courier New" w:eastAsia="Courier New" w:cs="Courier New"/>
          <w:color w:val="000000"/>
          <w:sz w:val="22"/>
        </w:rPr>
        <w:t>isoniazid_hepatotoxicity_dx_p131</w:t>
      </w:r>
      <w:r>
        <w:t xml:space="preserve"> — flagged_open: ; src: source ats_isoniazid_hepatotoxicity_2006 scope ['liver'] vs entity domain toxicology_tdm</w:t>
      </w:r>
    </w:p>
    <w:p>
      <w:pPr>
        <w:pStyle w:val="ListBullet"/>
        <w:spacing w:after="40"/>
      </w:pPr>
      <w:r>
        <w:rPr>
          <w:rFonts w:ascii="Courier New" w:hAnsi="Courier New" w:eastAsia="Courier New" w:cs="Courier New"/>
          <w:color w:val="000000"/>
          <w:sz w:val="22"/>
        </w:rPr>
        <w:t>lactic_acidosis_lactate_4_acidemia_cur13</w:t>
      </w:r>
      <w:r>
        <w:t xml:space="preserve"> — flagged_open: ; src: source sepsis3_2016 scope ['critical_care', 'infectious'] vs entity domain diabetes_metabolic</w:t>
      </w:r>
    </w:p>
    <w:p>
      <w:pPr>
        <w:pStyle w:val="ListBullet"/>
        <w:spacing w:after="40"/>
      </w:pPr>
      <w:r>
        <w:rPr>
          <w:rFonts w:ascii="Courier New" w:hAnsi="Courier New" w:eastAsia="Courier New" w:cs="Courier New"/>
          <w:color w:val="000000"/>
          <w:sz w:val="22"/>
        </w:rPr>
        <w:t>prediabetes_hba1c_pattern_screening_1_v1</w:t>
      </w:r>
      <w:r>
        <w:t xml:space="preserve"> — discordant_open: Note 15: boundary: source range 5.7–6.4 % inclusive with upper bound; rule '&gt; 5.7' excludes 5.7 and has no upper bound</w:t>
      </w:r>
    </w:p>
    <w:p>
      <w:pPr>
        <w:pStyle w:val="ListBullet"/>
        <w:spacing w:after="40"/>
      </w:pPr>
      <w:r>
        <w:rPr>
          <w:rFonts w:ascii="Courier New" w:hAnsi="Courier New" w:eastAsia="Courier New" w:cs="Courier New"/>
          <w:color w:val="000000"/>
          <w:sz w:val="22"/>
        </w:rPr>
        <w:t>pseudohypoparathyroidism_hypocalcemia_high_pth_normal_renal_cur13</w:t>
      </w:r>
      <w:r>
        <w:t xml:space="preserve"> — discordant_open: Note 8: attribution: pseudohypoparathyroidism criteria cite the primary hyperparathyroidism workshop guideline (different disease)</w:t>
      </w:r>
    </w:p>
    <w:p>
      <w:pPr>
        <w:pStyle w:val="ListBullet"/>
        <w:spacing w:after="40"/>
      </w:pPr>
      <w:r>
        <w:rPr>
          <w:rFonts w:ascii="Courier New" w:hAnsi="Courier New" w:eastAsia="Courier New" w:cs="Courier New"/>
          <w:color w:val="000000"/>
          <w:sz w:val="22"/>
        </w:rPr>
        <w:t>septic_shock_severe_lactic_acidosis_sepsis3_lactate_4_cur13</w:t>
      </w:r>
      <w:r>
        <w:t xml:space="preserve"> — discordant_open: Note 8: threshold: cited Sepsis-3 defines septic shock with lactate &gt;2 mmol/L; the &gt;4 mmol/L cut-off is not in the cited source (it derives from the SSC resuscitation bundle)</w:t>
      </w:r>
    </w:p>
    <w:p>
      <w:pPr>
        <w:pStyle w:val="ListBullet"/>
        <w:spacing w:after="40"/>
      </w:pPr>
      <w:r>
        <w:rPr>
          <w:rFonts w:ascii="Courier New" w:hAnsi="Courier New" w:eastAsia="Courier New" w:cs="Courier New"/>
          <w:color w:val="000000"/>
          <w:sz w:val="22"/>
        </w:rPr>
        <w:t>urea_cycle_disorder_otc_deficiency_nh3_diagnostic_v1</w:t>
      </w:r>
      <w:r>
        <w:t xml:space="preserve"> — flagged_open: ; src: source acmg_act_2024 scope ['genetics'] vs entity domain critical_care</w:t>
      </w:r>
    </w:p>
    <w:p>
      <w:r>
        <w:t xml:space="preserve">Files: </w:t>
      </w:r>
      <w:r>
        <w:rPr>
          <w:rFonts w:ascii="Courier New" w:hAnsi="Courier New" w:eastAsia="Courier New" w:cs="Courier New"/>
          <w:color w:val="000000"/>
          <w:sz w:val="22"/>
        </w:rPr>
        <w:t>LEDGER.json.gz</w:t>
      </w:r>
      <w:r>
        <w:t xml:space="preserve"> (records), </w:t>
      </w:r>
      <w:r>
        <w:rPr>
          <w:rFonts w:ascii="Courier New" w:hAnsi="Courier New" w:eastAsia="Courier New" w:cs="Courier New"/>
          <w:color w:val="000000"/>
          <w:sz w:val="22"/>
        </w:rPr>
        <w:t>ledger_counts.json</w:t>
      </w:r>
      <w:r>
        <w:t xml:space="preserve">, </w:t>
      </w:r>
      <w:r>
        <w:rPr>
          <w:rFonts w:ascii="Courier New" w:hAnsi="Courier New" w:eastAsia="Courier New" w:cs="Courier New"/>
          <w:color w:val="000000"/>
          <w:sz w:val="22"/>
        </w:rPr>
        <w:t>build_ledger.py</w:t>
      </w:r>
      <w:r>
        <w:t xml:space="preserve"> (reproducible definition).</w:t>
      </w:r>
    </w:p>
    <w:p>
      <w:pPr>
        <w:pStyle w:val="Heading2"/>
      </w:pPr>
      <w:r>
        <w:rPr>
          <w:rFonts w:ascii="Times New Roman" w:hAnsi="Times New Roman" w:eastAsia="Times New Roman" w:cs="Times New Roman"/>
          <w:b/>
          <w:i w:val="0"/>
          <w:color w:val="000000"/>
        </w:rPr>
        <w:t>Closure in registry 15.3.0 (protocol `eval/registry_patches/PROTOCOL_15_3_0.md`, frozen before the patch)</w:t>
      </w:r>
    </w:p>
    <w:p>
      <w:r>
        <w:t xml:space="preserve">D1, the six Note 8 attribution discordances: pseudohypoparathyroidism re-sourced to the 2018 international consensus (Mantovani et al., PMC6541219; quote: "The association of hypocalcaemia, hyperphosphataemia and elevated serum levels of PTH in the absence of vitamin D deficiency and when magnesium levels and renal function are normal"); hepatitis A IgM re-sourced to the CDC/CSTE 2019 case definition (quote: "Immunoglobulin M (IgM) antibody to hepatitis A virus (anti-HAV) positive"); severe hypomagnesaemia &lt; 1.2 mg/dL and prolactin &gt; 25 ng/mL moved to </w:t>
      </w:r>
      <w:r>
        <w:rPr>
          <w:rFonts w:ascii="Courier New" w:hAnsi="Courier New" w:eastAsia="Courier New" w:cs="Courier New"/>
          <w:color w:val="000000"/>
          <w:sz w:val="22"/>
        </w:rPr>
        <w:t>reference_interval_convention</w:t>
      </w:r>
      <w:r>
        <w:t xml:space="preserve"> with the limitation recorded; septic shock from lactate &gt; 4 mmol/L alone and acquired haemophilia A from FVIII &lt; 40 % alone retired (</w:t>
      </w:r>
      <w:r>
        <w:rPr>
          <w:rFonts w:ascii="Courier New" w:hAnsi="Courier New" w:eastAsia="Courier New" w:cs="Courier New"/>
          <w:color w:val="000000"/>
          <w:sz w:val="22"/>
        </w:rPr>
        <w:t>retired_v15_3_0_discordant_source</w:t>
      </w:r>
      <w:r>
        <w:t xml:space="preserve">) because no verifiable replacement source was retrieved and no source is cited from memory. D2: the prediabetes HbA1c rule received its 6.4 % upper bound; </w:t>
      </w:r>
      <w:r>
        <w:rPr>
          <w:rFonts w:ascii="Courier New" w:hAnsi="Courier New" w:eastAsia="Courier New" w:cs="Courier New"/>
          <w:color w:val="000000"/>
          <w:sz w:val="22"/>
        </w:rPr>
        <w:t>PROTOCOL_15_0_0</w:t>
      </w:r>
      <w:r>
        <w:t xml:space="preserve"> R5 had specified it, </w:t>
      </w:r>
      <w:r>
        <w:rPr>
          <w:rFonts w:ascii="Courier New" w:hAnsi="Courier New" w:eastAsia="Courier New" w:cs="Courier New"/>
          <w:color w:val="000000"/>
          <w:sz w:val="22"/>
        </w:rPr>
        <w:t>patch_15_0_0.py</w:t>
      </w:r>
      <w:r>
        <w:t xml:space="preserve"> wrote only the operator — an implementation gap found by the ledger and recorded in </w:t>
      </w:r>
      <w:r>
        <w:rPr>
          <w:rFonts w:ascii="Courier New" w:hAnsi="Courier New" w:eastAsia="Courier New" w:cs="Courier New"/>
          <w:color w:val="000000"/>
          <w:sz w:val="22"/>
        </w:rPr>
        <w:t>review_15_3_0.json</w:t>
      </w:r>
      <w:r>
        <w:t xml:space="preserve">. D3: the five detector flags were inspected and left unchanged (the KDIGO absolute-creatinine surrogate kept deliberately in 15.0.0; four entity-domain-tag/source-scope mismatches that are not rule errors). Every ledger rule carries </w:t>
      </w:r>
      <w:r>
        <w:rPr>
          <w:rFonts w:ascii="Courier New" w:hAnsi="Courier New" w:eastAsia="Courier New" w:cs="Courier New"/>
          <w:color w:val="000000"/>
          <w:sz w:val="22"/>
        </w:rPr>
        <w:t>provenance.ledger_15_3_0.status</w:t>
      </w:r>
      <w:r>
        <w:t xml:space="preserve"> (engine does not read it). Non-regression gate 15.2.0 → 15.3.0 (same harness, cohorts, seeds): eICU flat recall@3/@5/@10 and two-tier recall@1/@3/@5 identical pair-for-pair; grouped recall@1/@3/@5 −7/−3/−1 pairs of 2,432 (−0.3/−0.1/0.0 points; the retired septic-shock rule); mean AUROC 0.752 unchanged; all NHANES AUROCs identical; healthy false assertions 0/51. Executable rules 31,064.</w:t>
      </w:r>
    </w:p>
    <w:p>
      <w:pPr>
        <w:pStyle w:val="Heading1"/>
      </w:pPr>
      <w:r>
        <w:rPr>
          <w:rFonts w:ascii="Times New Roman" w:hAnsi="Times New Roman" w:eastAsia="Times New Roman" w:cs="Times New Roman"/>
          <w:b/>
          <w:i w:val="0"/>
          <w:color w:val="000000"/>
        </w:rPr>
        <w:t>Supplementary Note 19 — Pre-specified protocol for the independent clinical concordance audit (not yet executed)</w:t>
      </w:r>
    </w:p>
    <w:p>
      <w:r>
        <w:rPr>
          <w:b/>
        </w:rPr>
        <w:t>Status.</w:t>
      </w:r>
      <w:r>
        <w:t xml:space="preserve"> Written and frozen on 2026-10-28, before any rater was approached. No result exists. The sample is drawn, committed and hashed (</w:t>
      </w:r>
      <w:r>
        <w:rPr>
          <w:rFonts w:ascii="Courier New" w:hAnsi="Courier New" w:eastAsia="Courier New" w:cs="Courier New"/>
          <w:color w:val="000000"/>
          <w:sz w:val="22"/>
        </w:rPr>
        <w:t>eval/audit/human_audit/human_audit_sample_100.csv</w:t>
      </w:r>
      <w:r>
        <w:t xml:space="preserve">, SHA-256 in </w:t>
      </w:r>
      <w:r>
        <w:rPr>
          <w:rFonts w:ascii="Courier New" w:hAnsi="Courier New" w:eastAsia="Courier New" w:cs="Courier New"/>
          <w:color w:val="000000"/>
          <w:sz w:val="22"/>
        </w:rPr>
        <w:t>SHA256SUMS</w:t>
      </w:r>
      <w:r>
        <w:t>); the AI rater's verdicts for the same 100 rules are sealed in a separate file that raters do not receive. The protocol will be executed unchanged when two eligible raters are available; any deviation will be dated and reported. Its results, favourable or not, will be reported in the prospective reader study (Paper 2) or as an addendum to this paper.</w:t>
      </w:r>
    </w:p>
    <w:p>
      <w:r>
        <w:rPr>
          <w:b/>
        </w:rPr>
        <w:t>Why a protocol rather than a result.</w:t>
      </w:r>
      <w:r>
        <w:t xml:space="preserve"> The two concordance audits in this paper (Notes 8 and 15) have a single rater, a declared AI agent. Their estimates—92% unresolvable, ≥7.5% discordant—are therefore provisional. The present protocol fixes everything that can be fixed in advance so that the human audit, when it happens, cannot be tuned to the outcome.</w:t>
      </w:r>
    </w:p>
    <w:p>
      <w:r>
        <w:rPr>
          <w:b/>
        </w:rPr>
        <w:t>Objective.</w:t>
      </w:r>
      <w:r>
        <w:t xml:space="preserve"> To estimate, with clinician raters blinded to the AI verdicts, (i) the proportion of rules whose threshold, operator, unit and population gate are concordant with the cited source, and (ii) inter-rater reliability, for the two rule populations that matter most: the active core that produces the engine's output and the curated anchors.</w:t>
      </w:r>
    </w:p>
    <w:p>
      <w:r>
        <w:rPr>
          <w:b/>
        </w:rPr>
        <w:t>Sampling (done; deterministic, seed 20261028; `sample_rules.py`).</w:t>
      </w:r>
      <w:r>
        <w:t xml:space="preserve"> From the verification ledger at registry 15.2.0: 50 active-core rules still executable (25 hot-core, 25 other; pools 103 and 116) and 50 curated anchors that are not active-core members (pool 226). Rules retired in 15.3.0 after sampling (≤ 2) remain in the sample and are audited as they stood in 15.2.0.</w:t>
      </w:r>
    </w:p>
    <w:p>
      <w:r>
        <w:rPr>
          <w:b/>
        </w:rPr>
        <w:t>Raters.</w:t>
      </w:r>
      <w:r>
        <w:t xml:space="preserve"> Two independent raters, each either a specialist in laboratory medicine / clinical pathology or a board-certified internist, with no role in the project, no financial relationship with the first author, and no prior sight of the AI verdicts. Recruitment route and any compensation will be stated. If only one eligible rater can be recruited within six months, the audit is reported as single-rater human with that limitation, not postponed indefinitely.</w:t>
      </w:r>
    </w:p>
    <w:p>
      <w:r>
        <w:rPr>
          <w:b/>
        </w:rPr>
        <w:t>Materials given to each rater.</w:t>
      </w:r>
      <w:r>
        <w:t xml:space="preserve"> For every item: rule identifier, disease, executable logic (analyte, operator, threshold, unit, population gate), the cited source identifier and the registry's locator; the retrieved source document or page when it is openly accessible, otherwise the locator only. Raters do not see the ledger status, the detector flags, the activity class or the AI verdict. Items are presented in a fresh random order per rater.</w:t>
      </w:r>
    </w:p>
    <w:p>
      <w:r>
        <w:rPr>
          <w:b/>
        </w:rPr>
        <w:t>Verdicts (identical to Note 8).</w:t>
      </w:r>
      <w:r>
        <w:t xml:space="preserve"> </w:t>
      </w:r>
      <w:r>
        <w:rPr>
          <w:i/>
        </w:rPr>
        <w:t>Concordant</w:t>
      </w:r>
      <w:r>
        <w:t xml:space="preserve"> (C): the source states the threshold, operator, unit and population as encoded, or an equivalent after unit conversion. </w:t>
      </w:r>
      <w:r>
        <w:rPr>
          <w:i/>
        </w:rPr>
        <w:t>Discordant</w:t>
      </w:r>
      <w:r>
        <w:t xml:space="preserve"> (D): the source states a different threshold, operator, unit or population, or does not support the rule. </w:t>
      </w:r>
      <w:r>
        <w:rPr>
          <w:i/>
        </w:rPr>
        <w:t>Unresolvable</w:t>
      </w:r>
      <w:r>
        <w:t xml:space="preserve"> (U): the locator does not lead to a checkable statement within 15 minutes of effort. A verbatim quotation (≤ 2 sentences) with page or section is mandatory for every C or D verdict; a C or D without a quotation is recoded U.</w:t>
      </w:r>
    </w:p>
    <w:p>
      <w:r>
        <w:rPr>
          <w:b/>
        </w:rPr>
        <w:t>Primary outcome.</w:t>
      </w:r>
      <w:r>
        <w:t xml:space="preserve"> Discordance proportion among resolvable rules (D / (C + D)), by stratum and overall, with Wilson 95% confidence intervals, from the consensus verdict. </w:t>
      </w:r>
      <w:r>
        <w:rPr>
          <w:b/>
        </w:rPr>
        <w:t>Secondary outcomes.</w:t>
      </w:r>
      <w:r>
        <w:t xml:space="preserve"> Unresolvable proportion (U / n); Cohen's κ between the two raters on the three-level verdict and on the binary resolvable/unresolvable split; agreement of the consensus verdict with the sealed AI verdict (κ and the 3 × 3 table); time per item.</w:t>
      </w:r>
    </w:p>
    <w:p>
      <w:r>
        <w:rPr>
          <w:b/>
        </w:rPr>
        <w:t>Consensus and adjudication.</w:t>
      </w:r>
      <w:r>
        <w:t xml:space="preserve"> Rater disagreements are resolved by discussion between the two raters; unresolved items go to a third clinician whose verdict is final. Raw individual verdicts are reported alongside the consensus.</w:t>
      </w:r>
    </w:p>
    <w:p>
      <w:r>
        <w:rPr>
          <w:b/>
        </w:rPr>
        <w:t>Sample size.</w:t>
      </w:r>
      <w:r>
        <w:t xml:space="preserve"> With n = 100 and a true discordance of 10%, the Wilson interval half-width is ≈ 6 percentage points; with n = 50 per stratum ≈ 8–9 points. For κ, 100 items give a standard error ≈ 0.07–0.10 for κ ≈ 0.6. These precisions suffice to distinguish the AI rater's point estimates (7.5% discordant; 92% unresolvable) from substantially higher values, which is the question of interest.</w:t>
      </w:r>
    </w:p>
    <w:p>
      <w:r>
        <w:rPr>
          <w:b/>
        </w:rPr>
        <w:t>Pre-specified interpretation.</w:t>
      </w:r>
      <w:r>
        <w:t xml:space="preserve"> If the human unresolvable proportion is ≥ 80%, the paper's conclusion that locator granularity, not rater effort, limits auditability is confirmed. If human raters resolve substantially more rules than the AI rater (unresolvable ≤ 60%), the AI audit under-reported resolvability and the Note 8 estimates will be labelled as such. A human discordance estimate whose interval excludes the AI point estimate of 7.5% will be reported as a correction of the main text, not as a sensitivity analysis.</w:t>
      </w:r>
    </w:p>
    <w:p>
      <w:r>
        <w:rPr>
          <w:b/>
        </w:rPr>
        <w:t>What will not be done.</w:t>
      </w:r>
      <w:r>
        <w:t xml:space="preserve"> No rule will be edited between sampling and audit. Raters' verdicts will not be used to tune any engine component before publication of the audit result. Items will not be dropped after verdicts are seen. κ will not be reported from fewer than 50 double-rated items.</w:t>
      </w:r>
    </w:p>
    <w:p>
      <w:r>
        <w:rPr>
          <w:b/>
        </w:rPr>
        <w:t>Files.</w:t>
      </w:r>
      <w:r>
        <w:t xml:space="preserve"> </w:t>
      </w:r>
      <w:r>
        <w:rPr>
          <w:rFonts w:ascii="Courier New" w:hAnsi="Courier New" w:eastAsia="Courier New" w:cs="Courier New"/>
          <w:color w:val="000000"/>
          <w:sz w:val="22"/>
        </w:rPr>
        <w:t>eval/audit/human_audit/sample_rules.py</w:t>
      </w:r>
      <w:r>
        <w:t xml:space="preserve"> (sampling, deterministic), </w:t>
      </w:r>
      <w:r>
        <w:rPr>
          <w:rFonts w:ascii="Courier New" w:hAnsi="Courier New" w:eastAsia="Courier New" w:cs="Courier New"/>
          <w:color w:val="000000"/>
          <w:sz w:val="22"/>
        </w:rPr>
        <w:t>human_audit_sample_100.csv</w:t>
      </w:r>
      <w:r>
        <w:t xml:space="preserve"> (rater form, no AI verdicts), </w:t>
      </w:r>
      <w:r>
        <w:rPr>
          <w:rFonts w:ascii="Courier New" w:hAnsi="Courier New" w:eastAsia="Courier New" w:cs="Courier New"/>
          <w:color w:val="000000"/>
          <w:sz w:val="22"/>
        </w:rPr>
        <w:t>ai_verdicts_sealed.json</w:t>
      </w:r>
      <w:r>
        <w:t xml:space="preserve"> (sealed; opened only for the agreement analysis), </w:t>
      </w:r>
      <w:r>
        <w:rPr>
          <w:rFonts w:ascii="Courier New" w:hAnsi="Courier New" w:eastAsia="Courier New" w:cs="Courier New"/>
          <w:color w:val="000000"/>
          <w:sz w:val="22"/>
        </w:rPr>
        <w:t>SHA256SUMS</w:t>
      </w:r>
      <w:r>
        <w:t xml:space="preserve">. Rater materials (form with source titles and locators, instructions, invitation; </w:t>
      </w:r>
      <w:r>
        <w:rPr>
          <w:rFonts w:ascii="Courier New" w:hAnsi="Courier New" w:eastAsia="Courier New" w:cs="Courier New"/>
          <w:color w:val="000000"/>
          <w:sz w:val="22"/>
        </w:rPr>
        <w:t>rater_package/</w:t>
      </w:r>
      <w:r>
        <w:t>) were prepared from the frozen sample without altering it.</w:t>
      </w:r>
    </w:p>
    <w:p>
      <w:pPr>
        <w:pStyle w:val="Heading1"/>
      </w:pPr>
      <w:r>
        <w:rPr>
          <w:rFonts w:ascii="Times New Roman" w:hAnsi="Times New Roman" w:eastAsia="Times New Roman" w:cs="Times New Roman"/>
          <w:b/>
          <w:i w:val="0"/>
          <w:color w:val="000000"/>
        </w:rPr>
        <w:t>Supplementary Note 20 — Held-out mutation test of the static detectors (protocol committed before the run; detectors unchanged; no frozen number affected)</w:t>
      </w:r>
    </w:p>
    <w:p>
      <w:r>
        <w:rPr>
          <w:b/>
        </w:rPr>
        <w:t>Why.</w:t>
      </w:r>
      <w:r>
        <w:t xml:space="preserve"> Note 16 estimated detector recall on the curated / quote-verified rules of registry 15.1.0, the same registry whose flag output was inspected while the detectors' physiological bounds, direction rule and domain-neighbour table were written. Those recalls are therefore in-sample. Section 4.1 already states this; the present note measures it. The protocol (</w:t>
      </w:r>
      <w:r>
        <w:rPr>
          <w:rFonts w:ascii="Courier New" w:hAnsi="Courier New" w:eastAsia="Courier New" w:cs="Courier New"/>
          <w:color w:val="000000"/>
          <w:sz w:val="22"/>
        </w:rPr>
        <w:t>eval/audit/PROTOCOL_HELDOUT.md</w:t>
      </w:r>
      <w:r>
        <w:t xml:space="preserve">) was written and committed before </w:t>
      </w:r>
      <w:r>
        <w:rPr>
          <w:rFonts w:ascii="Courier New" w:hAnsi="Courier New" w:eastAsia="Courier New" w:cs="Courier New"/>
          <w:color w:val="000000"/>
          <w:sz w:val="22"/>
        </w:rPr>
        <w:t>mutate_heldout.py</w:t>
      </w:r>
      <w:r>
        <w:t xml:space="preserve"> was run and pre-states, family by family, what the detectors were expected to miss.</w:t>
      </w:r>
    </w:p>
    <w:p>
      <w:r>
        <w:rPr>
          <w:b/>
        </w:rPr>
        <w:t>Seed pools.</w:t>
      </w:r>
      <w:r>
        <w:t xml:space="preserve"> </w:t>
      </w:r>
      <w:r>
        <w:rPr>
          <w:i/>
        </w:rPr>
        <w:t>P1</w:t>
      </w:r>
      <w:r>
        <w:t xml:space="preserve">: 300 rules drawn uniformly (seed 20261028) from the 6,470 executable rules of registry 15.3.0 that are neither </w:t>
      </w:r>
      <w:r>
        <w:rPr>
          <w:rFonts w:ascii="Courier New" w:hAnsi="Courier New" w:eastAsia="Courier New" w:cs="Courier New"/>
          <w:color w:val="000000"/>
          <w:sz w:val="22"/>
        </w:rPr>
        <w:t>curated_*</w:t>
      </w:r>
      <w:r>
        <w:t xml:space="preserve"> nor quote-verified, i.e. AI-drafted rules never used as seeds in Note 16. P1 is only partially independent: the rules are new, but they belong to the registry lineage the detectors were tuned on. </w:t>
      </w:r>
      <w:r>
        <w:rPr>
          <w:i/>
        </w:rPr>
        <w:t>P2</w:t>
      </w:r>
      <w:r>
        <w:t>: all 400 rules of the second LLM-written corpus (Note 17), produced after the detectors were frozen and never used for calibration; P2 is the stronger test.</w:t>
      </w:r>
    </w:p>
    <w:p>
      <w:r>
        <w:rPr>
          <w:b/>
        </w:rPr>
        <w:t>Families.</w:t>
      </w:r>
      <w:r>
        <w:t xml:space="preserve"> Eight mutation families, none of which appears in Note 16: H1 population gate removed; H2 source replaced by another source </w:t>
      </w:r>
      <w:r>
        <w:rPr>
          <w:i/>
        </w:rPr>
        <w:t>of the same domain</w:t>
      </w:r>
      <w:r>
        <w:t>; H3 the leaf duplicated into a contradictory conjunction (</w:t>
      </w:r>
      <w:r>
        <w:rPr>
          <w:rFonts w:ascii="Courier New" w:hAnsi="Courier New" w:eastAsia="Courier New" w:cs="Courier New"/>
          <w:color w:val="000000"/>
          <w:sz w:val="22"/>
        </w:rPr>
        <w:t>x &gt; v</w:t>
      </w:r>
      <w:r>
        <w:t xml:space="preserve"> AND </w:t>
      </w:r>
      <w:r>
        <w:rPr>
          <w:rFonts w:ascii="Courier New" w:hAnsi="Courier New" w:eastAsia="Courier New" w:cs="Courier New"/>
          <w:color w:val="000000"/>
          <w:sz w:val="22"/>
        </w:rPr>
        <w:t>x &lt; v</w:t>
      </w:r>
      <w:r>
        <w:t xml:space="preserve">); H4 a </w:t>
      </w:r>
      <w:r>
        <w:rPr>
          <w:i/>
        </w:rPr>
        <w:t>benign</w:t>
      </w:r>
      <w:r>
        <w:t xml:space="preserve"> unit conversion in which unit and value are converted together (a specificity probe that must not be flagged); H5 threshold ±20 %; H6 decimal-place error (×10 or ÷10); H7 unit swapped without converting the value (the analogue of M4); H8 operator flipped (the analogue of M3). One mutant per applicable seed, first numeric leaf, only flags that were not already present on the unmutated seed count, exactly as in Note 16. The protocol pre-stated recall near zero for H1, H2, H3 and H5.</w:t>
      </w:r>
    </w:p>
    <w:p>
      <w:r>
        <w:rPr>
          <w:b/>
        </w:rPr>
        <w:t>Results.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cantSplit/>
          <w:tblHeader/>
        </w:trPr>
        <w:tc>
          <w:tcPr>
            <w:tcW w:type="dxa" w:w="1512"/>
            <w:shd w:val="clear" w:fill="F2F2F2"/>
          </w:tcPr>
          <w:p>
            <w:pPr>
              <w:spacing w:line="240" w:lineRule="auto" w:after="0" w:before="0"/>
            </w:pPr>
            <w:r>
              <w:rPr>
                <w:b/>
              </w:rPr>
            </w:r>
            <w:r>
              <w:rPr>
                <w:b/>
                <w:sz w:val="16"/>
              </w:rPr>
              <w:t>family</w:t>
            </w:r>
          </w:p>
        </w:tc>
        <w:tc>
          <w:tcPr>
            <w:tcW w:type="dxa" w:w="1512"/>
            <w:shd w:val="clear" w:fill="F2F2F2"/>
          </w:tcPr>
          <w:p>
            <w:pPr>
              <w:spacing w:line="240" w:lineRule="auto" w:after="0" w:before="0"/>
            </w:pPr>
            <w:r>
              <w:rPr>
                <w:b/>
              </w:rPr>
            </w:r>
            <w:r>
              <w:rPr>
                <w:b/>
                <w:sz w:val="16"/>
              </w:rPr>
              <w:t>P1 (15.3.0, AI-drafted) n</w:t>
            </w:r>
          </w:p>
        </w:tc>
        <w:tc>
          <w:tcPr>
            <w:tcW w:type="dxa" w:w="1512"/>
            <w:shd w:val="clear" w:fill="F2F2F2"/>
          </w:tcPr>
          <w:p>
            <w:pPr>
              <w:spacing w:line="240" w:lineRule="auto" w:after="0" w:before="0"/>
            </w:pPr>
            <w:r>
              <w:rPr>
                <w:b/>
              </w:rPr>
            </w:r>
            <w:r>
              <w:rPr>
                <w:b/>
                <w:sz w:val="16"/>
              </w:rPr>
              <w:t>recall-any (95 % CI)</w:t>
            </w:r>
          </w:p>
        </w:tc>
        <w:tc>
          <w:tcPr>
            <w:tcW w:type="dxa" w:w="1512"/>
            <w:shd w:val="clear" w:fill="F2F2F2"/>
          </w:tcPr>
          <w:p>
            <w:pPr>
              <w:spacing w:line="240" w:lineRule="auto" w:after="0" w:before="0"/>
            </w:pPr>
            <w:r>
              <w:rPr>
                <w:b/>
              </w:rPr>
            </w:r>
            <w:r>
              <w:rPr>
                <w:b/>
                <w:sz w:val="16"/>
              </w:rPr>
              <w:t>P2 (external LLM corpus) n</w:t>
            </w:r>
          </w:p>
        </w:tc>
        <w:tc>
          <w:tcPr>
            <w:tcW w:type="dxa" w:w="1512"/>
            <w:shd w:val="clear" w:fill="F2F2F2"/>
          </w:tcPr>
          <w:p>
            <w:pPr>
              <w:spacing w:line="240" w:lineRule="auto" w:after="0" w:before="0"/>
            </w:pPr>
            <w:r>
              <w:rPr>
                <w:b/>
              </w:rPr>
            </w:r>
            <w:r>
              <w:rPr>
                <w:b/>
                <w:sz w:val="16"/>
              </w:rPr>
              <w:t>recall-any (95 % CI)</w:t>
            </w:r>
          </w:p>
        </w:tc>
        <w:tc>
          <w:tcPr>
            <w:tcW w:type="dxa" w:w="1512"/>
            <w:shd w:val="clear" w:fill="F2F2F2"/>
          </w:tcPr>
          <w:p>
            <w:pPr>
              <w:spacing w:line="240" w:lineRule="auto" w:after="0" w:before="0"/>
            </w:pPr>
            <w:r>
              <w:rPr>
                <w:b/>
              </w:rPr>
            </w:r>
            <w:r>
              <w:rPr>
                <w:b/>
                <w:sz w:val="16"/>
              </w:rPr>
              <w:t>fired</w:t>
            </w:r>
          </w:p>
        </w:tc>
      </w:tr>
      <w:tr>
        <w:trPr>
          <w:cantSplit/>
        </w:trPr>
        <w:tc>
          <w:tcPr>
            <w:tcW w:type="dxa" w:w="1512"/>
          </w:tcPr>
          <w:p>
            <w:pPr>
              <w:spacing w:line="240" w:lineRule="auto" w:after="0" w:before="0"/>
            </w:pPr>
            <w:r/>
            <w:r>
              <w:rPr>
                <w:sz w:val="16"/>
              </w:rPr>
              <w:t>H1 population gate removed</w:t>
            </w:r>
          </w:p>
        </w:tc>
        <w:tc>
          <w:tcPr>
            <w:tcW w:type="dxa" w:w="1512"/>
          </w:tcPr>
          <w:p>
            <w:pPr>
              <w:spacing w:line="240" w:lineRule="auto" w:after="0" w:before="0"/>
            </w:pPr>
            <w:r/>
            <w:r>
              <w:rPr>
                <w:sz w:val="16"/>
              </w:rPr>
              <w:t>300</w:t>
            </w:r>
          </w:p>
        </w:tc>
        <w:tc>
          <w:tcPr>
            <w:tcW w:type="dxa" w:w="1512"/>
          </w:tcPr>
          <w:p>
            <w:pPr>
              <w:spacing w:line="240" w:lineRule="auto" w:after="0" w:before="0"/>
            </w:pPr>
            <w:r/>
            <w:r>
              <w:rPr>
                <w:sz w:val="16"/>
              </w:rPr>
              <w:t>0.000 (0.000–0.013)</w:t>
            </w:r>
          </w:p>
        </w:tc>
        <w:tc>
          <w:tcPr>
            <w:tcW w:type="dxa" w:w="1512"/>
          </w:tcPr>
          <w:p>
            <w:pPr>
              <w:spacing w:line="240" w:lineRule="auto" w:after="0" w:before="0"/>
            </w:pPr>
            <w:r/>
            <w:r>
              <w:rPr>
                <w:sz w:val="16"/>
              </w:rPr>
              <w:t>400</w:t>
            </w:r>
          </w:p>
        </w:tc>
        <w:tc>
          <w:tcPr>
            <w:tcW w:type="dxa" w:w="1512"/>
          </w:tcPr>
          <w:p>
            <w:pPr>
              <w:spacing w:line="240" w:lineRule="auto" w:after="0" w:before="0"/>
            </w:pPr>
            <w:r/>
            <w:r>
              <w:rPr>
                <w:sz w:val="16"/>
              </w:rPr>
              <w:t>0.000 (0.000–0.010)</w:t>
            </w:r>
          </w:p>
        </w:tc>
        <w:tc>
          <w:tcPr>
            <w:tcW w:type="dxa" w:w="1512"/>
          </w:tcPr>
          <w:p>
            <w:pPr>
              <w:spacing w:line="240" w:lineRule="auto" w:after="0" w:before="0"/>
            </w:pPr>
            <w:r/>
            <w:r>
              <w:rPr>
                <w:sz w:val="16"/>
              </w:rPr>
              <w:t>—</w:t>
            </w:r>
          </w:p>
        </w:tc>
      </w:tr>
      <w:tr>
        <w:trPr>
          <w:cantSplit/>
        </w:trPr>
        <w:tc>
          <w:tcPr>
            <w:tcW w:type="dxa" w:w="1512"/>
          </w:tcPr>
          <w:p>
            <w:pPr>
              <w:spacing w:line="240" w:lineRule="auto" w:after="0" w:before="0"/>
            </w:pPr>
            <w:r/>
            <w:r>
              <w:rPr>
                <w:sz w:val="16"/>
              </w:rPr>
              <w:t>H2 same-domain source swap</w:t>
            </w:r>
          </w:p>
        </w:tc>
        <w:tc>
          <w:tcPr>
            <w:tcW w:type="dxa" w:w="1512"/>
          </w:tcPr>
          <w:p>
            <w:pPr>
              <w:spacing w:line="240" w:lineRule="auto" w:after="0" w:before="0"/>
            </w:pPr>
            <w:r/>
            <w:r>
              <w:rPr>
                <w:sz w:val="16"/>
              </w:rPr>
              <w:t>142</w:t>
            </w:r>
          </w:p>
        </w:tc>
        <w:tc>
          <w:tcPr>
            <w:tcW w:type="dxa" w:w="1512"/>
          </w:tcPr>
          <w:p>
            <w:pPr>
              <w:spacing w:line="240" w:lineRule="auto" w:after="0" w:before="0"/>
            </w:pPr>
            <w:r/>
            <w:r>
              <w:rPr>
                <w:sz w:val="16"/>
              </w:rPr>
              <w:t>0.014 (0.004–0.050)</w:t>
            </w:r>
          </w:p>
        </w:tc>
        <w:tc>
          <w:tcPr>
            <w:tcW w:type="dxa" w:w="1512"/>
          </w:tcPr>
          <w:p>
            <w:pPr>
              <w:spacing w:line="240" w:lineRule="auto" w:after="0" w:before="0"/>
            </w:pPr>
            <w:r/>
            <w:r>
              <w:rPr>
                <w:sz w:val="16"/>
              </w:rPr>
              <w:t>280</w:t>
            </w:r>
          </w:p>
        </w:tc>
        <w:tc>
          <w:tcPr>
            <w:tcW w:type="dxa" w:w="1512"/>
          </w:tcPr>
          <w:p>
            <w:pPr>
              <w:spacing w:line="240" w:lineRule="auto" w:after="0" w:before="0"/>
            </w:pPr>
            <w:r/>
            <w:r>
              <w:rPr>
                <w:sz w:val="16"/>
              </w:rPr>
              <w:t>0.018 (0.008–0.041)</w:t>
            </w:r>
          </w:p>
        </w:tc>
        <w:tc>
          <w:tcPr>
            <w:tcW w:type="dxa" w:w="1512"/>
          </w:tcPr>
          <w:p>
            <w:pPr>
              <w:spacing w:line="240" w:lineRule="auto" w:after="0" w:before="0"/>
            </w:pPr>
            <w:r/>
            <w:r>
              <w:rPr>
                <w:sz w:val="16"/>
              </w:rPr>
              <w:t>src</w:t>
            </w:r>
          </w:p>
        </w:tc>
      </w:tr>
      <w:tr>
        <w:trPr>
          <w:cantSplit/>
        </w:trPr>
        <w:tc>
          <w:tcPr>
            <w:tcW w:type="dxa" w:w="1512"/>
          </w:tcPr>
          <w:p>
            <w:pPr>
              <w:spacing w:line="240" w:lineRule="auto" w:after="0" w:before="0"/>
            </w:pPr>
            <w:r/>
            <w:r>
              <w:rPr>
                <w:sz w:val="16"/>
              </w:rPr>
              <w:t>H3 contradictory conjunction</w:t>
            </w:r>
          </w:p>
        </w:tc>
        <w:tc>
          <w:tcPr>
            <w:tcW w:type="dxa" w:w="1512"/>
          </w:tcPr>
          <w:p>
            <w:pPr>
              <w:spacing w:line="240" w:lineRule="auto" w:after="0" w:before="0"/>
            </w:pPr>
            <w:r/>
            <w:r>
              <w:rPr>
                <w:sz w:val="16"/>
              </w:rPr>
              <w:t>255</w:t>
            </w:r>
          </w:p>
        </w:tc>
        <w:tc>
          <w:tcPr>
            <w:tcW w:type="dxa" w:w="1512"/>
          </w:tcPr>
          <w:p>
            <w:pPr>
              <w:spacing w:line="240" w:lineRule="auto" w:after="0" w:before="0"/>
            </w:pPr>
            <w:r/>
            <w:r>
              <w:rPr>
                <w:sz w:val="16"/>
              </w:rPr>
              <w:t>0.000 (0.000–0.015)</w:t>
            </w:r>
          </w:p>
        </w:tc>
        <w:tc>
          <w:tcPr>
            <w:tcW w:type="dxa" w:w="1512"/>
          </w:tcPr>
          <w:p>
            <w:pPr>
              <w:spacing w:line="240" w:lineRule="auto" w:after="0" w:before="0"/>
            </w:pPr>
            <w:r/>
            <w:r>
              <w:rPr>
                <w:sz w:val="16"/>
              </w:rPr>
              <w:t>400</w:t>
            </w:r>
          </w:p>
        </w:tc>
        <w:tc>
          <w:tcPr>
            <w:tcW w:type="dxa" w:w="1512"/>
          </w:tcPr>
          <w:p>
            <w:pPr>
              <w:spacing w:line="240" w:lineRule="auto" w:after="0" w:before="0"/>
            </w:pPr>
            <w:r/>
            <w:r>
              <w:rPr>
                <w:sz w:val="16"/>
              </w:rPr>
              <w:t>0.000 (0.000–0.010)</w:t>
            </w:r>
          </w:p>
        </w:tc>
        <w:tc>
          <w:tcPr>
            <w:tcW w:type="dxa" w:w="1512"/>
          </w:tcPr>
          <w:p>
            <w:pPr>
              <w:spacing w:line="240" w:lineRule="auto" w:after="0" w:before="0"/>
            </w:pPr>
            <w:r/>
            <w:r>
              <w:rPr>
                <w:sz w:val="16"/>
              </w:rPr>
              <w:t>—</w:t>
            </w:r>
          </w:p>
        </w:tc>
      </w:tr>
      <w:tr>
        <w:trPr>
          <w:cantSplit/>
        </w:trPr>
        <w:tc>
          <w:tcPr>
            <w:tcW w:type="dxa" w:w="1512"/>
          </w:tcPr>
          <w:p>
            <w:pPr>
              <w:spacing w:line="240" w:lineRule="auto" w:after="0" w:before="0"/>
            </w:pPr>
            <w:r/>
            <w:r>
              <w:rPr>
                <w:sz w:val="16"/>
              </w:rPr>
              <w:t>H5 threshold ±20 %</w:t>
            </w:r>
          </w:p>
        </w:tc>
        <w:tc>
          <w:tcPr>
            <w:tcW w:type="dxa" w:w="1512"/>
          </w:tcPr>
          <w:p>
            <w:pPr>
              <w:spacing w:line="240" w:lineRule="auto" w:after="0" w:before="0"/>
            </w:pPr>
            <w:r/>
            <w:r>
              <w:rPr>
                <w:sz w:val="16"/>
              </w:rPr>
              <w:t>300</w:t>
            </w:r>
          </w:p>
        </w:tc>
        <w:tc>
          <w:tcPr>
            <w:tcW w:type="dxa" w:w="1512"/>
          </w:tcPr>
          <w:p>
            <w:pPr>
              <w:spacing w:line="240" w:lineRule="auto" w:after="0" w:before="0"/>
            </w:pPr>
            <w:r/>
            <w:r>
              <w:rPr>
                <w:sz w:val="16"/>
              </w:rPr>
              <w:t>0.003 (0.001–0.019)</w:t>
            </w:r>
          </w:p>
        </w:tc>
        <w:tc>
          <w:tcPr>
            <w:tcW w:type="dxa" w:w="1512"/>
          </w:tcPr>
          <w:p>
            <w:pPr>
              <w:spacing w:line="240" w:lineRule="auto" w:after="0" w:before="0"/>
            </w:pPr>
            <w:r/>
            <w:r>
              <w:rPr>
                <w:sz w:val="16"/>
              </w:rPr>
              <w:t>400</w:t>
            </w:r>
          </w:p>
        </w:tc>
        <w:tc>
          <w:tcPr>
            <w:tcW w:type="dxa" w:w="1512"/>
          </w:tcPr>
          <w:p>
            <w:pPr>
              <w:spacing w:line="240" w:lineRule="auto" w:after="0" w:before="0"/>
            </w:pPr>
            <w:r/>
            <w:r>
              <w:rPr>
                <w:sz w:val="16"/>
              </w:rPr>
              <w:t>0.010 (0.004–0.025)</w:t>
            </w:r>
          </w:p>
        </w:tc>
        <w:tc>
          <w:tcPr>
            <w:tcW w:type="dxa" w:w="1512"/>
          </w:tcPr>
          <w:p>
            <w:pPr>
              <w:spacing w:line="240" w:lineRule="auto" w:after="0" w:before="0"/>
            </w:pPr>
            <w:r/>
            <w:r>
              <w:rPr>
                <w:sz w:val="16"/>
              </w:rPr>
              <w:t>r9, pop</w:t>
            </w:r>
          </w:p>
        </w:tc>
      </w:tr>
      <w:tr>
        <w:trPr>
          <w:cantSplit/>
        </w:trPr>
        <w:tc>
          <w:tcPr>
            <w:tcW w:type="dxa" w:w="1512"/>
          </w:tcPr>
          <w:p>
            <w:pPr>
              <w:spacing w:line="240" w:lineRule="auto" w:after="0" w:before="0"/>
            </w:pPr>
            <w:r/>
            <w:r>
              <w:rPr>
                <w:sz w:val="16"/>
              </w:rPr>
              <w:t>H6 decimal error ×10/÷10</w:t>
            </w:r>
          </w:p>
        </w:tc>
        <w:tc>
          <w:tcPr>
            <w:tcW w:type="dxa" w:w="1512"/>
          </w:tcPr>
          <w:p>
            <w:pPr>
              <w:spacing w:line="240" w:lineRule="auto" w:after="0" w:before="0"/>
            </w:pPr>
            <w:r/>
            <w:r>
              <w:rPr>
                <w:sz w:val="16"/>
              </w:rPr>
              <w:t>300</w:t>
            </w:r>
          </w:p>
        </w:tc>
        <w:tc>
          <w:tcPr>
            <w:tcW w:type="dxa" w:w="1512"/>
          </w:tcPr>
          <w:p>
            <w:pPr>
              <w:spacing w:line="240" w:lineRule="auto" w:after="0" w:before="0"/>
            </w:pPr>
            <w:r/>
            <w:r>
              <w:rPr>
                <w:sz w:val="16"/>
              </w:rPr>
              <w:t>0.127 (0.094–0.169)</w:t>
            </w:r>
          </w:p>
        </w:tc>
        <w:tc>
          <w:tcPr>
            <w:tcW w:type="dxa" w:w="1512"/>
          </w:tcPr>
          <w:p>
            <w:pPr>
              <w:spacing w:line="240" w:lineRule="auto" w:after="0" w:before="0"/>
            </w:pPr>
            <w:r/>
            <w:r>
              <w:rPr>
                <w:sz w:val="16"/>
              </w:rPr>
              <w:t>400</w:t>
            </w:r>
          </w:p>
        </w:tc>
        <w:tc>
          <w:tcPr>
            <w:tcW w:type="dxa" w:w="1512"/>
          </w:tcPr>
          <w:p>
            <w:pPr>
              <w:spacing w:line="240" w:lineRule="auto" w:after="0" w:before="0"/>
            </w:pPr>
            <w:r/>
            <w:r>
              <w:rPr>
                <w:sz w:val="16"/>
              </w:rPr>
              <w:t>0.155 (0.123–0.194)</w:t>
            </w:r>
          </w:p>
        </w:tc>
        <w:tc>
          <w:tcPr>
            <w:tcW w:type="dxa" w:w="1512"/>
          </w:tcPr>
          <w:p>
            <w:pPr>
              <w:spacing w:line="240" w:lineRule="auto" w:after="0" w:before="0"/>
            </w:pPr>
            <w:r/>
            <w:r>
              <w:rPr>
                <w:sz w:val="16"/>
              </w:rPr>
              <w:t>r9, dir, r7</w:t>
            </w:r>
          </w:p>
        </w:tc>
      </w:tr>
      <w:tr>
        <w:trPr>
          <w:cantSplit/>
        </w:trPr>
        <w:tc>
          <w:tcPr>
            <w:tcW w:type="dxa" w:w="1512"/>
          </w:tcPr>
          <w:p>
            <w:pPr>
              <w:spacing w:line="240" w:lineRule="auto" w:after="0" w:before="0"/>
            </w:pPr>
            <w:r/>
            <w:r>
              <w:rPr>
                <w:sz w:val="16"/>
              </w:rPr>
              <w:t>H7 unit swap, value unchanged (cf. M4 0.743)</w:t>
            </w:r>
          </w:p>
        </w:tc>
        <w:tc>
          <w:tcPr>
            <w:tcW w:type="dxa" w:w="1512"/>
          </w:tcPr>
          <w:p>
            <w:pPr>
              <w:spacing w:line="240" w:lineRule="auto" w:after="0" w:before="0"/>
            </w:pPr>
            <w:r/>
            <w:r>
              <w:rPr>
                <w:sz w:val="16"/>
              </w:rPr>
              <w:t>108</w:t>
            </w:r>
          </w:p>
        </w:tc>
        <w:tc>
          <w:tcPr>
            <w:tcW w:type="dxa" w:w="1512"/>
          </w:tcPr>
          <w:p>
            <w:pPr>
              <w:spacing w:line="240" w:lineRule="auto" w:after="0" w:before="0"/>
            </w:pPr>
            <w:r/>
            <w:r>
              <w:rPr>
                <w:sz w:val="16"/>
              </w:rPr>
              <w:t>0.806 (0.721–0.869)</w:t>
            </w:r>
          </w:p>
        </w:tc>
        <w:tc>
          <w:tcPr>
            <w:tcW w:type="dxa" w:w="1512"/>
          </w:tcPr>
          <w:p>
            <w:pPr>
              <w:spacing w:line="240" w:lineRule="auto" w:after="0" w:before="0"/>
            </w:pPr>
            <w:r/>
            <w:r>
              <w:rPr>
                <w:sz w:val="16"/>
              </w:rPr>
              <w:t>158</w:t>
            </w:r>
          </w:p>
        </w:tc>
        <w:tc>
          <w:tcPr>
            <w:tcW w:type="dxa" w:w="1512"/>
          </w:tcPr>
          <w:p>
            <w:pPr>
              <w:spacing w:line="240" w:lineRule="auto" w:after="0" w:before="0"/>
            </w:pPr>
            <w:r/>
            <w:r>
              <w:rPr>
                <w:sz w:val="16"/>
              </w:rPr>
              <w:t>0.696 (0.621–0.763)</w:t>
            </w:r>
          </w:p>
        </w:tc>
        <w:tc>
          <w:tcPr>
            <w:tcW w:type="dxa" w:w="1512"/>
          </w:tcPr>
          <w:p>
            <w:pPr>
              <w:spacing w:line="240" w:lineRule="auto" w:after="0" w:before="0"/>
            </w:pPr>
            <w:r/>
            <w:r>
              <w:rPr>
                <w:sz w:val="16"/>
              </w:rPr>
              <w:t>unit</w:t>
            </w:r>
          </w:p>
        </w:tc>
      </w:tr>
      <w:tr>
        <w:trPr>
          <w:cantSplit/>
        </w:trPr>
        <w:tc>
          <w:tcPr>
            <w:tcW w:type="dxa" w:w="1512"/>
          </w:tcPr>
          <w:p>
            <w:pPr>
              <w:spacing w:line="240" w:lineRule="auto" w:after="0" w:before="0"/>
            </w:pPr>
            <w:r/>
            <w:r>
              <w:rPr>
                <w:sz w:val="16"/>
              </w:rPr>
              <w:t>H8 operator flip (cf. M3 0.131)</w:t>
            </w:r>
          </w:p>
        </w:tc>
        <w:tc>
          <w:tcPr>
            <w:tcW w:type="dxa" w:w="1512"/>
          </w:tcPr>
          <w:p>
            <w:pPr>
              <w:spacing w:line="240" w:lineRule="auto" w:after="0" w:before="0"/>
            </w:pPr>
            <w:r/>
            <w:r>
              <w:rPr>
                <w:sz w:val="16"/>
              </w:rPr>
              <w:t>255</w:t>
            </w:r>
          </w:p>
        </w:tc>
        <w:tc>
          <w:tcPr>
            <w:tcW w:type="dxa" w:w="1512"/>
          </w:tcPr>
          <w:p>
            <w:pPr>
              <w:spacing w:line="240" w:lineRule="auto" w:after="0" w:before="0"/>
            </w:pPr>
            <w:r/>
            <w:r>
              <w:rPr>
                <w:sz w:val="16"/>
              </w:rPr>
              <w:t>0.235 (0.187–0.291)</w:t>
            </w:r>
          </w:p>
        </w:tc>
        <w:tc>
          <w:tcPr>
            <w:tcW w:type="dxa" w:w="1512"/>
          </w:tcPr>
          <w:p>
            <w:pPr>
              <w:spacing w:line="240" w:lineRule="auto" w:after="0" w:before="0"/>
            </w:pPr>
            <w:r/>
            <w:r>
              <w:rPr>
                <w:sz w:val="16"/>
              </w:rPr>
              <w:t>400</w:t>
            </w:r>
          </w:p>
        </w:tc>
        <w:tc>
          <w:tcPr>
            <w:tcW w:type="dxa" w:w="1512"/>
          </w:tcPr>
          <w:p>
            <w:pPr>
              <w:spacing w:line="240" w:lineRule="auto" w:after="0" w:before="0"/>
            </w:pPr>
            <w:r/>
            <w:r>
              <w:rPr>
                <w:sz w:val="16"/>
              </w:rPr>
              <w:t>0.035 (0.021–0.058)</w:t>
            </w:r>
          </w:p>
        </w:tc>
        <w:tc>
          <w:tcPr>
            <w:tcW w:type="dxa" w:w="1512"/>
          </w:tcPr>
          <w:p>
            <w:pPr>
              <w:spacing w:line="240" w:lineRule="auto" w:after="0" w:before="0"/>
            </w:pPr>
            <w:r/>
            <w:r>
              <w:rPr>
                <w:sz w:val="16"/>
              </w:rPr>
              <w:t>dir</w:t>
            </w:r>
          </w:p>
        </w:tc>
      </w:tr>
      <w:tr>
        <w:trPr>
          <w:cantSplit/>
        </w:trPr>
        <w:tc>
          <w:tcPr>
            <w:tcW w:type="dxa" w:w="1512"/>
          </w:tcPr>
          <w:p>
            <w:pPr>
              <w:spacing w:line="240" w:lineRule="auto" w:after="0" w:before="0"/>
            </w:pPr>
            <w:r/>
            <w:r>
              <w:rPr>
                <w:sz w:val="16"/>
              </w:rPr>
              <w:t xml:space="preserve">H4 benign conversion — </w:t>
            </w:r>
            <w:r>
              <w:rPr>
                <w:i/>
                <w:sz w:val="16"/>
              </w:rPr>
              <w:t>specificity</w:t>
            </w:r>
          </w:p>
        </w:tc>
        <w:tc>
          <w:tcPr>
            <w:tcW w:type="dxa" w:w="1512"/>
          </w:tcPr>
          <w:p>
            <w:pPr>
              <w:spacing w:line="240" w:lineRule="auto" w:after="0" w:before="0"/>
            </w:pPr>
            <w:r/>
            <w:r>
              <w:rPr>
                <w:sz w:val="16"/>
              </w:rPr>
              <w:t>25</w:t>
            </w:r>
          </w:p>
        </w:tc>
        <w:tc>
          <w:tcPr>
            <w:tcW w:type="dxa" w:w="1512"/>
          </w:tcPr>
          <w:p>
            <w:pPr>
              <w:spacing w:line="240" w:lineRule="auto" w:after="0" w:before="0"/>
            </w:pPr>
            <w:r/>
            <w:r>
              <w:rPr>
                <w:sz w:val="16"/>
              </w:rPr>
              <w:t>1.000 unflagged (0.867–1.000)</w:t>
            </w:r>
          </w:p>
        </w:tc>
        <w:tc>
          <w:tcPr>
            <w:tcW w:type="dxa" w:w="1512"/>
          </w:tcPr>
          <w:p>
            <w:pPr>
              <w:spacing w:line="240" w:lineRule="auto" w:after="0" w:before="0"/>
            </w:pPr>
            <w:r/>
            <w:r>
              <w:rPr>
                <w:sz w:val="16"/>
              </w:rPr>
              <w:t>107</w:t>
            </w:r>
          </w:p>
        </w:tc>
        <w:tc>
          <w:tcPr>
            <w:tcW w:type="dxa" w:w="1512"/>
          </w:tcPr>
          <w:p>
            <w:pPr>
              <w:spacing w:line="240" w:lineRule="auto" w:after="0" w:before="0"/>
            </w:pPr>
            <w:r/>
            <w:r>
              <w:rPr>
                <w:sz w:val="16"/>
              </w:rPr>
              <w:t>1.000 unflagged (0.965–1.000)</w:t>
            </w:r>
          </w:p>
        </w:tc>
        <w:tc>
          <w:tcPr>
            <w:tcW w:type="dxa" w:w="1512"/>
          </w:tcPr>
          <w:p>
            <w:pPr>
              <w:spacing w:line="240" w:lineRule="auto" w:after="0" w:before="0"/>
            </w:pPr>
            <w:r/>
            <w:r>
              <w:rPr>
                <w:sz w:val="16"/>
              </w:rPr>
              <w:t>—</w:t>
            </w:r>
          </w:p>
        </w:tc>
      </w:tr>
      <w:tr>
        <w:trPr>
          <w:cantSplit/>
        </w:trPr>
        <w:tc>
          <w:tcPr>
            <w:tcW w:type="dxa" w:w="1512"/>
          </w:tcPr>
          <w:p>
            <w:pPr>
              <w:spacing w:line="240" w:lineRule="auto" w:after="0" w:before="0"/>
            </w:pPr>
            <w:r/>
            <w:r>
              <w:rPr>
                <w:sz w:val="16"/>
              </w:rPr>
              <w:t>unmutated seeds unflagged</w:t>
            </w:r>
          </w:p>
        </w:tc>
        <w:tc>
          <w:tcPr>
            <w:tcW w:type="dxa" w:w="1512"/>
          </w:tcPr>
          <w:p>
            <w:pPr>
              <w:spacing w:line="240" w:lineRule="auto" w:after="0" w:before="0"/>
            </w:pPr>
            <w:r/>
            <w:r>
              <w:rPr>
                <w:sz w:val="16"/>
              </w:rPr>
              <w:t>300</w:t>
            </w:r>
          </w:p>
        </w:tc>
        <w:tc>
          <w:tcPr>
            <w:tcW w:type="dxa" w:w="1512"/>
          </w:tcPr>
          <w:p>
            <w:pPr>
              <w:spacing w:line="240" w:lineRule="auto" w:after="0" w:before="0"/>
            </w:pPr>
            <w:r/>
            <w:r>
              <w:rPr>
                <w:sz w:val="16"/>
              </w:rPr>
              <w:t>0.987 (0.966–0.995)</w:t>
            </w:r>
          </w:p>
        </w:tc>
        <w:tc>
          <w:tcPr>
            <w:tcW w:type="dxa" w:w="1512"/>
          </w:tcPr>
          <w:p>
            <w:pPr>
              <w:spacing w:line="240" w:lineRule="auto" w:after="0" w:before="0"/>
            </w:pPr>
            <w:r/>
            <w:r>
              <w:rPr>
                <w:sz w:val="16"/>
              </w:rPr>
              <w:t>400</w:t>
            </w:r>
          </w:p>
        </w:tc>
        <w:tc>
          <w:tcPr>
            <w:tcW w:type="dxa" w:w="1512"/>
          </w:tcPr>
          <w:p>
            <w:pPr>
              <w:spacing w:line="240" w:lineRule="auto" w:after="0" w:before="0"/>
            </w:pPr>
            <w:r/>
            <w:r>
              <w:rPr>
                <w:sz w:val="16"/>
              </w:rPr>
              <w:t>0.875 (0.839–0.904)</w:t>
            </w:r>
          </w:p>
        </w:tc>
        <w:tc>
          <w:tcPr>
            <w:tcW w:type="dxa" w:w="1512"/>
          </w:tcPr>
          <w:p>
            <w:pPr>
              <w:spacing w:line="240" w:lineRule="auto" w:after="0" w:before="0"/>
            </w:pPr>
            <w:r/>
            <w:r>
              <w:rPr>
                <w:sz w:val="16"/>
              </w:rPr>
              <w:t>(P2: the Note 17 findings)</w:t>
            </w:r>
          </w:p>
        </w:tc>
      </w:tr>
    </w:tbl>
    <w:p/>
    <w:p>
      <w:r>
        <w:rPr>
          <w:b/>
        </w:rPr>
        <w:t>Reading.</w:t>
      </w:r>
      <w:r>
        <w:t xml:space="preserve"> (i) For the two families with a Note 16 analogue, recall on held-out material was within or above the in-sample figure for unit swaps (0.81 and 0.70 against 0.74) and, for operator flips, higher on P1 (0.24) but much lower on the external corpus (0.035 against 0.13): the direction detector depends on an entity having at least three other rules on the same analyte, which the 2-rules-per-entity LLM corpus almost never provides. The operator-flip recall of Note 16 should therefore be read as an upper bound for sparse registries. (ii) The decimal-place family, not anticipated when the detectors were written, is caught in only 13–16 % of cases, because a ×10 error leaves most thresholds inside the wide physiological bounds the detectors use. (iii) H1, H2, H3 and H5 are at or near zero in both pools, as pre-stated; removing a population gate, citing a plausible but wrong source, encoding an unsatisfiable conjunction and shifting a threshold by 20 % are invisible to the static layer. These are the defect classes that only the source-concordance audit (Notes 8, 15, 19) can reach, and three of them are exactly the classes found there. (iv) The benign-conversion probe was never flagged, so the unit detector responds to inconsistency, not to the mere presence of a non-canonical unit. No detector was changed in response to these results.</w:t>
      </w:r>
    </w:p>
    <w:p>
      <w:r>
        <w:t>Scripts and inputs: Table S17.</w:t>
      </w:r>
    </w:p>
    <w:p>
      <w:pPr>
        <w:pStyle w:val="Heading1"/>
      </w:pPr>
      <w:r>
        <w:rPr>
          <w:rFonts w:ascii="Times New Roman" w:hAnsi="Times New Roman" w:eastAsia="Times New Roman" w:cs="Times New Roman"/>
          <w:b/>
          <w:i w:val="0"/>
          <w:color w:val="000000"/>
        </w:rPr>
        <w:t>Supplementary Note 21 — Clean-environment reproduction of the frozen results (one command; log of the authors' run)</w:t>
      </w:r>
    </w:p>
    <w:p>
      <w:r>
        <w:rPr>
          <w:b/>
        </w:rPr>
        <w:t>What was done.</w:t>
      </w:r>
      <w:r>
        <w:t xml:space="preserve"> The repository was cloned into an empty directory on a fresh machine image (Python 3.13, 2 vCPU, 2 GB RAM, no GPU) and </w:t>
      </w:r>
      <w:r>
        <w:rPr>
          <w:rFonts w:ascii="Courier New" w:hAnsi="Courier New" w:eastAsia="Courier New" w:cs="Courier New"/>
          <w:color w:val="000000"/>
          <w:sz w:val="22"/>
        </w:rPr>
        <w:t>bash reproduce.sh</w:t>
      </w:r>
      <w:r>
        <w:t xml:space="preserve"> was run in its </w:t>
      </w:r>
      <w:r>
        <w:rPr>
          <w:rFonts w:ascii="Courier New" w:hAnsi="Courier New" w:eastAsia="Courier New" w:cs="Courier New"/>
          <w:color w:val="000000"/>
          <w:sz w:val="22"/>
        </w:rPr>
        <w:t>quick</w:t>
      </w:r>
      <w:r>
        <w:t xml:space="preserve">, </w:t>
      </w:r>
      <w:r>
        <w:rPr>
          <w:rFonts w:ascii="Courier New" w:hAnsi="Courier New" w:eastAsia="Courier New" w:cs="Courier New"/>
          <w:color w:val="000000"/>
          <w:sz w:val="22"/>
        </w:rPr>
        <w:t>v7</w:t>
      </w:r>
      <w:r>
        <w:t xml:space="preserve"> and </w:t>
      </w:r>
      <w:r>
        <w:rPr>
          <w:rFonts w:ascii="Courier New" w:hAnsi="Courier New" w:eastAsia="Courier New" w:cs="Courier New"/>
          <w:color w:val="000000"/>
          <w:sz w:val="22"/>
        </w:rPr>
        <w:t>eicu</w:t>
      </w:r>
      <w:r>
        <w:t xml:space="preserve"> modes. The script (i) rebuilds engine v7 from the git tag </w:t>
      </w:r>
      <w:r>
        <w:rPr>
          <w:rFonts w:ascii="Courier New" w:hAnsi="Courier New" w:eastAsia="Courier New" w:cs="Courier New"/>
          <w:color w:val="000000"/>
          <w:sz w:val="22"/>
        </w:rPr>
        <w:t>engine-v7-frozen</w:t>
      </w:r>
      <w:r>
        <w:t xml:space="preserve"> and registry 14.1.0 into a separate directory and checks every file against the freeze manifest, (ii) runs the 729 tests including the property-based invariants and the LabPanel-Check reference cards, (iii) rebuilds the verification ledger (Note 18) and the mutation table (Note 16) from the committed frozen inputs and requires them to be identical to the committed outputs, (iv) runs the frozen v7 engine on NHANES 2017–18 (downloaded from CDC by the script) and (v) on the eICU-CRD demo (PhysioNet CSVs supplied by the user), and compares the headline numbers with the frozen reports of Tables 3 and 4 by exact string match, failing on any difference. The full log of this run is </w:t>
      </w:r>
      <w:r>
        <w:rPr>
          <w:rFonts w:ascii="Courier New" w:hAnsi="Courier New" w:eastAsia="Courier New" w:cs="Courier New"/>
          <w:color w:val="000000"/>
          <w:sz w:val="22"/>
        </w:rPr>
        <w:t>REPRODUCTION_LOG.md</w:t>
      </w:r>
      <w:r>
        <w:t xml:space="preserve"> in the repository.</w:t>
      </w:r>
    </w:p>
    <w:p>
      <w:r>
        <w:rPr>
          <w:b/>
        </w:rPr>
        <w:t>Results.</w:t>
      </w:r>
    </w:p>
    <w:tbl>
      <w:tblPr>
        <w:tblStyle w:val="TableGrid"/>
        <w:tblW w:type="auto" w:w="0"/>
        <w:jc w:val="center"/>
        <w:tblLook w:firstColumn="1" w:firstRow="1" w:lastColumn="0" w:lastRow="0" w:noHBand="0" w:noVBand="1" w:val="04A0"/>
      </w:tblPr>
      <w:tblGrid>
        <w:gridCol w:w="3024"/>
        <w:gridCol w:w="3024"/>
        <w:gridCol w:w="3024"/>
      </w:tblGrid>
      <w:tr>
        <w:trPr>
          <w:cantSplit/>
          <w:tblHeader/>
        </w:trPr>
        <w:tc>
          <w:tcPr>
            <w:tcW w:type="dxa" w:w="3024"/>
            <w:shd w:val="clear" w:fill="F2F2F2"/>
          </w:tcPr>
          <w:p>
            <w:pPr>
              <w:spacing w:line="240" w:lineRule="auto" w:after="0" w:before="0"/>
            </w:pPr>
            <w:r>
              <w:rPr>
                <w:b/>
              </w:rPr>
            </w:r>
            <w:r>
              <w:rPr>
                <w:b/>
                <w:sz w:val="16"/>
              </w:rPr>
              <w:t>step</w:t>
            </w:r>
          </w:p>
        </w:tc>
        <w:tc>
          <w:tcPr>
            <w:tcW w:type="dxa" w:w="3024"/>
            <w:shd w:val="clear" w:fill="F2F2F2"/>
          </w:tcPr>
          <w:p>
            <w:pPr>
              <w:spacing w:line="240" w:lineRule="auto" w:after="0" w:before="0"/>
            </w:pPr>
            <w:r>
              <w:rPr>
                <w:b/>
              </w:rPr>
            </w:r>
            <w:r>
              <w:rPr>
                <w:b/>
                <w:sz w:val="16"/>
              </w:rPr>
              <w:t>outcome</w:t>
            </w:r>
          </w:p>
        </w:tc>
        <w:tc>
          <w:tcPr>
            <w:tcW w:type="dxa" w:w="3024"/>
            <w:shd w:val="clear" w:fill="F2F2F2"/>
          </w:tcPr>
          <w:p>
            <w:pPr>
              <w:spacing w:line="240" w:lineRule="auto" w:after="0" w:before="0"/>
            </w:pPr>
            <w:r>
              <w:rPr>
                <w:b/>
              </w:rPr>
            </w:r>
            <w:r>
              <w:rPr>
                <w:b/>
                <w:sz w:val="16"/>
              </w:rPr>
              <w:t>time</w:t>
            </w:r>
          </w:p>
        </w:tc>
      </w:tr>
      <w:tr>
        <w:trPr>
          <w:cantSplit/>
        </w:trPr>
        <w:tc>
          <w:tcPr>
            <w:tcW w:type="dxa" w:w="3024"/>
          </w:tcPr>
          <w:p>
            <w:pPr>
              <w:spacing w:line="240" w:lineRule="auto" w:after="0" w:before="0"/>
            </w:pPr>
            <w:r/>
            <w:r>
              <w:rPr>
                <w:sz w:val="16"/>
              </w:rPr>
              <w:t xml:space="preserve">0 integrity (freeze manifest; three registry </w:t>
            </w:r>
            <w:r>
              <w:rPr>
                <w:rFonts w:ascii="Courier New" w:hAnsi="Courier New" w:eastAsia="Courier New" w:cs="Courier New"/>
                <w:color w:val="000000"/>
                <w:sz w:val="16"/>
              </w:rPr>
              <w:t>SHA256SUMS</w:t>
            </w:r>
            <w:r>
              <w:rPr>
                <w:sz w:val="16"/>
              </w:rPr>
              <w:t>)</w:t>
            </w:r>
          </w:p>
        </w:tc>
        <w:tc>
          <w:tcPr>
            <w:tcW w:type="dxa" w:w="3024"/>
          </w:tcPr>
          <w:p>
            <w:pPr>
              <w:spacing w:line="240" w:lineRule="auto" w:after="0" w:before="0"/>
            </w:pPr>
            <w:r/>
            <w:r>
              <w:rPr>
                <w:sz w:val="16"/>
              </w:rPr>
              <w:t>PASS; feature registry reported as a documented difference (below)</w:t>
            </w:r>
          </w:p>
        </w:tc>
        <w:tc>
          <w:tcPr>
            <w:tcW w:type="dxa" w:w="3024"/>
          </w:tcPr>
          <w:p>
            <w:pPr>
              <w:spacing w:line="240" w:lineRule="auto" w:after="0" w:before="0"/>
            </w:pPr>
            <w:r/>
            <w:r>
              <w:rPr>
                <w:sz w:val="16"/>
              </w:rPr>
              <w:t>seconds</w:t>
            </w:r>
          </w:p>
        </w:tc>
      </w:tr>
      <w:tr>
        <w:trPr>
          <w:cantSplit/>
        </w:trPr>
        <w:tc>
          <w:tcPr>
            <w:tcW w:type="dxa" w:w="3024"/>
          </w:tcPr>
          <w:p>
            <w:pPr>
              <w:spacing w:line="240" w:lineRule="auto" w:after="0" w:before="0"/>
            </w:pPr>
            <w:r/>
            <w:r>
              <w:rPr>
                <w:sz w:val="16"/>
              </w:rPr>
              <w:t>1 tests</w:t>
            </w:r>
          </w:p>
        </w:tc>
        <w:tc>
          <w:tcPr>
            <w:tcW w:type="dxa" w:w="3024"/>
          </w:tcPr>
          <w:p>
            <w:pPr>
              <w:spacing w:line="240" w:lineRule="auto" w:after="0" w:before="0"/>
            </w:pPr>
            <w:r/>
            <w:r>
              <w:rPr>
                <w:sz w:val="16"/>
              </w:rPr>
              <w:t>720 passed, 9 skipped</w:t>
            </w:r>
          </w:p>
        </w:tc>
        <w:tc>
          <w:tcPr>
            <w:tcW w:type="dxa" w:w="3024"/>
          </w:tcPr>
          <w:p>
            <w:pPr>
              <w:spacing w:line="240" w:lineRule="auto" w:after="0" w:before="0"/>
            </w:pPr>
            <w:r/>
            <w:r>
              <w:rPr>
                <w:sz w:val="16"/>
              </w:rPr>
              <w:t>6 min</w:t>
            </w:r>
          </w:p>
        </w:tc>
      </w:tr>
      <w:tr>
        <w:trPr>
          <w:cantSplit/>
        </w:trPr>
        <w:tc>
          <w:tcPr>
            <w:tcW w:type="dxa" w:w="3024"/>
          </w:tcPr>
          <w:p>
            <w:pPr>
              <w:spacing w:line="240" w:lineRule="auto" w:after="0" w:before="0"/>
            </w:pPr>
            <w:r/>
            <w:r>
              <w:rPr>
                <w:sz w:val="16"/>
              </w:rPr>
              <w:t>2 verification ledger rebuilt</w:t>
            </w:r>
          </w:p>
        </w:tc>
        <w:tc>
          <w:tcPr>
            <w:tcW w:type="dxa" w:w="3024"/>
          </w:tcPr>
          <w:p>
            <w:pPr>
              <w:spacing w:line="240" w:lineRule="auto" w:after="0" w:before="0"/>
            </w:pPr>
            <w:r/>
            <w:r>
              <w:rPr>
                <w:sz w:val="16"/>
              </w:rPr>
              <w:t>identical to the committed Note 18 counts</w:t>
            </w:r>
          </w:p>
        </w:tc>
        <w:tc>
          <w:tcPr>
            <w:tcW w:type="dxa" w:w="3024"/>
          </w:tcPr>
          <w:p>
            <w:pPr>
              <w:spacing w:line="240" w:lineRule="auto" w:after="0" w:before="0"/>
            </w:pPr>
            <w:r/>
            <w:r>
              <w:rPr>
                <w:sz w:val="16"/>
              </w:rPr>
              <w:t>20 s</w:t>
            </w:r>
          </w:p>
        </w:tc>
      </w:tr>
      <w:tr>
        <w:trPr>
          <w:cantSplit/>
        </w:trPr>
        <w:tc>
          <w:tcPr>
            <w:tcW w:type="dxa" w:w="3024"/>
          </w:tcPr>
          <w:p>
            <w:pPr>
              <w:spacing w:line="240" w:lineRule="auto" w:after="0" w:before="0"/>
            </w:pPr>
            <w:r/>
            <w:r>
              <w:rPr>
                <w:sz w:val="16"/>
              </w:rPr>
              <w:t>3 mutation table rebuilt</w:t>
            </w:r>
          </w:p>
        </w:tc>
        <w:tc>
          <w:tcPr>
            <w:tcW w:type="dxa" w:w="3024"/>
          </w:tcPr>
          <w:p>
            <w:pPr>
              <w:spacing w:line="240" w:lineRule="auto" w:after="0" w:before="0"/>
            </w:pPr>
            <w:r/>
            <w:r>
              <w:rPr>
                <w:sz w:val="16"/>
              </w:rPr>
              <w:t>identical to the committed Note 16 table</w:t>
            </w:r>
          </w:p>
        </w:tc>
        <w:tc>
          <w:tcPr>
            <w:tcW w:type="dxa" w:w="3024"/>
          </w:tcPr>
          <w:p>
            <w:pPr>
              <w:spacing w:line="240" w:lineRule="auto" w:after="0" w:before="0"/>
            </w:pPr>
            <w:r/>
            <w:r>
              <w:rPr>
                <w:sz w:val="16"/>
              </w:rPr>
              <w:t>1 min</w:t>
            </w:r>
          </w:p>
        </w:tc>
      </w:tr>
      <w:tr>
        <w:trPr>
          <w:cantSplit/>
        </w:trPr>
        <w:tc>
          <w:tcPr>
            <w:tcW w:type="dxa" w:w="3024"/>
          </w:tcPr>
          <w:p>
            <w:pPr>
              <w:spacing w:line="240" w:lineRule="auto" w:after="0" w:before="0"/>
            </w:pPr>
            <w:r/>
            <w:r>
              <w:rPr>
                <w:sz w:val="16"/>
              </w:rPr>
              <w:t>4 NHANES 2017–18, n = 3,000, frozen v7</w:t>
            </w:r>
          </w:p>
        </w:tc>
        <w:tc>
          <w:tcPr>
            <w:tcW w:type="dxa" w:w="3024"/>
          </w:tcPr>
          <w:p>
            <w:pPr>
              <w:spacing w:line="240" w:lineRule="auto" w:after="0" w:before="0"/>
            </w:pPr>
            <w:r/>
            <w:r>
              <w:rPr>
                <w:sz w:val="16"/>
              </w:rPr>
              <w:t>all nine AUROCs identical to Table 4 (0.946, 0.919, 0.959, 0.816, 0.972, 0.989, 0.905, 0.943, 0.872)</w:t>
            </w:r>
          </w:p>
        </w:tc>
        <w:tc>
          <w:tcPr>
            <w:tcW w:type="dxa" w:w="3024"/>
          </w:tcPr>
          <w:p>
            <w:pPr>
              <w:spacing w:line="240" w:lineRule="auto" w:after="0" w:before="0"/>
            </w:pPr>
            <w:r/>
            <w:r>
              <w:rPr>
                <w:sz w:val="16"/>
              </w:rPr>
              <w:t>61 min</w:t>
            </w:r>
          </w:p>
        </w:tc>
      </w:tr>
      <w:tr>
        <w:trPr>
          <w:cantSplit/>
        </w:trPr>
        <w:tc>
          <w:tcPr>
            <w:tcW w:type="dxa" w:w="3024"/>
          </w:tcPr>
          <w:p>
            <w:pPr>
              <w:spacing w:line="240" w:lineRule="auto" w:after="0" w:before="0"/>
            </w:pPr>
            <w:r/>
            <w:r>
              <w:rPr>
                <w:sz w:val="16"/>
              </w:rPr>
              <w:t>5 eICU-CRD demo, 2,314 stays, frozen v7</w:t>
            </w:r>
          </w:p>
        </w:tc>
        <w:tc>
          <w:tcPr>
            <w:tcW w:type="dxa" w:w="3024"/>
          </w:tcPr>
          <w:p>
            <w:pPr>
              <w:spacing w:line="240" w:lineRule="auto" w:after="0" w:before="0"/>
            </w:pPr>
            <w:r/>
            <w:r>
              <w:rPr>
                <w:sz w:val="16"/>
              </w:rPr>
              <w:t>flat recall@3/5/10 47.9/60.8/74.1, two-tier @1/3/5 33.1/62.0/71.9 and grouped @1/3/5/10 30.1/55.6/67.4/77.9 — all identical to Table 3</w:t>
            </w:r>
          </w:p>
        </w:tc>
        <w:tc>
          <w:tcPr>
            <w:tcW w:type="dxa" w:w="3024"/>
          </w:tcPr>
          <w:p>
            <w:pPr>
              <w:spacing w:line="240" w:lineRule="auto" w:after="0" w:before="0"/>
            </w:pPr>
            <w:r/>
            <w:r>
              <w:rPr>
                <w:sz w:val="16"/>
              </w:rPr>
              <w:t>41 min</w:t>
            </w:r>
          </w:p>
        </w:tc>
      </w:tr>
    </w:tbl>
    <w:p/>
    <w:p>
      <w:r>
        <w:rPr>
          <w:b/>
        </w:rPr>
        <w:t>What the run exposed.</w:t>
      </w:r>
      <w:r>
        <w:t xml:space="preserve"> The first clean-clone attempt failed at step 2 because two inputs of the ledger build existed only in the authors' working copy (one registry snapshot excluded by a </w:t>
      </w:r>
      <w:r>
        <w:rPr>
          <w:rFonts w:ascii="Courier New" w:hAnsi="Courier New" w:eastAsia="Courier New" w:cs="Courier New"/>
          <w:color w:val="000000"/>
          <w:sz w:val="22"/>
        </w:rPr>
        <w:t>.gitignore</w:t>
      </w:r>
      <w:r>
        <w:t xml:space="preserve"> pattern and one source-verification file). They were committed and the run repeated; no number changed. We report this because it is precisely the class of defect that a clean-environment run exists to find, and because an earlier revision of this paper cited those files as if they were public.</w:t>
      </w:r>
    </w:p>
    <w:p>
      <w:r>
        <w:rPr>
          <w:b/>
        </w:rPr>
        <w:t>Documented difference.</w:t>
      </w:r>
      <w:r>
        <w:t xml:space="preserve"> The freeze manifest of 2026-10-25 records the feature registry at SHA-256 </w:t>
      </w:r>
      <w:r>
        <w:rPr>
          <w:rFonts w:ascii="Courier New" w:hAnsi="Courier New" w:eastAsia="Courier New" w:cs="Courier New"/>
          <w:color w:val="000000"/>
          <w:sz w:val="22"/>
        </w:rPr>
        <w:t>953d8daa…</w:t>
      </w:r>
      <w:r>
        <w:t xml:space="preserve">; the repository holds </w:t>
      </w:r>
      <w:r>
        <w:rPr>
          <w:rFonts w:ascii="Courier New" w:hAnsi="Courier New" w:eastAsia="Courier New" w:cs="Courier New"/>
          <w:color w:val="000000"/>
          <w:sz w:val="22"/>
        </w:rPr>
        <w:t>115427e7…</w:t>
      </w:r>
      <w:r>
        <w:t>. The 15.2.0 patch rewrote the file in place to correct the ACTH unit entry and the pre-patch bytes were not archived, so the original hash cannot be reproduced. ACTH occurs in no cohort of this paper, and steps 4 and 5 reproduce the frozen v7 numbers with the current file, which is the empirical evidence that the difference is immaterial. Both registries are now tracked in git, so the loss cannot recur in the same way.</w:t>
      </w:r>
    </w:p>
    <w:p>
      <w:r>
        <w:rPr>
          <w:b/>
        </w:rPr>
        <w:t>Not covered.</w:t>
      </w:r>
      <w:r>
        <w:t xml:space="preserve"> MIMIC-IV demo, the sepsis sets, UCI/ILPD, the PMC case series, the ablation and calibration analyses and the 400 blind LLM readings (frozen artefacts; Note 2) are not part of </w:t>
      </w:r>
      <w:r>
        <w:rPr>
          <w:rFonts w:ascii="Courier New" w:hAnsi="Courier New" w:eastAsia="Courier New" w:cs="Courier New"/>
          <w:color w:val="000000"/>
          <w:sz w:val="22"/>
        </w:rPr>
        <w:t>reproduce.sh</w:t>
      </w:r>
      <w:r>
        <w:t>; their scripts and inputs are listed in Table S17 and were not re-run in the clean environment.</w:t>
      </w:r>
    </w:p>
    <w:p>
      <w:pPr>
        <w:pStyle w:val="Heading1"/>
      </w:pPr>
      <w:r>
        <w:rPr>
          <w:rFonts w:ascii="Times New Roman" w:hAnsi="Times New Roman" w:eastAsia="Times New Roman" w:cs="Times New Roman"/>
          <w:b/>
          <w:i w:val="0"/>
          <w:color w:val="000000"/>
        </w:rPr>
        <w:t>Supplementary Note 22 — Detail condensed from the main text in revision R9 (verbatim; no number changed)</w:t>
      </w:r>
    </w:p>
    <w:p>
      <w:r>
        <w:t>The R9 revision shortened and re-worded the main text for readability. Every quantitative statement that was removed from the main text is reproduced here verbatim so that nothing reported in earlier revisions is lost.</w:t>
      </w:r>
    </w:p>
    <w:p>
      <w:r>
        <w:rPr>
          <w:b/>
        </w:rPr>
        <w:t>Section 2.3 (verifier).</w:t>
      </w:r>
      <w:r>
        <w:t xml:space="preserve"> "…reciprocal-rank fusion (k = 0) of the engine's ranking with the LLM entries marked supported… Protocols and predictions were committed before computation."</w:t>
      </w:r>
    </w:p>
    <w:p>
      <w:r>
        <w:rPr>
          <w:b/>
        </w:rPr>
        <w:t>Section 2.4 (activity log).</w:t>
      </w:r>
      <w:r>
        <w:t xml:space="preserve"> The activity log was run with "registry 14.2.0, whose rule layer equals v7's".</w:t>
      </w:r>
    </w:p>
    <w:p>
      <w:r>
        <w:rPr>
          <w:b/>
        </w:rPr>
        <w:t>Section 2.6 (sufficiency arm).</w:t>
      </w:r>
      <w:r>
        <w:t xml:space="preserve"> "…only 94 of the 364 active-core rules are among them [the 335 sufficiency-arm rules]."</w:t>
      </w:r>
    </w:p>
    <w:p>
      <w:r>
        <w:rPr>
          <w:b/>
        </w:rPr>
        <w:t>Section 3.2 (provenance scan).</w:t>
      </w:r>
      <w:r>
        <w:t xml:space="preserve"> "A provenance scan of all 785 sources resolved 112 DOIs via Crossref and reached 533 landing pages; 39 were unreachable, 34 lacked a locator, nine invalid DOIs were removed and 28 rules were flagged </w:t>
      </w:r>
      <w:r>
        <w:rPr>
          <w:rFonts w:ascii="Courier New" w:hAnsi="Courier New" w:eastAsia="Courier New" w:cs="Courier New"/>
          <w:color w:val="000000"/>
          <w:sz w:val="22"/>
        </w:rPr>
        <w:t>unverified_source</w:t>
      </w:r>
      <w:r>
        <w:t xml:space="preserve"> (Supplementary Table S10, Fig. S1)."</w:t>
      </w:r>
    </w:p>
    <w:p>
      <w:r>
        <w:rPr>
          <w:b/>
        </w:rPr>
        <w:t>Section 3.3 (active core).</w:t>
      </w:r>
      <w:r>
        <w:t xml:space="preserve"> "…its first-cited source is a resolved DOI for 10.4% of rules against 0.8% registry-wide." Unresolvable share "88.6% among the 70 non-template rules". "Of the unresolvable rules, at least 18 cite a specific document that does not address the rule's analyte, 30 an organisation page and 5 a WHO URL returning 404."</w:t>
      </w:r>
    </w:p>
    <w:p>
      <w:r>
        <w:rPr>
          <w:b/>
        </w:rPr>
        <w:t>Section 3.7 (black-box conformance).</w:t>
      </w:r>
      <w:r>
        <w:t xml:space="preserve"> "Re-scored through the released package with registry 15.2.0, the engine card is unchanged except P2 39/40: in the one discordant pair the generator's rounding (1.3 mg/dL → 115 µmol/L → 1.3009 mg/dL) crosses a strict &gt; 1.3 mg/dL rule leaf, a generator artefact, not a unit defect." Absent-analyte probe: "(1/29 versus 4/29 with no redundant analyte left, post hoc)".</w:t>
      </w:r>
    </w:p>
    <w:p>
      <w:r>
        <w:rPr>
          <w:b/>
        </w:rPr>
        <w:t>Section 3.8 (verified consensus).</w:t>
      </w:r>
      <w:r>
        <w:t xml:space="preserve"> Recall@5 of the fusion arm versus the engine: "+0.6 versus the engine, CI −2.2 to 3.4"; criterion-met labels "82.1% versus 77.9/81.0%".</w:t>
      </w:r>
    </w:p>
    <w:p>
      <w:r>
        <w:rPr>
          <w:b/>
        </w:rPr>
        <w:t>Section 3.9 (sufficiency, transfer, ledger).</w:t>
      </w:r>
      <w:r>
        <w:t xml:space="preserve"> "grouped@10 p = 3.8 × 10⁻⁵". Transfer: "where single-analyte screens (6.0) and adult thresholds without a population gate (3.3) predominated; 37 of 51 flags were true defects, 8 false positives and 6 undetermined". Ledger: "8 carry a discordant verdict (6 uncorrected)"; "the executable invariants reach the analyte of 104 of the 219 active-core rules still executable"; closure in 15.3.0: "two were re-sourced with retrieved quotes, two reclassified as reference-interval conventions, two retired, one boundary written, and the five flags inspected and left in place as recorded exceptions"; gate: "eICU flat and two-tier recall identical; NHANES AUROCs identical; grouped recall@1 −0.3 points".</w:t>
      </w:r>
    </w:p>
    <w:p>
      <w:r>
        <w:rPr>
          <w:b/>
        </w:rPr>
        <w:t>Section 2.1 (engine).</w:t>
      </w:r>
      <w:r>
        <w:t xml:space="preserve"> Syndrome-layer anchor strengths "0.95/0.88/0.80/0.72/0.45".</w:t>
      </w:r>
    </w:p>
    <w:p>
      <w:r>
        <w:rPr>
          <w:b/>
        </w:rPr>
        <w:t>Section 3.4 (discussion of precision bounds).</w:t>
      </w:r>
      <w:r>
        <w:t xml:space="preserve"> "supervised models did not exceed 0.82 AUROC for outcome-defined groups".</w:t>
      </w:r>
    </w:p>
    <w:p>
      <w:r>
        <w:rPr>
          <w:b/>
        </w:rPr>
        <w:t>Further detail condensed in the submitted (shortened) main text.</w:t>
      </w:r>
      <w:r>
        <w:t xml:space="preserve"> Engine: "The Bayesian layer has 75 disease nodes with hand-coded priors"; curated-anchor arm "32,911 AI-drafted rules off". Active core locators: "120 locators were organisation landing pages, 63 blocked or 404, 150 reached a page without the statement". eICU recall@5 by group also included "77.5% (acute kidney injury)" and "45.1% (diabetes)". NHANES hypercholesterolaemia AUROC "0.905/0.883/0.886". External cohorts: "UCI thyroid 0.979/0.798, HCV 0.925, ILPD 0.704, MIMIC-IV demo top-5 47.5%, PMC case reports 26% specific/68% syndrome"; "raw-score calibration (pooled AUROC 0.797; Fig. 8)". Ledger: anchors "101 cite a reachable but unchecked source". Black-box: "the LLM's 0/20 is not blind because the step was visible". Discussion: "a prevalence baseline overtakes any method at k = 10"; "only 12.6% are criterion-negative … 69.0% an upper bound"; "supervised models did not exceed 0.82 AUROC for outcome-defined groups".</w:t>
      </w:r>
    </w:p>
    <w:p>
      <w:pPr>
        <w:pStyle w:val="Heading1"/>
      </w:pPr>
      <w:r>
        <w:rPr>
          <w:rFonts w:ascii="Times New Roman" w:hAnsi="Times New Roman" w:eastAsia="Times New Roman" w:cs="Times New Roman"/>
          <w:b/>
          <w:i w:val="0"/>
          <w:color w:val="000000"/>
        </w:rPr>
        <w:t>Supplementary Table S17 — Reproducibility and version map</w:t>
      </w:r>
    </w:p>
    <w:p>
      <w:r>
        <w:t xml:space="preserve">Every number in the main text and in this file is produced by a script in the public repository from a hash-frozen engine and registry (SHA-256 manifests </w:t>
      </w:r>
      <w:r>
        <w:rPr>
          <w:rFonts w:ascii="Courier New" w:hAnsi="Courier New" w:eastAsia="Courier New" w:cs="Courier New"/>
          <w:color w:val="000000"/>
          <w:sz w:val="22"/>
        </w:rPr>
        <w:t>FREEZE_v15_20261025</w:t>
      </w:r>
      <w:r>
        <w:t>; Note 6). Internal report file names are omitted throughout; the table below is the single place that links each item to its generating script and input.</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268"/>
            <w:shd w:val="clear" w:fill="F2F2F2"/>
          </w:tcPr>
          <w:p>
            <w:pPr>
              <w:spacing w:line="240" w:lineRule="auto" w:after="0" w:before="0"/>
            </w:pPr>
            <w:r>
              <w:rPr>
                <w:b/>
              </w:rPr>
            </w:r>
            <w:r>
              <w:rPr>
                <w:b/>
                <w:sz w:val="16"/>
              </w:rPr>
              <w:t>Item</w:t>
            </w:r>
          </w:p>
        </w:tc>
        <w:tc>
          <w:tcPr>
            <w:tcW w:type="dxa" w:w="2268"/>
            <w:shd w:val="clear" w:fill="F2F2F2"/>
          </w:tcPr>
          <w:p>
            <w:pPr>
              <w:spacing w:line="240" w:lineRule="auto" w:after="0" w:before="0"/>
            </w:pPr>
            <w:r>
              <w:rPr>
                <w:b/>
              </w:rPr>
            </w:r>
            <w:r>
              <w:rPr>
                <w:b/>
                <w:sz w:val="16"/>
              </w:rPr>
              <w:t>Script (repository path)</w:t>
            </w:r>
          </w:p>
        </w:tc>
        <w:tc>
          <w:tcPr>
            <w:tcW w:type="dxa" w:w="2268"/>
            <w:shd w:val="clear" w:fill="F2F2F2"/>
          </w:tcPr>
          <w:p>
            <w:pPr>
              <w:spacing w:line="240" w:lineRule="auto" w:after="0" w:before="0"/>
            </w:pPr>
            <w:r>
              <w:rPr>
                <w:b/>
              </w:rPr>
            </w:r>
            <w:r>
              <w:rPr>
                <w:b/>
                <w:sz w:val="16"/>
              </w:rPr>
              <w:t>Input data</w:t>
            </w:r>
          </w:p>
        </w:tc>
        <w:tc>
          <w:tcPr>
            <w:tcW w:type="dxa" w:w="2268"/>
            <w:shd w:val="clear" w:fill="F2F2F2"/>
          </w:tcPr>
          <w:p>
            <w:pPr>
              <w:spacing w:line="240" w:lineRule="auto" w:after="0" w:before="0"/>
            </w:pPr>
            <w:r>
              <w:rPr>
                <w:b/>
              </w:rPr>
            </w:r>
            <w:r>
              <w:rPr>
                <w:b/>
                <w:sz w:val="16"/>
              </w:rPr>
              <w:t>Engine / registry</w:t>
            </w:r>
          </w:p>
        </w:tc>
      </w:tr>
      <w:tr>
        <w:trPr>
          <w:cantSplit/>
        </w:trPr>
        <w:tc>
          <w:tcPr>
            <w:tcW w:type="dxa" w:w="2268"/>
          </w:tcPr>
          <w:p>
            <w:pPr>
              <w:spacing w:line="240" w:lineRule="auto" w:after="0" w:before="0"/>
            </w:pPr>
            <w:r/>
            <w:r>
              <w:rPr>
                <w:sz w:val="16"/>
              </w:rPr>
              <w:t>Table 3, Fig. 2, Fig. S2, Table S4, Table S6–S6c, Table S8, Table S11</w:t>
            </w:r>
          </w:p>
        </w:tc>
        <w:tc>
          <w:tcPr>
            <w:tcW w:type="dxa" w:w="2268"/>
          </w:tcPr>
          <w:p>
            <w:pPr>
              <w:spacing w:line="240" w:lineRule="auto" w:after="0" w:before="0"/>
            </w:pPr>
            <w:r/>
            <w:r>
              <w:rPr>
                <w:rFonts w:ascii="Courier New" w:hAnsi="Courier New" w:eastAsia="Courier New" w:cs="Courier New"/>
                <w:color w:val="000000"/>
                <w:sz w:val="16"/>
              </w:rPr>
              <w:t>eval/realdata/eval_eicu.py</w:t>
            </w:r>
            <w:r>
              <w:rPr>
                <w:sz w:val="16"/>
              </w:rPr>
              <w:t xml:space="preserve"> (</w:t>
            </w:r>
            <w:r>
              <w:rPr>
                <w:rFonts w:ascii="Courier New" w:hAnsi="Courier New" w:eastAsia="Courier New" w:cs="Courier New"/>
                <w:color w:val="000000"/>
                <w:sz w:val="16"/>
              </w:rPr>
              <w:t>--encounter icu</w:t>
            </w:r>
            <w:r>
              <w:rPr>
                <w:sz w:val="16"/>
              </w:rPr>
              <w:t xml:space="preserve">), </w:t>
            </w:r>
            <w:r>
              <w:rPr>
                <w:rFonts w:ascii="Courier New" w:hAnsi="Courier New" w:eastAsia="Courier New" w:cs="Courier New"/>
                <w:color w:val="000000"/>
                <w:sz w:val="16"/>
              </w:rPr>
              <w:t>eval/realdata/panel_supported_metric.py</w:t>
            </w:r>
            <w:r>
              <w:rPr>
                <w:sz w:val="16"/>
              </w:rPr>
              <w:t xml:space="preserve">, </w:t>
            </w:r>
            <w:r>
              <w:rPr>
                <w:rFonts w:ascii="Courier New" w:hAnsi="Courier New" w:eastAsia="Courier New" w:cs="Courier New"/>
                <w:color w:val="000000"/>
                <w:sz w:val="16"/>
              </w:rPr>
              <w:t>eval/subgroup_fairness.py</w:t>
            </w:r>
            <w:r>
              <w:rPr>
                <w:sz w:val="16"/>
              </w:rPr>
              <w:t xml:space="preserve">, </w:t>
            </w:r>
            <w:r>
              <w:rPr>
                <w:rFonts w:ascii="Courier New" w:hAnsi="Courier New" w:eastAsia="Courier New" w:cs="Courier New"/>
                <w:color w:val="000000"/>
                <w:sz w:val="16"/>
              </w:rPr>
              <w:t>eval/reviewer_r2_metrics.py</w:t>
            </w:r>
            <w:r>
              <w:rPr>
                <w:sz w:val="16"/>
              </w:rPr>
              <w:t xml:space="preserve">, </w:t>
            </w:r>
            <w:r>
              <w:rPr>
                <w:rFonts w:ascii="Courier New" w:hAnsi="Courier New" w:eastAsia="Courier New" w:cs="Courier New"/>
                <w:color w:val="000000"/>
                <w:sz w:val="16"/>
              </w:rPr>
              <w:t>eval/calibration_dca.py</w:t>
            </w:r>
          </w:p>
        </w:tc>
        <w:tc>
          <w:tcPr>
            <w:tcW w:type="dxa" w:w="2268"/>
          </w:tcPr>
          <w:p>
            <w:pPr>
              <w:spacing w:line="240" w:lineRule="auto" w:after="0" w:before="0"/>
            </w:pPr>
            <w:r/>
            <w:r>
              <w:rPr>
                <w:sz w:val="16"/>
              </w:rPr>
              <w:t>eICU-CRD demo v2.0.1 (2,314 ICU stays)</w:t>
            </w:r>
          </w:p>
        </w:tc>
        <w:tc>
          <w:tcPr>
            <w:tcW w:type="dxa" w:w="2268"/>
          </w:tcPr>
          <w:p>
            <w:pPr>
              <w:spacing w:line="240" w:lineRule="auto" w:after="0" w:before="0"/>
            </w:pPr>
            <w:r/>
            <w:r>
              <w:rPr>
                <w:sz w:val="16"/>
              </w:rPr>
              <w:t>v7 / 14.1.0</w:t>
            </w:r>
          </w:p>
        </w:tc>
      </w:tr>
      <w:tr>
        <w:trPr>
          <w:cantSplit/>
        </w:trPr>
        <w:tc>
          <w:tcPr>
            <w:tcW w:type="dxa" w:w="2268"/>
          </w:tcPr>
          <w:p>
            <w:pPr>
              <w:spacing w:line="240" w:lineRule="auto" w:after="0" w:before="0"/>
            </w:pPr>
            <w:r/>
            <w:r>
              <w:rPr>
                <w:sz w:val="16"/>
              </w:rPr>
              <w:t>Table 5, Fig. 7, Note 2, Table S12b</w:t>
            </w:r>
          </w:p>
        </w:tc>
        <w:tc>
          <w:tcPr>
            <w:tcW w:type="dxa" w:w="2268"/>
          </w:tcPr>
          <w:p>
            <w:pPr>
              <w:spacing w:line="240" w:lineRule="auto" w:after="0" w:before="0"/>
            </w:pPr>
            <w:r/>
            <w:r>
              <w:rPr>
                <w:rFonts w:ascii="Courier New" w:hAnsi="Courier New" w:eastAsia="Courier New" w:cs="Courier New"/>
                <w:color w:val="000000"/>
                <w:sz w:val="16"/>
              </w:rPr>
              <w:t>eval/baselines/llm_zero_shot.py</w:t>
            </w:r>
            <w:r>
              <w:rPr>
                <w:sz w:val="16"/>
              </w:rPr>
              <w:t xml:space="preserve">, </w:t>
            </w:r>
            <w:r>
              <w:rPr>
                <w:rFonts w:ascii="Courier New" w:hAnsi="Courier New" w:eastAsia="Courier New" w:cs="Courier New"/>
                <w:color w:val="000000"/>
                <w:sz w:val="16"/>
              </w:rPr>
              <w:t>b8_score.py</w:t>
            </w:r>
            <w:r>
              <w:rPr>
                <w:sz w:val="16"/>
              </w:rPr>
              <w:t xml:space="preserve">, </w:t>
            </w:r>
            <w:r>
              <w:rPr>
                <w:rFonts w:ascii="Courier New" w:hAnsi="Courier New" w:eastAsia="Courier New" w:cs="Courier New"/>
                <w:color w:val="000000"/>
                <w:sz w:val="16"/>
              </w:rPr>
              <w:t>b8_v7_cluster.py</w:t>
            </w:r>
            <w:r>
              <w:rPr>
                <w:sz w:val="16"/>
              </w:rPr>
              <w:t xml:space="preserve">, </w:t>
            </w:r>
            <w:r>
              <w:rPr>
                <w:rFonts w:ascii="Courier New" w:hAnsi="Courier New" w:eastAsia="Courier New" w:cs="Courier New"/>
                <w:color w:val="000000"/>
                <w:sz w:val="16"/>
              </w:rPr>
              <w:t>b8_rank_metrics.py</w:t>
            </w:r>
            <w:r>
              <w:rPr>
                <w:sz w:val="16"/>
              </w:rPr>
              <w:t xml:space="preserve">, </w:t>
            </w:r>
            <w:r>
              <w:rPr>
                <w:rFonts w:ascii="Courier New" w:hAnsi="Courier New" w:eastAsia="Courier New" w:cs="Courier New"/>
                <w:color w:val="000000"/>
                <w:sz w:val="16"/>
              </w:rPr>
              <w:t>b8_prompt_sensitivity.py</w:t>
            </w:r>
          </w:p>
        </w:tc>
        <w:tc>
          <w:tcPr>
            <w:tcW w:type="dxa" w:w="2268"/>
          </w:tcPr>
          <w:p>
            <w:pPr>
              <w:spacing w:line="240" w:lineRule="auto" w:after="0" w:before="0"/>
            </w:pPr>
            <w:r/>
            <w:r>
              <w:rPr>
                <w:sz w:val="16"/>
              </w:rPr>
              <w:t>400 blinded eICU panels (Data 1)</w:t>
            </w:r>
          </w:p>
        </w:tc>
        <w:tc>
          <w:tcPr>
            <w:tcW w:type="dxa" w:w="2268"/>
          </w:tcPr>
          <w:p>
            <w:pPr>
              <w:spacing w:line="240" w:lineRule="auto" w:after="0" w:before="0"/>
            </w:pPr>
            <w:r/>
            <w:r>
              <w:rPr>
                <w:sz w:val="16"/>
              </w:rPr>
              <w:t>v7 / 14.1.0 (historical: v5.1)</w:t>
            </w:r>
          </w:p>
        </w:tc>
      </w:tr>
      <w:tr>
        <w:trPr>
          <w:cantSplit/>
        </w:trPr>
        <w:tc>
          <w:tcPr>
            <w:tcW w:type="dxa" w:w="2268"/>
          </w:tcPr>
          <w:p>
            <w:pPr>
              <w:spacing w:line="240" w:lineRule="auto" w:after="0" w:before="0"/>
            </w:pPr>
            <w:r/>
            <w:r>
              <w:rPr>
                <w:sz w:val="16"/>
              </w:rPr>
              <w:t>Table 1</w:t>
            </w:r>
          </w:p>
        </w:tc>
        <w:tc>
          <w:tcPr>
            <w:tcW w:type="dxa" w:w="2268"/>
          </w:tcPr>
          <w:p>
            <w:pPr>
              <w:spacing w:line="240" w:lineRule="auto" w:after="0" w:before="0"/>
            </w:pPr>
            <w:r/>
            <w:r>
              <w:rPr>
                <w:rFonts w:ascii="Courier New" w:hAnsi="Courier New" w:eastAsia="Courier New" w:cs="Courier New"/>
                <w:color w:val="000000"/>
                <w:sz w:val="16"/>
              </w:rPr>
              <w:t>eval/ablation/run_ablation.py</w:t>
            </w:r>
          </w:p>
        </w:tc>
        <w:tc>
          <w:tcPr>
            <w:tcW w:type="dxa" w:w="2268"/>
          </w:tcPr>
          <w:p>
            <w:pPr>
              <w:spacing w:line="240" w:lineRule="auto" w:after="0" w:before="0"/>
            </w:pPr>
            <w:r/>
            <w:r>
              <w:rPr>
                <w:sz w:val="16"/>
              </w:rPr>
              <w:t>eICU-CRD demo</w:t>
            </w:r>
          </w:p>
        </w:tc>
        <w:tc>
          <w:tcPr>
            <w:tcW w:type="dxa" w:w="2268"/>
          </w:tcPr>
          <w:p>
            <w:pPr>
              <w:spacing w:line="240" w:lineRule="auto" w:after="0" w:before="0"/>
            </w:pPr>
            <w:r/>
            <w:r>
              <w:rPr>
                <w:sz w:val="16"/>
              </w:rPr>
              <w:t>v7 / 14.1.0</w:t>
            </w:r>
          </w:p>
        </w:tc>
      </w:tr>
      <w:tr>
        <w:trPr>
          <w:cantSplit/>
        </w:trPr>
        <w:tc>
          <w:tcPr>
            <w:tcW w:type="dxa" w:w="2268"/>
          </w:tcPr>
          <w:p>
            <w:pPr>
              <w:spacing w:line="240" w:lineRule="auto" w:after="0" w:before="0"/>
            </w:pPr>
            <w:r/>
            <w:r>
              <w:rPr>
                <w:sz w:val="16"/>
              </w:rPr>
              <w:t>Fig. 8, Table S6–S6c</w:t>
            </w:r>
          </w:p>
        </w:tc>
        <w:tc>
          <w:tcPr>
            <w:tcW w:type="dxa" w:w="2268"/>
          </w:tcPr>
          <w:p>
            <w:pPr>
              <w:spacing w:line="240" w:lineRule="auto" w:after="0" w:before="0"/>
            </w:pPr>
            <w:r/>
            <w:r>
              <w:rPr>
                <w:rFonts w:ascii="Courier New" w:hAnsi="Courier New" w:eastAsia="Courier New" w:cs="Courier New"/>
                <w:color w:val="000000"/>
                <w:sz w:val="16"/>
              </w:rPr>
              <w:t>eval/calibration_dca.py</w:t>
            </w:r>
            <w:r>
              <w:rPr>
                <w:sz w:val="16"/>
              </w:rPr>
              <w:t xml:space="preserve"> outputs (</w:t>
            </w:r>
            <w:r>
              <w:rPr>
                <w:rFonts w:ascii="Courier New" w:hAnsi="Courier New" w:eastAsia="Courier New" w:cs="Courier New"/>
                <w:color w:val="000000"/>
                <w:sz w:val="16"/>
              </w:rPr>
              <w:t>eval/results/eicu_demo/calibration_dca_v7.md</w:t>
            </w:r>
            <w:r>
              <w:rPr>
                <w:sz w:val="16"/>
              </w:rPr>
              <w:t xml:space="preserve">, </w:t>
            </w:r>
            <w:r>
              <w:rPr>
                <w:rFonts w:ascii="Courier New" w:hAnsi="Courier New" w:eastAsia="Courier New" w:cs="Courier New"/>
                <w:color w:val="000000"/>
                <w:sz w:val="16"/>
              </w:rPr>
              <w:t>reviewer_b5_calibration_v7.json</w:t>
            </w:r>
            <w:r>
              <w:rPr>
                <w:sz w:val="16"/>
              </w:rPr>
              <w:t>)</w:t>
            </w:r>
          </w:p>
        </w:tc>
        <w:tc>
          <w:tcPr>
            <w:tcW w:type="dxa" w:w="2268"/>
          </w:tcPr>
          <w:p>
            <w:pPr>
              <w:spacing w:line="240" w:lineRule="auto" w:after="0" w:before="0"/>
            </w:pPr>
            <w:r/>
            <w:r>
              <w:rPr>
                <w:sz w:val="16"/>
              </w:rPr>
              <w:t>eICU-CRD demo (2,314 stays; 52,689 label scores)</w:t>
            </w:r>
          </w:p>
        </w:tc>
        <w:tc>
          <w:tcPr>
            <w:tcW w:type="dxa" w:w="2268"/>
          </w:tcPr>
          <w:p>
            <w:pPr>
              <w:spacing w:line="240" w:lineRule="auto" w:after="0" w:before="0"/>
            </w:pPr>
            <w:r/>
            <w:r>
              <w:rPr>
                <w:sz w:val="16"/>
              </w:rPr>
              <w:t>v7 / 14.1.0</w:t>
            </w:r>
          </w:p>
        </w:tc>
      </w:tr>
      <w:tr>
        <w:trPr>
          <w:cantSplit/>
        </w:trPr>
        <w:tc>
          <w:tcPr>
            <w:tcW w:type="dxa" w:w="2268"/>
          </w:tcPr>
          <w:p>
            <w:pPr>
              <w:spacing w:line="240" w:lineRule="auto" w:after="0" w:before="0"/>
            </w:pPr>
            <w:r/>
            <w:r>
              <w:rPr>
                <w:sz w:val="16"/>
              </w:rPr>
              <w:t>Fig. 3</w:t>
            </w:r>
          </w:p>
        </w:tc>
        <w:tc>
          <w:tcPr>
            <w:tcW w:type="dxa" w:w="2268"/>
          </w:tcPr>
          <w:p>
            <w:pPr>
              <w:spacing w:line="240" w:lineRule="auto" w:after="0" w:before="0"/>
            </w:pPr>
            <w:r/>
            <w:r>
              <w:rPr>
                <w:rFonts w:ascii="Courier New" w:hAnsi="Courier New" w:eastAsia="Courier New" w:cs="Courier New"/>
                <w:color w:val="000000"/>
                <w:sz w:val="16"/>
              </w:rPr>
              <w:t>docs/paper1/v7/make_figures_R8.py</w:t>
            </w:r>
            <w:r>
              <w:rPr>
                <w:sz w:val="16"/>
              </w:rPr>
              <w:t xml:space="preserve"> reading the frozen outputs of Notes 8, 15, 16 and 18 (no new measurement)</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14.1.0 (a, b); 15.1.0 (c); 15.2.0 (d)</w:t>
            </w:r>
          </w:p>
        </w:tc>
      </w:tr>
      <w:tr>
        <w:trPr>
          <w:cantSplit/>
        </w:trPr>
        <w:tc>
          <w:tcPr>
            <w:tcW w:type="dxa" w:w="2268"/>
          </w:tcPr>
          <w:p>
            <w:pPr>
              <w:spacing w:line="240" w:lineRule="auto" w:after="0" w:before="0"/>
            </w:pPr>
            <w:r/>
            <w:r>
              <w:rPr>
                <w:sz w:val="16"/>
              </w:rPr>
              <w:t>Figs. 1–8 (rendering only)</w:t>
            </w:r>
          </w:p>
        </w:tc>
        <w:tc>
          <w:tcPr>
            <w:tcW w:type="dxa" w:w="2268"/>
          </w:tcPr>
          <w:p>
            <w:pPr>
              <w:spacing w:line="240" w:lineRule="auto" w:after="0" w:before="0"/>
            </w:pPr>
            <w:r/>
            <w:r>
              <w:rPr>
                <w:rFonts w:ascii="Courier New" w:hAnsi="Courier New" w:eastAsia="Courier New" w:cs="Courier New"/>
                <w:color w:val="000000"/>
                <w:sz w:val="16"/>
              </w:rPr>
              <w:t>docs/paper1/v7/make_figures_R8.py</w:t>
            </w:r>
            <w:r>
              <w:rPr>
                <w:sz w:val="16"/>
              </w:rPr>
              <w:t xml:space="preserve"> (reads </w:t>
            </w:r>
            <w:r>
              <w:rPr>
                <w:rFonts w:ascii="Courier New" w:hAnsi="Courier New" w:eastAsia="Courier New" w:cs="Courier New"/>
                <w:color w:val="000000"/>
                <w:sz w:val="16"/>
              </w:rPr>
              <w:t>eval/results/eicu_demo/{ml_baseline.json, llm_vs_v7_cluster_n400.json, calibration_dca_v7.md}</w:t>
            </w:r>
            <w:r>
              <w:rPr>
                <w:sz w:val="16"/>
              </w:rPr>
              <w:t xml:space="preserve"> and </w:t>
            </w:r>
            <w:r>
              <w:rPr>
                <w:rFonts w:ascii="Courier New" w:hAnsi="Courier New" w:eastAsia="Courier New" w:cs="Courier New"/>
                <w:color w:val="000000"/>
                <w:sz w:val="16"/>
              </w:rPr>
              <w:t>eval/verification_ledger/ledger_counts.json</w:t>
            </w:r>
            <w:r>
              <w:rPr>
                <w:sz w:val="16"/>
              </w:rPr>
              <w:t>; NHANES, sepsis and recall values are transcribed from the frozen reports of the rows above and asserted against them in the script's constants)</w:t>
            </w:r>
          </w:p>
        </w:tc>
        <w:tc>
          <w:tcPr>
            <w:tcW w:type="dxa" w:w="2268"/>
          </w:tcPr>
          <w:p>
            <w:pPr>
              <w:spacing w:line="240" w:lineRule="auto" w:after="0" w:before="0"/>
            </w:pPr>
            <w:r/>
            <w:r>
              <w:rPr>
                <w:sz w:val="16"/>
              </w:rPr>
              <w:t>frozen result files listed in this table</w:t>
            </w:r>
          </w:p>
        </w:tc>
        <w:tc>
          <w:tcPr>
            <w:tcW w:type="dxa" w:w="2268"/>
          </w:tcPr>
          <w:p>
            <w:pPr>
              <w:spacing w:line="240" w:lineRule="auto" w:after="0" w:before="0"/>
            </w:pPr>
            <w:r/>
            <w:r>
              <w:rPr>
                <w:sz w:val="16"/>
              </w:rPr>
              <w:t>as per source row</w:t>
            </w:r>
          </w:p>
        </w:tc>
      </w:tr>
      <w:tr>
        <w:trPr>
          <w:cantSplit/>
        </w:trPr>
        <w:tc>
          <w:tcPr>
            <w:tcW w:type="dxa" w:w="2268"/>
          </w:tcPr>
          <w:p>
            <w:pPr>
              <w:spacing w:line="240" w:lineRule="auto" w:after="0" w:before="0"/>
            </w:pPr>
            <w:r/>
            <w:r>
              <w:rPr>
                <w:sz w:val="16"/>
              </w:rPr>
              <w:t>Note 20</w:t>
            </w:r>
          </w:p>
        </w:tc>
        <w:tc>
          <w:tcPr>
            <w:tcW w:type="dxa" w:w="2268"/>
          </w:tcPr>
          <w:p>
            <w:pPr>
              <w:spacing w:line="240" w:lineRule="auto" w:after="0" w:before="0"/>
            </w:pPr>
            <w:r/>
            <w:r>
              <w:rPr>
                <w:rFonts w:ascii="Courier New" w:hAnsi="Courier New" w:eastAsia="Courier New" w:cs="Courier New"/>
                <w:color w:val="000000"/>
                <w:sz w:val="16"/>
              </w:rPr>
              <w:t>eval/audit/PROTOCOL_HELDOUT.md</w:t>
            </w:r>
            <w:r>
              <w:rPr>
                <w:sz w:val="16"/>
              </w:rPr>
              <w:t xml:space="preserve">, </w:t>
            </w:r>
            <w:r>
              <w:rPr>
                <w:rFonts w:ascii="Courier New" w:hAnsi="Courier New" w:eastAsia="Courier New" w:cs="Courier New"/>
                <w:color w:val="000000"/>
                <w:sz w:val="16"/>
              </w:rPr>
              <w:t>mutate_heldout.py</w:t>
            </w:r>
            <w:r>
              <w:rPr>
                <w:sz w:val="16"/>
              </w:rPr>
              <w:t xml:space="preserve"> (seed 20261028)</w:t>
            </w:r>
          </w:p>
        </w:tc>
        <w:tc>
          <w:tcPr>
            <w:tcW w:type="dxa" w:w="2268"/>
          </w:tcPr>
          <w:p>
            <w:pPr>
              <w:spacing w:line="240" w:lineRule="auto" w:after="0" w:before="0"/>
            </w:pPr>
            <w:r/>
            <w:r>
              <w:rPr>
                <w:sz w:val="16"/>
              </w:rPr>
              <w:t>registry 15.3.0 (300 AI-drafted rules); second LLM-written corpus (400 rules)</w:t>
            </w:r>
          </w:p>
        </w:tc>
        <w:tc>
          <w:tcPr>
            <w:tcW w:type="dxa" w:w="2268"/>
          </w:tcPr>
          <w:p>
            <w:pPr>
              <w:spacing w:line="240" w:lineRule="auto" w:after="0" w:before="0"/>
            </w:pPr>
            <w:r/>
            <w:r>
              <w:rPr>
                <w:sz w:val="16"/>
              </w:rPr>
              <w:t>detectors frozen; registry 15.3.0 (no v7 metric affected)</w:t>
            </w:r>
          </w:p>
        </w:tc>
      </w:tr>
      <w:tr>
        <w:trPr>
          <w:cantSplit/>
        </w:trPr>
        <w:tc>
          <w:tcPr>
            <w:tcW w:type="dxa" w:w="2268"/>
          </w:tcPr>
          <w:p>
            <w:pPr>
              <w:spacing w:line="240" w:lineRule="auto" w:after="0" w:before="0"/>
            </w:pPr>
            <w:r/>
            <w:r>
              <w:rPr>
                <w:sz w:val="16"/>
              </w:rPr>
              <w:t>Note 21, Table S18</w:t>
            </w:r>
          </w:p>
        </w:tc>
        <w:tc>
          <w:tcPr>
            <w:tcW w:type="dxa" w:w="2268"/>
          </w:tcPr>
          <w:p>
            <w:pPr>
              <w:spacing w:line="240" w:lineRule="auto" w:after="0" w:before="0"/>
            </w:pPr>
            <w:r/>
            <w:r>
              <w:rPr>
                <w:rFonts w:ascii="Courier New" w:hAnsi="Courier New" w:eastAsia="Courier New" w:cs="Courier New"/>
                <w:color w:val="000000"/>
                <w:sz w:val="16"/>
              </w:rPr>
              <w:t>reproduce.sh</w:t>
            </w:r>
            <w:r>
              <w:rPr>
                <w:sz w:val="16"/>
              </w:rPr>
              <w:t xml:space="preserve"> (modes </w:t>
            </w:r>
            <w:r>
              <w:rPr>
                <w:rFonts w:ascii="Courier New" w:hAnsi="Courier New" w:eastAsia="Courier New" w:cs="Courier New"/>
                <w:color w:val="000000"/>
                <w:sz w:val="16"/>
              </w:rPr>
              <w:t>quick</w:t>
            </w:r>
            <w:r>
              <w:rPr>
                <w:sz w:val="16"/>
              </w:rPr>
              <w:t xml:space="preserve">, </w:t>
            </w:r>
            <w:r>
              <w:rPr>
                <w:rFonts w:ascii="Courier New" w:hAnsi="Courier New" w:eastAsia="Courier New" w:cs="Courier New"/>
                <w:color w:val="000000"/>
                <w:sz w:val="16"/>
              </w:rPr>
              <w:t>v7</w:t>
            </w:r>
            <w:r>
              <w:rPr>
                <w:sz w:val="16"/>
              </w:rPr>
              <w:t xml:space="preserve">, </w:t>
            </w:r>
            <w:r>
              <w:rPr>
                <w:rFonts w:ascii="Courier New" w:hAnsi="Courier New" w:eastAsia="Courier New" w:cs="Courier New"/>
                <w:color w:val="000000"/>
                <w:sz w:val="16"/>
              </w:rPr>
              <w:t>eicu</w:t>
            </w:r>
            <w:r>
              <w:rPr>
                <w:sz w:val="16"/>
              </w:rPr>
              <w:t xml:space="preserve">, </w:t>
            </w:r>
            <w:r>
              <w:rPr>
                <w:rFonts w:ascii="Courier New" w:hAnsi="Courier New" w:eastAsia="Courier New" w:cs="Courier New"/>
                <w:color w:val="000000"/>
                <w:sz w:val="16"/>
              </w:rPr>
              <w:t>all</w:t>
            </w:r>
            <w:r>
              <w:rPr>
                <w:sz w:val="16"/>
              </w:rPr>
              <w:t xml:space="preserve">), </w:t>
            </w:r>
            <w:r>
              <w:rPr>
                <w:rFonts w:ascii="Courier New" w:hAnsi="Courier New" w:eastAsia="Courier New" w:cs="Courier New"/>
                <w:color w:val="000000"/>
                <w:sz w:val="16"/>
              </w:rPr>
              <w:t>tools/make_frozen_engine_dir.py</w:t>
            </w:r>
            <w:r>
              <w:rPr>
                <w:sz w:val="16"/>
              </w:rPr>
              <w:t xml:space="preserve">, </w:t>
            </w:r>
            <w:r>
              <w:rPr>
                <w:rFonts w:ascii="Courier New" w:hAnsi="Courier New" w:eastAsia="Courier New" w:cs="Courier New"/>
                <w:color w:val="000000"/>
                <w:sz w:val="16"/>
              </w:rPr>
              <w:t>tools/compare_reports.py</w:t>
            </w:r>
            <w:r>
              <w:rPr>
                <w:sz w:val="16"/>
              </w:rPr>
              <w:t xml:space="preserve">; </w:t>
            </w:r>
            <w:r>
              <w:rPr>
                <w:rFonts w:ascii="Courier New" w:hAnsi="Courier New" w:eastAsia="Courier New" w:cs="Courier New"/>
                <w:color w:val="000000"/>
                <w:sz w:val="16"/>
              </w:rPr>
              <w:t>eval/source_audit/auditability_metrics.py</w:t>
            </w:r>
            <w:r>
              <w:rPr>
                <w:sz w:val="16"/>
              </w:rPr>
              <w:t xml:space="preserve"> (reads the committed Note 8 files)</w:t>
            </w:r>
          </w:p>
        </w:tc>
        <w:tc>
          <w:tcPr>
            <w:tcW w:type="dxa" w:w="2268"/>
          </w:tcPr>
          <w:p>
            <w:pPr>
              <w:spacing w:line="240" w:lineRule="auto" w:after="0" w:before="0"/>
            </w:pPr>
            <w:r/>
            <w:r>
              <w:rPr>
                <w:sz w:val="16"/>
              </w:rPr>
              <w:t xml:space="preserve">clean </w:t>
            </w:r>
            <w:r>
              <w:rPr>
                <w:rFonts w:ascii="Courier New" w:hAnsi="Courier New" w:eastAsia="Courier New" w:cs="Courier New"/>
                <w:color w:val="000000"/>
                <w:sz w:val="16"/>
              </w:rPr>
              <w:t>git clone</w:t>
            </w:r>
            <w:r>
              <w:rPr>
                <w:sz w:val="16"/>
              </w:rPr>
              <w:t xml:space="preserve"> of the repository; NHANES 2017–18; eICU-CRD demo</w:t>
            </w:r>
          </w:p>
        </w:tc>
        <w:tc>
          <w:tcPr>
            <w:tcW w:type="dxa" w:w="2268"/>
          </w:tcPr>
          <w:p>
            <w:pPr>
              <w:spacing w:line="240" w:lineRule="auto" w:after="0" w:before="0"/>
            </w:pPr>
            <w:r/>
            <w:r>
              <w:rPr>
                <w:sz w:val="16"/>
              </w:rPr>
              <w:t xml:space="preserve">git tag </w:t>
            </w:r>
            <w:r>
              <w:rPr>
                <w:rFonts w:ascii="Courier New" w:hAnsi="Courier New" w:eastAsia="Courier New" w:cs="Courier New"/>
                <w:color w:val="000000"/>
                <w:sz w:val="16"/>
              </w:rPr>
              <w:t>engine-v7-frozen</w:t>
            </w:r>
            <w:r>
              <w:rPr>
                <w:sz w:val="16"/>
              </w:rPr>
              <w:t>; registries 14.1.0, 15.1.0, 15.3.0</w:t>
            </w:r>
          </w:p>
        </w:tc>
      </w:tr>
      <w:tr>
        <w:trPr>
          <w:cantSplit/>
        </w:trPr>
        <w:tc>
          <w:tcPr>
            <w:tcW w:type="dxa" w:w="2268"/>
          </w:tcPr>
          <w:p>
            <w:pPr>
              <w:spacing w:line="240" w:lineRule="auto" w:after="0" w:before="0"/>
            </w:pPr>
            <w:r/>
            <w:r>
              <w:rPr>
                <w:sz w:val="16"/>
              </w:rPr>
              <w:t>Note 19 (protocol only; no result)</w:t>
            </w:r>
          </w:p>
        </w:tc>
        <w:tc>
          <w:tcPr>
            <w:tcW w:type="dxa" w:w="2268"/>
          </w:tcPr>
          <w:p>
            <w:pPr>
              <w:spacing w:line="240" w:lineRule="auto" w:after="0" w:before="0"/>
            </w:pPr>
            <w:r/>
            <w:r>
              <w:rPr>
                <w:rFonts w:ascii="Courier New" w:hAnsi="Courier New" w:eastAsia="Courier New" w:cs="Courier New"/>
                <w:color w:val="000000"/>
                <w:sz w:val="16"/>
              </w:rPr>
              <w:t>eval/audit/human_audit/sample_rules.py</w:t>
            </w:r>
            <w:r>
              <w:rPr>
                <w:sz w:val="16"/>
              </w:rPr>
              <w:t xml:space="preserve">; frozen sample </w:t>
            </w:r>
            <w:r>
              <w:rPr>
                <w:rFonts w:ascii="Courier New" w:hAnsi="Courier New" w:eastAsia="Courier New" w:cs="Courier New"/>
                <w:color w:val="000000"/>
                <w:sz w:val="16"/>
              </w:rPr>
              <w:t>human_audit_sample_100.csv</w:t>
            </w:r>
            <w:r>
              <w:rPr>
                <w:sz w:val="16"/>
              </w:rPr>
              <w:t xml:space="preserve"> (seed 20261028; SHA-256 in </w:t>
            </w:r>
            <w:r>
              <w:rPr>
                <w:rFonts w:ascii="Courier New" w:hAnsi="Courier New" w:eastAsia="Courier New" w:cs="Courier New"/>
                <w:color w:val="000000"/>
                <w:sz w:val="16"/>
              </w:rPr>
              <w:t>SHA256SUMS</w:t>
            </w:r>
            <w:r>
              <w:rPr>
                <w:sz w:val="16"/>
              </w:rPr>
              <w:t>)</w:t>
            </w:r>
          </w:p>
        </w:tc>
        <w:tc>
          <w:tcPr>
            <w:tcW w:type="dxa" w:w="2268"/>
          </w:tcPr>
          <w:p>
            <w:pPr>
              <w:spacing w:line="240" w:lineRule="auto" w:after="0" w:before="0"/>
            </w:pPr>
            <w:r/>
            <w:r>
              <w:rPr>
                <w:sz w:val="16"/>
              </w:rPr>
              <w:t>verification ledger at 15.2.0</w:t>
            </w:r>
          </w:p>
        </w:tc>
        <w:tc>
          <w:tcPr>
            <w:tcW w:type="dxa" w:w="2268"/>
          </w:tcPr>
          <w:p>
            <w:pPr>
              <w:spacing w:line="240" w:lineRule="auto" w:after="0" w:before="0"/>
            </w:pPr>
            <w:r/>
            <w:r>
              <w:rPr>
                <w:sz w:val="16"/>
              </w:rPr>
              <w:t>15.2.0</w:t>
            </w:r>
          </w:p>
        </w:tc>
      </w:tr>
      <w:tr>
        <w:trPr>
          <w:cantSplit/>
        </w:trPr>
        <w:tc>
          <w:tcPr>
            <w:tcW w:type="dxa" w:w="2268"/>
          </w:tcPr>
          <w:p>
            <w:pPr>
              <w:spacing w:line="240" w:lineRule="auto" w:after="0" w:before="0"/>
            </w:pPr>
            <w:r/>
            <w:r>
              <w:rPr>
                <w:sz w:val="16"/>
              </w:rPr>
              <w:t xml:space="preserve">Table 4, Fig. 5, Fig. 4 (ML baseline: </w:t>
            </w:r>
            <w:r>
              <w:rPr>
                <w:rFonts w:ascii="Courier New" w:hAnsi="Courier New" w:eastAsia="Courier New" w:cs="Courier New"/>
                <w:color w:val="000000"/>
                <w:sz w:val="16"/>
              </w:rPr>
              <w:t>eval/baselines/ml_baseline_eicu.py</w:t>
            </w:r>
            <w:r>
              <w:rPr>
                <w:sz w:val="16"/>
              </w:rPr>
              <w:t>), Table S7, Table S13, Note 10</w:t>
            </w:r>
          </w:p>
        </w:tc>
        <w:tc>
          <w:tcPr>
            <w:tcW w:type="dxa" w:w="2268"/>
          </w:tcPr>
          <w:p>
            <w:pPr>
              <w:spacing w:line="240" w:lineRule="auto" w:after="0" w:before="0"/>
            </w:pPr>
            <w:r/>
            <w:r>
              <w:rPr>
                <w:rFonts w:ascii="Courier New" w:hAnsi="Courier New" w:eastAsia="Courier New" w:cs="Courier New"/>
                <w:color w:val="000000"/>
                <w:sz w:val="16"/>
              </w:rPr>
              <w:t>eval/realdata/eval_nhanes.py</w:t>
            </w:r>
            <w:r>
              <w:rPr>
                <w:sz w:val="16"/>
              </w:rPr>
              <w:t xml:space="preserve">, </w:t>
            </w:r>
            <w:r>
              <w:rPr>
                <w:rFonts w:ascii="Courier New" w:hAnsi="Courier New" w:eastAsia="Courier New" w:cs="Courier New"/>
                <w:color w:val="000000"/>
                <w:sz w:val="16"/>
              </w:rPr>
              <w:t>eval_uci_thyroid.py</w:t>
            </w:r>
            <w:r>
              <w:rPr>
                <w:sz w:val="16"/>
              </w:rPr>
              <w:t xml:space="preserve">, </w:t>
            </w:r>
            <w:r>
              <w:rPr>
                <w:rFonts w:ascii="Courier New" w:hAnsi="Courier New" w:eastAsia="Courier New" w:cs="Courier New"/>
                <w:color w:val="000000"/>
                <w:sz w:val="16"/>
              </w:rPr>
              <w:t>eval_uci_hcv.py</w:t>
            </w:r>
            <w:r>
              <w:rPr>
                <w:sz w:val="16"/>
              </w:rPr>
              <w:t xml:space="preserve">, </w:t>
            </w:r>
            <w:r>
              <w:rPr>
                <w:rFonts w:ascii="Courier New" w:hAnsi="Courier New" w:eastAsia="Courier New" w:cs="Courier New"/>
                <w:color w:val="000000"/>
                <w:sz w:val="16"/>
              </w:rPr>
              <w:t>eval_ilpd.py</w:t>
            </w:r>
            <w:r>
              <w:rPr>
                <w:sz w:val="16"/>
              </w:rPr>
              <w:t xml:space="preserve">, </w:t>
            </w:r>
            <w:r>
              <w:rPr>
                <w:rFonts w:ascii="Courier New" w:hAnsi="Courier New" w:eastAsia="Courier New" w:cs="Courier New"/>
                <w:color w:val="000000"/>
                <w:sz w:val="16"/>
              </w:rPr>
              <w:t>eval_pmc_cases.py</w:t>
            </w:r>
            <w:r>
              <w:rPr>
                <w:sz w:val="16"/>
              </w:rPr>
              <w:t xml:space="preserve">, </w:t>
            </w:r>
            <w:r>
              <w:rPr>
                <w:rFonts w:ascii="Courier New" w:hAnsi="Courier New" w:eastAsia="Courier New" w:cs="Courier New"/>
                <w:color w:val="000000"/>
                <w:sz w:val="16"/>
              </w:rPr>
              <w:t>eval/mimic/run_retrospective.py</w:t>
            </w:r>
          </w:p>
        </w:tc>
        <w:tc>
          <w:tcPr>
            <w:tcW w:type="dxa" w:w="2268"/>
          </w:tcPr>
          <w:p>
            <w:pPr>
              <w:spacing w:line="240" w:lineRule="auto" w:after="0" w:before="0"/>
            </w:pPr>
            <w:r/>
            <w:r>
              <w:rPr>
                <w:sz w:val="16"/>
              </w:rPr>
              <w:t>NHANES H/I/J, UCI thyroid0387, UCI HCV, ILPD, MIMIC-IV demo, PMC case reports</w:t>
            </w:r>
          </w:p>
        </w:tc>
        <w:tc>
          <w:tcPr>
            <w:tcW w:type="dxa" w:w="2268"/>
          </w:tcPr>
          <w:p>
            <w:pPr>
              <w:spacing w:line="240" w:lineRule="auto" w:after="0" w:before="0"/>
            </w:pPr>
            <w:r/>
            <w:r>
              <w:rPr>
                <w:sz w:val="16"/>
              </w:rPr>
              <w:t>v7 / 14.1.0</w:t>
            </w:r>
          </w:p>
        </w:tc>
      </w:tr>
      <w:tr>
        <w:trPr>
          <w:cantSplit/>
        </w:trPr>
        <w:tc>
          <w:tcPr>
            <w:tcW w:type="dxa" w:w="2268"/>
          </w:tcPr>
          <w:p>
            <w:pPr>
              <w:spacing w:line="240" w:lineRule="auto" w:after="0" w:before="0"/>
            </w:pPr>
            <w:r/>
            <w:r>
              <w:rPr>
                <w:sz w:val="16"/>
              </w:rPr>
              <w:t>Fig. 6, Table S16</w:t>
            </w:r>
          </w:p>
        </w:tc>
        <w:tc>
          <w:tcPr>
            <w:tcW w:type="dxa" w:w="2268"/>
          </w:tcPr>
          <w:p>
            <w:pPr>
              <w:spacing w:line="240" w:lineRule="auto" w:after="0" w:before="0"/>
            </w:pPr>
            <w:r/>
            <w:r>
              <w:rPr>
                <w:rFonts w:ascii="Courier New" w:hAnsi="Courier New" w:eastAsia="Courier New" w:cs="Courier New"/>
                <w:color w:val="000000"/>
                <w:sz w:val="16"/>
              </w:rPr>
              <w:t>eval/realdata/eval_sepsis2019.py</w:t>
            </w:r>
            <w:r>
              <w:rPr>
                <w:sz w:val="16"/>
              </w:rPr>
              <w:t xml:space="preserve">, </w:t>
            </w:r>
            <w:r>
              <w:rPr>
                <w:rFonts w:ascii="Courier New" w:hAnsi="Courier New" w:eastAsia="Courier New" w:cs="Courier New"/>
                <w:color w:val="000000"/>
                <w:sz w:val="16"/>
              </w:rPr>
              <w:t>eval_sepsis2019_concurrent.py</w:t>
            </w:r>
            <w:r>
              <w:rPr>
                <w:sz w:val="16"/>
              </w:rPr>
              <w:t xml:space="preserve">, </w:t>
            </w:r>
            <w:r>
              <w:rPr>
                <w:rFonts w:ascii="Courier New" w:hAnsi="Courier New" w:eastAsia="Courier New" w:cs="Courier New"/>
                <w:color w:val="000000"/>
                <w:sz w:val="16"/>
              </w:rPr>
              <w:t>eval/sepsis_ml/sepsis_risk_module.py</w:t>
            </w:r>
          </w:p>
        </w:tc>
        <w:tc>
          <w:tcPr>
            <w:tcW w:type="dxa" w:w="2268"/>
          </w:tcPr>
          <w:p>
            <w:pPr>
              <w:spacing w:line="240" w:lineRule="auto" w:after="0" w:before="0"/>
            </w:pPr>
            <w:r/>
            <w:r>
              <w:rPr>
                <w:sz w:val="16"/>
              </w:rPr>
              <w:t>PhysioNet Sepsis-2019 sets A, B, B2</w:t>
            </w:r>
          </w:p>
        </w:tc>
        <w:tc>
          <w:tcPr>
            <w:tcW w:type="dxa" w:w="2268"/>
          </w:tcPr>
          <w:p>
            <w:pPr>
              <w:spacing w:line="240" w:lineRule="auto" w:after="0" w:before="0"/>
            </w:pPr>
            <w:r/>
            <w:r>
              <w:rPr>
                <w:sz w:val="16"/>
              </w:rPr>
              <w:t>v7 / 14.1.0</w:t>
            </w:r>
          </w:p>
        </w:tc>
      </w:tr>
      <w:tr>
        <w:trPr>
          <w:cantSplit/>
        </w:trPr>
        <w:tc>
          <w:tcPr>
            <w:tcW w:type="dxa" w:w="2268"/>
          </w:tcPr>
          <w:p>
            <w:pPr>
              <w:spacing w:line="240" w:lineRule="auto" w:after="0" w:before="0"/>
            </w:pPr>
            <w:r/>
            <w:r>
              <w:rPr>
                <w:sz w:val="16"/>
              </w:rPr>
              <w:t>Section 3.1, Note 4</w:t>
            </w:r>
          </w:p>
        </w:tc>
        <w:tc>
          <w:tcPr>
            <w:tcW w:type="dxa" w:w="2268"/>
          </w:tcPr>
          <w:p>
            <w:pPr>
              <w:spacing w:line="240" w:lineRule="auto" w:after="0" w:before="0"/>
            </w:pPr>
            <w:r/>
            <w:r>
              <w:rPr>
                <w:rFonts w:ascii="Courier New" w:hAnsi="Courier New" w:eastAsia="Courier New" w:cs="Courier New"/>
                <w:color w:val="000000"/>
                <w:sz w:val="16"/>
              </w:rPr>
              <w:t>tests/test_properties.py</w:t>
            </w:r>
            <w:r>
              <w:rPr>
                <w:sz w:val="16"/>
              </w:rPr>
              <w:t xml:space="preserve">, </w:t>
            </w:r>
            <w:r>
              <w:rPr>
                <w:rFonts w:ascii="Courier New" w:hAnsi="Courier New" w:eastAsia="Courier New" w:cs="Courier New"/>
                <w:color w:val="000000"/>
                <w:sz w:val="16"/>
              </w:rPr>
              <w:t>tests/test_bayes_properties.py</w:t>
            </w:r>
            <w:r>
              <w:rPr>
                <w:sz w:val="16"/>
              </w:rPr>
              <w:t xml:space="preserve">, </w:t>
            </w:r>
            <w:r>
              <w:rPr>
                <w:rFonts w:ascii="Courier New" w:hAnsi="Courier New" w:eastAsia="Courier New" w:cs="Courier New"/>
                <w:color w:val="000000"/>
                <w:sz w:val="16"/>
              </w:rPr>
              <w:t>tests/hard_battery.py</w:t>
            </w:r>
            <w:r>
              <w:rPr>
                <w:sz w:val="16"/>
              </w:rPr>
              <w:t xml:space="preserve">, </w:t>
            </w:r>
            <w:r>
              <w:rPr>
                <w:rFonts w:ascii="Courier New" w:hAnsi="Courier New" w:eastAsia="Courier New" w:cs="Courier New"/>
                <w:color w:val="000000"/>
                <w:sz w:val="16"/>
              </w:rPr>
              <w:t>hard_battery2.py</w:t>
            </w:r>
            <w:r>
              <w:rPr>
                <w:sz w:val="16"/>
              </w:rPr>
              <w:t xml:space="preserve">, </w:t>
            </w:r>
            <w:r>
              <w:rPr>
                <w:rFonts w:ascii="Courier New" w:hAnsi="Courier New" w:eastAsia="Courier New" w:cs="Courier New"/>
                <w:color w:val="000000"/>
                <w:sz w:val="16"/>
              </w:rPr>
              <w:t>hard_battery3.py</w:t>
            </w:r>
            <w:r>
              <w:rPr>
                <w:sz w:val="16"/>
              </w:rPr>
              <w:t xml:space="preserve">, </w:t>
            </w:r>
            <w:r>
              <w:rPr>
                <w:rFonts w:ascii="Courier New" w:hAnsi="Courier New" w:eastAsia="Courier New" w:cs="Courier New"/>
                <w:color w:val="000000"/>
                <w:sz w:val="16"/>
              </w:rPr>
              <w:t>tests/healthy_sweep.py</w:t>
            </w:r>
            <w:r>
              <w:rPr>
                <w:sz w:val="16"/>
              </w:rPr>
              <w:t xml:space="preserve">, </w:t>
            </w:r>
            <w:r>
              <w:rPr>
                <w:rFonts w:ascii="Courier New" w:hAnsi="Courier New" w:eastAsia="Courier New" w:cs="Courier New"/>
                <w:color w:val="000000"/>
                <w:sz w:val="16"/>
              </w:rPr>
              <w:t>tests/perturbation_fuzz.py</w:t>
            </w:r>
          </w:p>
        </w:tc>
        <w:tc>
          <w:tcPr>
            <w:tcW w:type="dxa" w:w="2268"/>
          </w:tcPr>
          <w:p>
            <w:pPr>
              <w:spacing w:line="240" w:lineRule="auto" w:after="0" w:before="0"/>
            </w:pPr>
            <w:r/>
            <w:r>
              <w:rPr>
                <w:sz w:val="16"/>
              </w:rPr>
              <w:t>synthetic panels (seeded)</w:t>
            </w:r>
          </w:p>
        </w:tc>
        <w:tc>
          <w:tcPr>
            <w:tcW w:type="dxa" w:w="2268"/>
          </w:tcPr>
          <w:p>
            <w:pPr>
              <w:spacing w:line="240" w:lineRule="auto" w:after="0" w:before="0"/>
            </w:pPr>
            <w:r/>
            <w:r>
              <w:rPr>
                <w:sz w:val="16"/>
              </w:rPr>
              <w:t>v7, v8, v8.1</w:t>
            </w:r>
          </w:p>
        </w:tc>
      </w:tr>
      <w:tr>
        <w:trPr>
          <w:cantSplit/>
        </w:trPr>
        <w:tc>
          <w:tcPr>
            <w:tcW w:type="dxa" w:w="2268"/>
          </w:tcPr>
          <w:p>
            <w:pPr>
              <w:spacing w:line="240" w:lineRule="auto" w:after="0" w:before="0"/>
            </w:pPr>
            <w:r/>
            <w:r>
              <w:rPr>
                <w:sz w:val="16"/>
              </w:rPr>
              <w:t>Section 3.7, Table 6, Note 13</w:t>
            </w:r>
          </w:p>
        </w:tc>
        <w:tc>
          <w:tcPr>
            <w:tcW w:type="dxa" w:w="2268"/>
          </w:tcPr>
          <w:p>
            <w:pPr>
              <w:spacing w:line="240" w:lineRule="auto" w:after="0" w:before="0"/>
            </w:pPr>
            <w:r/>
            <w:r>
              <w:rPr>
                <w:rFonts w:ascii="Courier New" w:hAnsi="Courier New" w:eastAsia="Courier New" w:cs="Courier New"/>
                <w:color w:val="000000"/>
                <w:sz w:val="16"/>
              </w:rPr>
              <w:t>eval/blackbox/make_property_panels.py</w:t>
            </w:r>
            <w:r>
              <w:rPr>
                <w:sz w:val="16"/>
              </w:rPr>
              <w:t xml:space="preserve">, </w:t>
            </w:r>
            <w:r>
              <w:rPr>
                <w:rFonts w:ascii="Courier New" w:hAnsi="Courier New" w:eastAsia="Courier New" w:cs="Courier New"/>
                <w:color w:val="000000"/>
                <w:sz w:val="16"/>
              </w:rPr>
              <w:t>eval/blackbox/score_property_panels.py</w:t>
            </w:r>
            <w:r>
              <w:rPr>
                <w:sz w:val="16"/>
              </w:rPr>
              <w:t xml:space="preserve">; package </w:t>
            </w:r>
            <w:r>
              <w:rPr>
                <w:rFonts w:ascii="Courier New" w:hAnsi="Courier New" w:eastAsia="Courier New" w:cs="Courier New"/>
                <w:color w:val="000000"/>
                <w:sz w:val="16"/>
              </w:rPr>
              <w:t>eval/labpanel_check/score.py</w:t>
            </w:r>
            <w:r>
              <w:rPr>
                <w:sz w:val="16"/>
              </w:rPr>
              <w:t xml:space="preserve"> (</w:t>
            </w:r>
            <w:r>
              <w:rPr>
                <w:rFonts w:ascii="Courier New" w:hAnsi="Courier New" w:eastAsia="Courier New" w:cs="Courier New"/>
                <w:color w:val="000000"/>
                <w:sz w:val="16"/>
              </w:rPr>
              <w:t>build_package.py</w:t>
            </w:r>
            <w:r>
              <w:rPr>
                <w:sz w:val="16"/>
              </w:rPr>
              <w:t xml:space="preserve">); healthy-adult row: </w:t>
            </w:r>
            <w:r>
              <w:rPr>
                <w:rFonts w:ascii="Courier New" w:hAnsi="Courier New" w:eastAsia="Courier New" w:cs="Courier New"/>
                <w:color w:val="000000"/>
                <w:sz w:val="16"/>
              </w:rPr>
              <w:t>eval/baselines/b5_nhanes_blind.py</w:t>
            </w:r>
          </w:p>
        </w:tc>
        <w:tc>
          <w:tcPr>
            <w:tcW w:type="dxa" w:w="2268"/>
          </w:tcPr>
          <w:p>
            <w:pPr>
              <w:spacing w:line="240" w:lineRule="auto" w:after="0" w:before="0"/>
            </w:pPr>
            <w:r/>
            <w:r>
              <w:rPr>
                <w:sz w:val="16"/>
              </w:rPr>
              <w:t>40/40/60/40 perturbed eICU panels from the 400 blinded stays; NHANES 2017–18</w:t>
            </w:r>
          </w:p>
        </w:tc>
        <w:tc>
          <w:tcPr>
            <w:tcW w:type="dxa" w:w="2268"/>
          </w:tcPr>
          <w:p>
            <w:pPr>
              <w:spacing w:line="240" w:lineRule="auto" w:after="0" w:before="0"/>
            </w:pPr>
            <w:r/>
            <w:r>
              <w:rPr>
                <w:sz w:val="16"/>
              </w:rPr>
              <w:t>v8.1 (first run) and v8.2; LLM as Note 2</w:t>
            </w:r>
          </w:p>
        </w:tc>
      </w:tr>
      <w:tr>
        <w:trPr>
          <w:cantSplit/>
        </w:trPr>
        <w:tc>
          <w:tcPr>
            <w:tcW w:type="dxa" w:w="2268"/>
          </w:tcPr>
          <w:p>
            <w:pPr>
              <w:spacing w:line="240" w:lineRule="auto" w:after="0" w:before="0"/>
            </w:pPr>
            <w:r/>
            <w:r>
              <w:rPr>
                <w:sz w:val="16"/>
              </w:rPr>
              <w:t>Section 3.8, Table 7, Note 14</w:t>
            </w:r>
          </w:p>
        </w:tc>
        <w:tc>
          <w:tcPr>
            <w:tcW w:type="dxa" w:w="2268"/>
          </w:tcPr>
          <w:p>
            <w:pPr>
              <w:spacing w:line="240" w:lineRule="auto" w:after="0" w:before="0"/>
            </w:pPr>
            <w:r/>
            <w:r>
              <w:rPr>
                <w:rFonts w:ascii="Courier New" w:hAnsi="Courier New" w:eastAsia="Courier New" w:cs="Courier New"/>
                <w:color w:val="000000"/>
                <w:sz w:val="16"/>
              </w:rPr>
              <w:t>eval/verifier/verify_llm_output.py</w:t>
            </w:r>
            <w:r>
              <w:rPr>
                <w:sz w:val="16"/>
              </w:rPr>
              <w:t xml:space="preserve">, </w:t>
            </w:r>
            <w:r>
              <w:rPr>
                <w:rFonts w:ascii="Courier New" w:hAnsi="Courier New" w:eastAsia="Courier New" w:cs="Courier New"/>
                <w:color w:val="000000"/>
                <w:sz w:val="16"/>
              </w:rPr>
              <w:t>eval/consensus/verified_consensus.py</w:t>
            </w:r>
            <w:r>
              <w:rPr>
                <w:sz w:val="16"/>
              </w:rPr>
              <w:t xml:space="preserve"> (protocols </w:t>
            </w:r>
            <w:r>
              <w:rPr>
                <w:rFonts w:ascii="Courier New" w:hAnsi="Courier New" w:eastAsia="Courier New" w:cs="Courier New"/>
                <w:color w:val="000000"/>
                <w:sz w:val="16"/>
              </w:rPr>
              <w:t>PROTOCOL.md</w:t>
            </w:r>
            <w:r>
              <w:rPr>
                <w:sz w:val="16"/>
              </w:rPr>
              <w:t xml:space="preserve"> in each folder)</w:t>
            </w:r>
          </w:p>
        </w:tc>
        <w:tc>
          <w:tcPr>
            <w:tcW w:type="dxa" w:w="2268"/>
          </w:tcPr>
          <w:p>
            <w:pPr>
              <w:spacing w:line="240" w:lineRule="auto" w:after="0" w:before="0"/>
            </w:pPr>
            <w:r/>
            <w:r>
              <w:rPr>
                <w:sz w:val="16"/>
              </w:rPr>
              <w:t>the 400 blind LLM readings and engine v7 outputs of Table 5</w:t>
            </w:r>
          </w:p>
        </w:tc>
        <w:tc>
          <w:tcPr>
            <w:tcW w:type="dxa" w:w="2268"/>
          </w:tcPr>
          <w:p>
            <w:pPr>
              <w:spacing w:line="240" w:lineRule="auto" w:after="0" w:before="0"/>
            </w:pPr>
            <w:r/>
            <w:r>
              <w:rPr>
                <w:sz w:val="16"/>
              </w:rPr>
              <w:t>v7; no new LLM call</w:t>
            </w:r>
          </w:p>
        </w:tc>
      </w:tr>
      <w:tr>
        <w:trPr>
          <w:cantSplit/>
        </w:trPr>
        <w:tc>
          <w:tcPr>
            <w:tcW w:type="dxa" w:w="2268"/>
          </w:tcPr>
          <w:p>
            <w:pPr>
              <w:spacing w:line="240" w:lineRule="auto" w:after="0" w:before="0"/>
            </w:pPr>
            <w:r/>
            <w:r>
              <w:rPr>
                <w:sz w:val="16"/>
              </w:rPr>
              <w:t>Section 3.2, Fig. S1, Note 8, Table S10</w:t>
            </w:r>
          </w:p>
        </w:tc>
        <w:tc>
          <w:tcPr>
            <w:tcW w:type="dxa" w:w="2268"/>
          </w:tcPr>
          <w:p>
            <w:pPr>
              <w:spacing w:line="240" w:lineRule="auto" w:after="0" w:before="0"/>
            </w:pPr>
            <w:r/>
            <w:r>
              <w:rPr>
                <w:rFonts w:ascii="Courier New" w:hAnsi="Courier New" w:eastAsia="Courier New" w:cs="Courier New"/>
                <w:color w:val="000000"/>
                <w:sz w:val="16"/>
              </w:rPr>
              <w:t>eval/source_audit/PROTOCOL.md</w:t>
            </w:r>
            <w:r>
              <w:rPr>
                <w:sz w:val="16"/>
              </w:rPr>
              <w:t xml:space="preserve"> with the frozen sample </w:t>
            </w:r>
            <w:r>
              <w:rPr>
                <w:rFonts w:ascii="Courier New" w:hAnsi="Courier New" w:eastAsia="Courier New" w:cs="Courier New"/>
                <w:color w:val="000000"/>
                <w:sz w:val="16"/>
              </w:rPr>
              <w:t>eval/source_audit/sample_200.csv</w:t>
            </w:r>
            <w:r>
              <w:rPr>
                <w:sz w:val="16"/>
              </w:rPr>
              <w:t xml:space="preserve"> (seed 20261026), </w:t>
            </w:r>
            <w:r>
              <w:rPr>
                <w:rFonts w:ascii="Courier New" w:hAnsi="Courier New" w:eastAsia="Courier New" w:cs="Courier New"/>
                <w:color w:val="000000"/>
                <w:sz w:val="16"/>
              </w:rPr>
              <w:t>eval/registry_source_verify.py</w:t>
            </w:r>
          </w:p>
        </w:tc>
        <w:tc>
          <w:tcPr>
            <w:tcW w:type="dxa" w:w="2268"/>
          </w:tcPr>
          <w:p>
            <w:pPr>
              <w:spacing w:line="240" w:lineRule="auto" w:after="0" w:before="0"/>
            </w:pPr>
            <w:r/>
            <w:r>
              <w:rPr>
                <w:sz w:val="16"/>
              </w:rPr>
              <w:t>registry 14.1.0 (seed 20261026)</w:t>
            </w:r>
          </w:p>
        </w:tc>
        <w:tc>
          <w:tcPr>
            <w:tcW w:type="dxa" w:w="2268"/>
          </w:tcPr>
          <w:p>
            <w:pPr>
              <w:spacing w:line="240" w:lineRule="auto" w:after="0" w:before="0"/>
            </w:pPr>
            <w:r/>
            <w:r>
              <w:rPr>
                <w:sz w:val="16"/>
              </w:rPr>
              <w:t>14.1.0</w:t>
            </w:r>
          </w:p>
        </w:tc>
      </w:tr>
      <w:tr>
        <w:trPr>
          <w:cantSplit/>
        </w:trPr>
        <w:tc>
          <w:tcPr>
            <w:tcW w:type="dxa" w:w="2268"/>
          </w:tcPr>
          <w:p>
            <w:pPr>
              <w:spacing w:line="240" w:lineRule="auto" w:after="0" w:before="0"/>
            </w:pPr>
            <w:r/>
            <w:r>
              <w:rPr>
                <w:sz w:val="16"/>
              </w:rPr>
              <w:t>Section 3.3, Note 15</w:t>
            </w:r>
          </w:p>
        </w:tc>
        <w:tc>
          <w:tcPr>
            <w:tcW w:type="dxa" w:w="2268"/>
          </w:tcPr>
          <w:p>
            <w:pPr>
              <w:spacing w:line="240" w:lineRule="auto" w:after="0" w:before="0"/>
            </w:pPr>
            <w:r/>
            <w:r>
              <w:rPr>
                <w:rFonts w:ascii="Courier New" w:hAnsi="Courier New" w:eastAsia="Courier New" w:cs="Courier New"/>
                <w:color w:val="000000"/>
                <w:sz w:val="16"/>
              </w:rPr>
              <w:t>eval/provenance/PROTOCOL.md</w:t>
            </w:r>
            <w:r>
              <w:rPr>
                <w:sz w:val="16"/>
              </w:rPr>
              <w:t xml:space="preserve">, </w:t>
            </w:r>
            <w:r>
              <w:rPr>
                <w:rFonts w:ascii="Courier New" w:hAnsi="Courier New" w:eastAsia="Courier New" w:cs="Courier New"/>
                <w:color w:val="000000"/>
                <w:sz w:val="16"/>
              </w:rPr>
              <w:t>eval/provenance/activity_log.py</w:t>
            </w:r>
            <w:r>
              <w:rPr>
                <w:sz w:val="16"/>
              </w:rPr>
              <w:t xml:space="preserve">, </w:t>
            </w:r>
            <w:r>
              <w:rPr>
                <w:rFonts w:ascii="Courier New" w:hAnsi="Courier New" w:eastAsia="Courier New" w:cs="Courier New"/>
                <w:color w:val="000000"/>
                <w:sz w:val="16"/>
              </w:rPr>
              <w:t>core_analysis.py</w:t>
            </w:r>
            <w:r>
              <w:rPr>
                <w:sz w:val="16"/>
              </w:rPr>
              <w:t xml:space="preserve">, </w:t>
            </w:r>
            <w:r>
              <w:rPr>
                <w:rFonts w:ascii="Courier New" w:hAnsi="Courier New" w:eastAsia="Courier New" w:cs="Courier New"/>
                <w:color w:val="000000"/>
                <w:sz w:val="16"/>
              </w:rPr>
              <w:t>resource_core.py</w:t>
            </w:r>
            <w:r>
              <w:rPr>
                <w:sz w:val="16"/>
              </w:rPr>
              <w:t xml:space="preserve">; frozen sample </w:t>
            </w:r>
            <w:r>
              <w:rPr>
                <w:rFonts w:ascii="Courier New" w:hAnsi="Courier New" w:eastAsia="Courier New" w:cs="Courier New"/>
                <w:color w:val="000000"/>
                <w:sz w:val="16"/>
              </w:rPr>
              <w:t>eval/provenance/phase_c_sample_100.csv</w:t>
            </w:r>
            <w:r>
              <w:rPr>
                <w:sz w:val="16"/>
              </w:rPr>
              <w:t xml:space="preserve"> (seed 20261028)</w:t>
            </w:r>
          </w:p>
        </w:tc>
        <w:tc>
          <w:tcPr>
            <w:tcW w:type="dxa" w:w="2268"/>
          </w:tcPr>
          <w:p>
            <w:pPr>
              <w:spacing w:line="240" w:lineRule="auto" w:after="0" w:before="0"/>
            </w:pPr>
            <w:r/>
            <w:r>
              <w:rPr>
                <w:sz w:val="16"/>
              </w:rPr>
              <w:t>eICU-CRD demo first panels; NHANES 2015–16 and 2017–18</w:t>
            </w:r>
          </w:p>
        </w:tc>
        <w:tc>
          <w:tcPr>
            <w:tcW w:type="dxa" w:w="2268"/>
          </w:tcPr>
          <w:p>
            <w:pPr>
              <w:spacing w:line="240" w:lineRule="auto" w:after="0" w:before="0"/>
            </w:pPr>
            <w:r/>
            <w:r>
              <w:rPr>
                <w:sz w:val="16"/>
              </w:rPr>
              <w:t>registry 14.2.0; harness v8.2 (activity only; no v7 metric affected)</w:t>
            </w:r>
          </w:p>
        </w:tc>
      </w:tr>
      <w:tr>
        <w:trPr>
          <w:cantSplit/>
        </w:trPr>
        <w:tc>
          <w:tcPr>
            <w:tcW w:type="dxa" w:w="2268"/>
          </w:tcPr>
          <w:p>
            <w:pPr>
              <w:spacing w:line="240" w:lineRule="auto" w:after="0" w:before="0"/>
            </w:pPr>
            <w:r/>
            <w:r>
              <w:rPr>
                <w:sz w:val="16"/>
              </w:rPr>
              <w:t>Section 3.9, Note 16</w:t>
            </w:r>
          </w:p>
        </w:tc>
        <w:tc>
          <w:tcPr>
            <w:tcW w:type="dxa" w:w="2268"/>
          </w:tcPr>
          <w:p>
            <w:pPr>
              <w:spacing w:line="240" w:lineRule="auto" w:after="0" w:before="0"/>
            </w:pPr>
            <w:r/>
            <w:r>
              <w:rPr>
                <w:rFonts w:ascii="Courier New" w:hAnsi="Courier New" w:eastAsia="Courier New" w:cs="Courier New"/>
                <w:color w:val="000000"/>
                <w:sz w:val="16"/>
              </w:rPr>
              <w:t>eval/audit/PROTOCOL_AUDIT.md</w:t>
            </w:r>
            <w:r>
              <w:rPr>
                <w:sz w:val="16"/>
              </w:rPr>
              <w:t xml:space="preserve">, </w:t>
            </w:r>
            <w:r>
              <w:rPr>
                <w:rFonts w:ascii="Courier New" w:hAnsi="Courier New" w:eastAsia="Courier New" w:cs="Courier New"/>
                <w:color w:val="000000"/>
                <w:sz w:val="16"/>
              </w:rPr>
              <w:t>make_core_registry.py</w:t>
            </w:r>
            <w:r>
              <w:rPr>
                <w:sz w:val="16"/>
              </w:rPr>
              <w:t xml:space="preserve">, </w:t>
            </w:r>
            <w:r>
              <w:rPr>
                <w:rFonts w:ascii="Courier New" w:hAnsi="Courier New" w:eastAsia="Courier New" w:cs="Courier New"/>
                <w:color w:val="000000"/>
                <w:sz w:val="16"/>
              </w:rPr>
              <w:t>audit.py</w:t>
            </w:r>
            <w:r>
              <w:rPr>
                <w:sz w:val="16"/>
              </w:rPr>
              <w:t xml:space="preserve">, </w:t>
            </w:r>
            <w:r>
              <w:rPr>
                <w:rFonts w:ascii="Courier New" w:hAnsi="Courier New" w:eastAsia="Courier New" w:cs="Courier New"/>
                <w:color w:val="000000"/>
                <w:sz w:val="16"/>
              </w:rPr>
              <w:t>mutate.py</w:t>
            </w:r>
            <w:r>
              <w:rPr>
                <w:sz w:val="16"/>
              </w:rPr>
              <w:t xml:space="preserve">, </w:t>
            </w:r>
            <w:r>
              <w:rPr>
                <w:rFonts w:ascii="Courier New" w:hAnsi="Courier New" w:eastAsia="Courier New" w:cs="Courier New"/>
                <w:color w:val="000000"/>
                <w:sz w:val="16"/>
              </w:rPr>
              <w:t>convert_llm_corpus.py</w:t>
            </w:r>
            <w:r>
              <w:rPr>
                <w:sz w:val="16"/>
              </w:rPr>
              <w:t xml:space="preserve">; CORE arm re-runs with </w:t>
            </w:r>
            <w:r>
              <w:rPr>
                <w:rFonts w:ascii="Courier New" w:hAnsi="Courier New" w:eastAsia="Courier New" w:cs="Courier New"/>
                <w:color w:val="000000"/>
                <w:sz w:val="16"/>
              </w:rPr>
              <w:t>eval/realdata/eval_eicu.py --encounter icu</w:t>
            </w:r>
            <w:r>
              <w:rPr>
                <w:sz w:val="16"/>
              </w:rPr>
              <w:t xml:space="preserve"> and </w:t>
            </w:r>
            <w:r>
              <w:rPr>
                <w:rFonts w:ascii="Courier New" w:hAnsi="Courier New" w:eastAsia="Courier New" w:cs="Courier New"/>
                <w:color w:val="000000"/>
                <w:sz w:val="16"/>
              </w:rPr>
              <w:t>eval/realdata/eval_nhanes.py --n-max 1000 --encounter community</w:t>
            </w:r>
            <w:r>
              <w:rPr>
                <w:sz w:val="16"/>
              </w:rPr>
              <w:t>; paired comparison as for the 15.1.0 gate</w:t>
            </w:r>
          </w:p>
        </w:tc>
        <w:tc>
          <w:tcPr>
            <w:tcW w:type="dxa" w:w="2268"/>
          </w:tcPr>
          <w:p>
            <w:pPr>
              <w:spacing w:line="240" w:lineRule="auto" w:after="0" w:before="0"/>
            </w:pPr>
            <w:r/>
            <w:r>
              <w:rPr>
                <w:sz w:val="16"/>
              </w:rPr>
              <w:t>eICU-CRD demo (2,314 stays); NHANES 2017–18 (1,000 adults); registries 14.1.0 and 15.1.0; second LLM-written corpus (400 rules, hash-frozen)</w:t>
            </w:r>
          </w:p>
        </w:tc>
        <w:tc>
          <w:tcPr>
            <w:tcW w:type="dxa" w:w="2268"/>
          </w:tcPr>
          <w:p>
            <w:pPr>
              <w:spacing w:line="240" w:lineRule="auto" w:after="0" w:before="0"/>
            </w:pPr>
            <w:r/>
            <w:r>
              <w:rPr>
                <w:sz w:val="16"/>
              </w:rPr>
              <w:t>registry 15.1.0 vs its 335-rule audited core, engine v8.2 in both arms (development; no v7 metric affected)</w:t>
            </w:r>
          </w:p>
        </w:tc>
      </w:tr>
      <w:tr>
        <w:trPr>
          <w:cantSplit/>
        </w:trPr>
        <w:tc>
          <w:tcPr>
            <w:tcW w:type="dxa" w:w="2268"/>
          </w:tcPr>
          <w:p>
            <w:pPr>
              <w:spacing w:line="240" w:lineRule="auto" w:after="0" w:before="0"/>
            </w:pPr>
            <w:r/>
            <w:r>
              <w:rPr>
                <w:sz w:val="16"/>
              </w:rPr>
              <w:t>Section 3.9, Note 18</w:t>
            </w:r>
          </w:p>
        </w:tc>
        <w:tc>
          <w:tcPr>
            <w:tcW w:type="dxa" w:w="2268"/>
          </w:tcPr>
          <w:p>
            <w:pPr>
              <w:spacing w:line="240" w:lineRule="auto" w:after="0" w:before="0"/>
            </w:pPr>
            <w:r/>
            <w:r>
              <w:rPr>
                <w:rFonts w:ascii="Courier New" w:hAnsi="Courier New" w:eastAsia="Courier New" w:cs="Courier New"/>
                <w:color w:val="000000"/>
                <w:sz w:val="16"/>
              </w:rPr>
              <w:t>eval/verification_ledger/build_ledger.py</w:t>
            </w:r>
            <w:r>
              <w:rPr>
                <w:sz w:val="16"/>
              </w:rPr>
              <w:t xml:space="preserve"> (join only; inputs are the frozen outputs of Notes 8, 15, 16, </w:t>
            </w:r>
            <w:r>
              <w:rPr>
                <w:rFonts w:ascii="Courier New" w:hAnsi="Courier New" w:eastAsia="Courier New" w:cs="Courier New"/>
                <w:color w:val="000000"/>
                <w:sz w:val="16"/>
              </w:rPr>
              <w:t>eval/audit/audit.py</w:t>
            </w:r>
            <w:r>
              <w:rPr>
                <w:sz w:val="16"/>
              </w:rPr>
              <w:t xml:space="preserve"> and </w:t>
            </w:r>
            <w:r>
              <w:rPr>
                <w:rFonts w:ascii="Courier New" w:hAnsi="Courier New" w:eastAsia="Courier New" w:cs="Courier New"/>
                <w:color w:val="000000"/>
                <w:sz w:val="16"/>
              </w:rPr>
              <w:t>tests/test_properties.py</w:t>
            </w:r>
            <w:r>
              <w:rPr>
                <w:sz w:val="16"/>
              </w:rPr>
              <w:t xml:space="preserve">); </w:t>
            </w:r>
            <w:r>
              <w:rPr>
                <w:rFonts w:ascii="Courier New" w:hAnsi="Courier New" w:eastAsia="Courier New" w:cs="Courier New"/>
                <w:color w:val="000000"/>
                <w:sz w:val="16"/>
              </w:rPr>
              <w:t>tests/test_verification_ledger.py</w:t>
            </w:r>
          </w:p>
        </w:tc>
        <w:tc>
          <w:tcPr>
            <w:tcW w:type="dxa" w:w="2268"/>
          </w:tcPr>
          <w:p>
            <w:pPr>
              <w:spacing w:line="240" w:lineRule="auto" w:after="0" w:before="0"/>
            </w:pPr>
            <w:r/>
            <w:r>
              <w:rPr>
                <w:sz w:val="16"/>
              </w:rPr>
              <w:t>none (no data touched)</w:t>
            </w:r>
          </w:p>
        </w:tc>
        <w:tc>
          <w:tcPr>
            <w:tcW w:type="dxa" w:w="2268"/>
          </w:tcPr>
          <w:p>
            <w:pPr>
              <w:spacing w:line="240" w:lineRule="auto" w:after="0" w:before="0"/>
            </w:pPr>
            <w:r/>
            <w:r>
              <w:rPr>
                <w:sz w:val="16"/>
              </w:rPr>
              <w:t>registries 14.1.0, 15.1.0, 15.2.0 (no metric affected)</w:t>
            </w:r>
          </w:p>
        </w:tc>
      </w:tr>
      <w:tr>
        <w:trPr>
          <w:cantSplit/>
        </w:trPr>
        <w:tc>
          <w:tcPr>
            <w:tcW w:type="dxa" w:w="2268"/>
          </w:tcPr>
          <w:p>
            <w:pPr>
              <w:spacing w:line="240" w:lineRule="auto" w:after="0" w:before="0"/>
            </w:pPr>
            <w:r/>
            <w:r>
              <w:rPr>
                <w:sz w:val="16"/>
              </w:rPr>
              <w:t>Note 18, release 15.3.0</w:t>
            </w:r>
          </w:p>
        </w:tc>
        <w:tc>
          <w:tcPr>
            <w:tcW w:type="dxa" w:w="2268"/>
          </w:tcPr>
          <w:p>
            <w:pPr>
              <w:spacing w:line="240" w:lineRule="auto" w:after="0" w:before="0"/>
            </w:pPr>
            <w:r/>
            <w:r>
              <w:rPr>
                <w:rFonts w:ascii="Courier New" w:hAnsi="Courier New" w:eastAsia="Courier New" w:cs="Courier New"/>
                <w:color w:val="000000"/>
                <w:sz w:val="16"/>
              </w:rPr>
              <w:t>eval/registry_patches/PROTOCOL_15_3_0.md</w:t>
            </w:r>
            <w:r>
              <w:rPr>
                <w:sz w:val="16"/>
              </w:rPr>
              <w:t xml:space="preserve">, </w:t>
            </w:r>
            <w:r>
              <w:rPr>
                <w:rFonts w:ascii="Courier New" w:hAnsi="Courier New" w:eastAsia="Courier New" w:cs="Courier New"/>
                <w:color w:val="000000"/>
                <w:sz w:val="16"/>
              </w:rPr>
              <w:t>patch_15_3_0.py</w:t>
            </w:r>
            <w:r>
              <w:rPr>
                <w:sz w:val="16"/>
              </w:rPr>
              <w:t xml:space="preserve">, </w:t>
            </w:r>
            <w:r>
              <w:rPr>
                <w:rFonts w:ascii="Courier New" w:hAnsi="Courier New" w:eastAsia="Courier New" w:cs="Courier New"/>
                <w:color w:val="000000"/>
                <w:sz w:val="16"/>
              </w:rPr>
              <w:t>gate_compare.py _r1520 _r1530</w:t>
            </w:r>
            <w:r>
              <w:rPr>
                <w:sz w:val="16"/>
              </w:rPr>
              <w:t>; gate re-runs as for 15.1.0</w:t>
            </w:r>
          </w:p>
        </w:tc>
        <w:tc>
          <w:tcPr>
            <w:tcW w:type="dxa" w:w="2268"/>
          </w:tcPr>
          <w:p>
            <w:pPr>
              <w:spacing w:line="240" w:lineRule="auto" w:after="0" w:before="0"/>
            </w:pPr>
            <w:r/>
            <w:r>
              <w:rPr>
                <w:sz w:val="16"/>
              </w:rPr>
              <w:t>eICU-CRD demo (2,314 stays); NHANES 2017–18 (1,000 adults)</w:t>
            </w:r>
          </w:p>
        </w:tc>
        <w:tc>
          <w:tcPr>
            <w:tcW w:type="dxa" w:w="2268"/>
          </w:tcPr>
          <w:p>
            <w:pPr>
              <w:spacing w:line="240" w:lineRule="auto" w:after="0" w:before="0"/>
            </w:pPr>
            <w:r/>
            <w:r>
              <w:rPr>
                <w:sz w:val="16"/>
              </w:rPr>
              <w:t>registry 15.2.0 vs 15.3.0, engine v8.2 (development; no v7 metric affected)</w:t>
            </w:r>
          </w:p>
        </w:tc>
      </w:tr>
      <w:tr>
        <w:trPr>
          <w:cantSplit/>
        </w:trPr>
        <w:tc>
          <w:tcPr>
            <w:tcW w:type="dxa" w:w="2268"/>
          </w:tcPr>
          <w:p>
            <w:pPr>
              <w:spacing w:line="240" w:lineRule="auto" w:after="0" w:before="0"/>
            </w:pPr>
            <w:r/>
            <w:r>
              <w:rPr>
                <w:sz w:val="16"/>
              </w:rPr>
              <w:t>Note 16, release 15.2.0</w:t>
            </w:r>
          </w:p>
        </w:tc>
        <w:tc>
          <w:tcPr>
            <w:tcW w:type="dxa" w:w="2268"/>
          </w:tcPr>
          <w:p>
            <w:pPr>
              <w:spacing w:line="240" w:lineRule="auto" w:after="0" w:before="0"/>
            </w:pPr>
            <w:r/>
            <w:r>
              <w:rPr>
                <w:rFonts w:ascii="Courier New" w:hAnsi="Courier New" w:eastAsia="Courier New" w:cs="Courier New"/>
                <w:color w:val="000000"/>
                <w:sz w:val="16"/>
              </w:rPr>
              <w:t>eval/registry_patches/PROTOCOL_15_2_0.md</w:t>
            </w:r>
            <w:r>
              <w:rPr>
                <w:sz w:val="16"/>
              </w:rPr>
              <w:t xml:space="preserve">, </w:t>
            </w:r>
            <w:r>
              <w:rPr>
                <w:rFonts w:ascii="Courier New" w:hAnsi="Courier New" w:eastAsia="Courier New" w:cs="Courier New"/>
                <w:color w:val="000000"/>
                <w:sz w:val="16"/>
              </w:rPr>
              <w:t>patch_15_2_0.py</w:t>
            </w:r>
            <w:r>
              <w:rPr>
                <w:sz w:val="16"/>
              </w:rPr>
              <w:t xml:space="preserve">, </w:t>
            </w:r>
            <w:r>
              <w:rPr>
                <w:rFonts w:ascii="Courier New" w:hAnsi="Courier New" w:eastAsia="Courier New" w:cs="Courier New"/>
                <w:color w:val="000000"/>
                <w:sz w:val="16"/>
              </w:rPr>
              <w:t>gate_compare.py</w:t>
            </w:r>
            <w:r>
              <w:rPr>
                <w:sz w:val="16"/>
              </w:rPr>
              <w:t>; gate re-runs as for 15.1.0</w:t>
            </w:r>
          </w:p>
        </w:tc>
        <w:tc>
          <w:tcPr>
            <w:tcW w:type="dxa" w:w="2268"/>
          </w:tcPr>
          <w:p>
            <w:pPr>
              <w:spacing w:line="240" w:lineRule="auto" w:after="0" w:before="0"/>
            </w:pPr>
            <w:r/>
            <w:r>
              <w:rPr>
                <w:sz w:val="16"/>
              </w:rPr>
              <w:t>eICU-CRD demo (2,314 stays); NHANES 2017–18 (1,000 adults)</w:t>
            </w:r>
          </w:p>
        </w:tc>
        <w:tc>
          <w:tcPr>
            <w:tcW w:type="dxa" w:w="2268"/>
          </w:tcPr>
          <w:p>
            <w:pPr>
              <w:spacing w:line="240" w:lineRule="auto" w:after="0" w:before="0"/>
            </w:pPr>
            <w:r/>
            <w:r>
              <w:rPr>
                <w:sz w:val="16"/>
              </w:rPr>
              <w:t>registry 15.1.0 vs 15.2.0, engine v8.2 (development; no v7 metric affected)</w:t>
            </w:r>
          </w:p>
        </w:tc>
      </w:tr>
      <w:tr>
        <w:trPr>
          <w:cantSplit/>
        </w:trPr>
        <w:tc>
          <w:tcPr>
            <w:tcW w:type="dxa" w:w="2268"/>
          </w:tcPr>
          <w:p>
            <w:pPr>
              <w:spacing w:line="240" w:lineRule="auto" w:after="0" w:before="0"/>
            </w:pPr>
            <w:r/>
            <w:r>
              <w:rPr>
                <w:sz w:val="16"/>
              </w:rPr>
              <w:t>Note 15, post-audit release</w:t>
            </w:r>
          </w:p>
        </w:tc>
        <w:tc>
          <w:tcPr>
            <w:tcW w:type="dxa" w:w="2268"/>
          </w:tcPr>
          <w:p>
            <w:pPr>
              <w:spacing w:line="240" w:lineRule="auto" w:after="0" w:before="0"/>
            </w:pPr>
            <w:r/>
            <w:r>
              <w:rPr>
                <w:rFonts w:ascii="Courier New" w:hAnsi="Courier New" w:eastAsia="Courier New" w:cs="Courier New"/>
                <w:color w:val="000000"/>
                <w:sz w:val="16"/>
              </w:rPr>
              <w:t>eval/registry_patches/PROTOCOL_15_0_0.md</w:t>
            </w:r>
            <w:r>
              <w:rPr>
                <w:sz w:val="16"/>
              </w:rPr>
              <w:t xml:space="preserve">, </w:t>
            </w:r>
            <w:r>
              <w:rPr>
                <w:rFonts w:ascii="Courier New" w:hAnsi="Courier New" w:eastAsia="Courier New" w:cs="Courier New"/>
                <w:color w:val="000000"/>
                <w:sz w:val="16"/>
              </w:rPr>
              <w:t>patch_15_0_0.py</w:t>
            </w:r>
            <w:r>
              <w:rPr>
                <w:sz w:val="16"/>
              </w:rPr>
              <w:t xml:space="preserve">; gate re-runs with </w:t>
            </w:r>
            <w:r>
              <w:rPr>
                <w:rFonts w:ascii="Courier New" w:hAnsi="Courier New" w:eastAsia="Courier New" w:cs="Courier New"/>
                <w:color w:val="000000"/>
                <w:sz w:val="16"/>
              </w:rPr>
              <w:t>eval/realdata/eval_eicu.py --encounter icu</w:t>
            </w:r>
            <w:r>
              <w:rPr>
                <w:sz w:val="16"/>
              </w:rPr>
              <w:t xml:space="preserve">, </w:t>
            </w:r>
            <w:r>
              <w:rPr>
                <w:rFonts w:ascii="Courier New" w:hAnsi="Courier New" w:eastAsia="Courier New" w:cs="Courier New"/>
                <w:color w:val="000000"/>
                <w:sz w:val="16"/>
              </w:rPr>
              <w:t>eval/realdata/eval_nhanes.py --n-max 1000 --encounter community</w:t>
            </w:r>
            <w:r>
              <w:rPr>
                <w:sz w:val="16"/>
              </w:rPr>
              <w:t xml:space="preserve">, </w:t>
            </w:r>
            <w:r>
              <w:rPr>
                <w:rFonts w:ascii="Courier New" w:hAnsi="Courier New" w:eastAsia="Courier New" w:cs="Courier New"/>
                <w:color w:val="000000"/>
                <w:sz w:val="16"/>
              </w:rPr>
              <w:t>eval/provenance/activity_log.py --corpus eicu</w:t>
            </w:r>
          </w:p>
        </w:tc>
        <w:tc>
          <w:tcPr>
            <w:tcW w:type="dxa" w:w="2268"/>
          </w:tcPr>
          <w:p>
            <w:pPr>
              <w:spacing w:line="240" w:lineRule="auto" w:after="0" w:before="0"/>
            </w:pPr>
            <w:r/>
            <w:r>
              <w:rPr>
                <w:sz w:val="16"/>
              </w:rPr>
              <w:t>eICU-CRD demo (2,314 stays); NHANES 2017–18 (1,000 adults)</w:t>
            </w:r>
          </w:p>
        </w:tc>
        <w:tc>
          <w:tcPr>
            <w:tcW w:type="dxa" w:w="2268"/>
          </w:tcPr>
          <w:p>
            <w:pPr>
              <w:spacing w:line="240" w:lineRule="auto" w:after="0" w:before="0"/>
            </w:pPr>
            <w:r/>
            <w:r>
              <w:rPr>
                <w:sz w:val="16"/>
              </w:rPr>
              <w:t>registry 14.2.0 vs 15.0.0, engine v8.2 in both arms (development; no v7 metric affected)</w:t>
            </w:r>
          </w:p>
        </w:tc>
      </w:tr>
      <w:tr>
        <w:trPr>
          <w:cantSplit/>
        </w:trPr>
        <w:tc>
          <w:tcPr>
            <w:tcW w:type="dxa" w:w="2268"/>
          </w:tcPr>
          <w:p>
            <w:pPr>
              <w:spacing w:line="240" w:lineRule="auto" w:after="0" w:before="0"/>
            </w:pPr>
            <w:r/>
            <w:r>
              <w:rPr>
                <w:sz w:val="16"/>
              </w:rPr>
              <w:t>Table S1, Table S2, Note 1</w:t>
            </w:r>
          </w:p>
        </w:tc>
        <w:tc>
          <w:tcPr>
            <w:tcW w:type="dxa" w:w="2268"/>
          </w:tcPr>
          <w:p>
            <w:pPr>
              <w:spacing w:line="240" w:lineRule="auto" w:after="0" w:before="0"/>
            </w:pPr>
            <w:r/>
            <w:r>
              <w:rPr>
                <w:sz w:val="16"/>
              </w:rPr>
              <w:t>SAP document (dated amendments); freeze manifests</w:t>
            </w:r>
          </w:p>
        </w:tc>
        <w:tc>
          <w:tcPr>
            <w:tcW w:type="dxa" w:w="2268"/>
          </w:tcPr>
          <w:p>
            <w:pPr>
              <w:spacing w:line="240" w:lineRule="auto" w:after="0" w:before="0"/>
            </w:pPr>
            <w:r/>
            <w:r>
              <w:rPr>
                <w:sz w:val="16"/>
              </w:rPr>
              <w:t>—</w:t>
            </w:r>
          </w:p>
        </w:tc>
        <w:tc>
          <w:tcPr>
            <w:tcW w:type="dxa" w:w="2268"/>
          </w:tcPr>
          <w:p>
            <w:pPr>
              <w:spacing w:line="240" w:lineRule="auto" w:after="0" w:before="0"/>
            </w:pPr>
            <w:r/>
            <w:r>
              <w:rPr>
                <w:sz w:val="16"/>
              </w:rPr>
              <w:t>14.0.0 → 14.1.0; v6 → v7</w:t>
            </w:r>
          </w:p>
        </w:tc>
      </w:tr>
      <w:tr>
        <w:trPr>
          <w:cantSplit/>
        </w:trPr>
        <w:tc>
          <w:tcPr>
            <w:tcW w:type="dxa" w:w="2268"/>
          </w:tcPr>
          <w:p>
            <w:pPr>
              <w:spacing w:line="240" w:lineRule="auto" w:after="0" w:before="0"/>
            </w:pPr>
            <w:r/>
            <w:r>
              <w:rPr>
                <w:sz w:val="16"/>
              </w:rPr>
              <w:t>Table S5</w:t>
            </w:r>
          </w:p>
        </w:tc>
        <w:tc>
          <w:tcPr>
            <w:tcW w:type="dxa" w:w="2268"/>
          </w:tcPr>
          <w:p>
            <w:pPr>
              <w:spacing w:line="240" w:lineRule="auto" w:after="0" w:before="0"/>
            </w:pPr>
            <w:r/>
            <w:r>
              <w:rPr>
                <w:rFonts w:ascii="Courier New" w:hAnsi="Courier New" w:eastAsia="Courier New" w:cs="Courier New"/>
                <w:color w:val="000000"/>
                <w:sz w:val="16"/>
              </w:rPr>
              <w:t>eval/next_test_utility.py</w:t>
            </w:r>
          </w:p>
        </w:tc>
        <w:tc>
          <w:tcPr>
            <w:tcW w:type="dxa" w:w="2268"/>
          </w:tcPr>
          <w:p>
            <w:pPr>
              <w:spacing w:line="240" w:lineRule="auto" w:after="0" w:before="0"/>
            </w:pPr>
            <w:r/>
            <w:r>
              <w:rPr>
                <w:sz w:val="16"/>
              </w:rPr>
              <w:t>eICU-CRD demo audit sample</w:t>
            </w:r>
          </w:p>
        </w:tc>
        <w:tc>
          <w:tcPr>
            <w:tcW w:type="dxa" w:w="2268"/>
          </w:tcPr>
          <w:p>
            <w:pPr>
              <w:spacing w:line="240" w:lineRule="auto" w:after="0" w:before="0"/>
            </w:pPr>
            <w:r/>
            <w:r>
              <w:rPr>
                <w:sz w:val="16"/>
              </w:rPr>
              <w:t>v5.3 (superseded)</w:t>
            </w:r>
          </w:p>
        </w:tc>
      </w:tr>
      <w:tr>
        <w:trPr>
          <w:cantSplit/>
        </w:trPr>
        <w:tc>
          <w:tcPr>
            <w:tcW w:type="dxa" w:w="2268"/>
          </w:tcPr>
          <w:p>
            <w:pPr>
              <w:spacing w:line="240" w:lineRule="auto" w:after="0" w:before="0"/>
            </w:pPr>
            <w:r/>
            <w:r>
              <w:rPr>
                <w:sz w:val="16"/>
              </w:rPr>
              <w:t>Table S9</w:t>
            </w:r>
          </w:p>
        </w:tc>
        <w:tc>
          <w:tcPr>
            <w:tcW w:type="dxa" w:w="2268"/>
          </w:tcPr>
          <w:p>
            <w:pPr>
              <w:spacing w:line="240" w:lineRule="auto" w:after="0" w:before="0"/>
            </w:pPr>
            <w:r/>
            <w:r>
              <w:rPr>
                <w:rFonts w:ascii="Courier New" w:hAnsi="Courier New" w:eastAsia="Courier New" w:cs="Courier New"/>
                <w:color w:val="000000"/>
                <w:sz w:val="16"/>
              </w:rPr>
              <w:t>eval/label_audit_300.py</w:t>
            </w:r>
            <w:r>
              <w:rPr>
                <w:sz w:val="16"/>
              </w:rPr>
              <w:t xml:space="preserve"> (seed 11; the first 100 stays by the author adjudication described in Table S9)</w:t>
            </w:r>
          </w:p>
        </w:tc>
        <w:tc>
          <w:tcPr>
            <w:tcW w:type="dxa" w:w="2268"/>
          </w:tcPr>
          <w:p>
            <w:pPr>
              <w:spacing w:line="240" w:lineRule="auto" w:after="0" w:before="0"/>
            </w:pPr>
            <w:r/>
            <w:r>
              <w:rPr>
                <w:sz w:val="16"/>
              </w:rPr>
              <w:t>400 eICU stays</w:t>
            </w:r>
          </w:p>
        </w:tc>
        <w:tc>
          <w:tcPr>
            <w:tcW w:type="dxa" w:w="2268"/>
          </w:tcPr>
          <w:p>
            <w:pPr>
              <w:spacing w:line="240" w:lineRule="auto" w:after="0" w:before="0"/>
            </w:pPr>
            <w:r/>
            <w:r>
              <w:rPr>
                <w:sz w:val="16"/>
              </w:rPr>
              <w:t>v7</w:t>
            </w:r>
          </w:p>
        </w:tc>
      </w:tr>
      <w:tr>
        <w:trPr>
          <w:cantSplit/>
        </w:trPr>
        <w:tc>
          <w:tcPr>
            <w:tcW w:type="dxa" w:w="2268"/>
          </w:tcPr>
          <w:p>
            <w:pPr>
              <w:spacing w:line="240" w:lineRule="auto" w:after="0" w:before="0"/>
            </w:pPr>
            <w:r/>
            <w:r>
              <w:rPr>
                <w:sz w:val="16"/>
              </w:rPr>
              <w:t>Fig. S5</w:t>
            </w:r>
          </w:p>
        </w:tc>
        <w:tc>
          <w:tcPr>
            <w:tcW w:type="dxa" w:w="2268"/>
          </w:tcPr>
          <w:p>
            <w:pPr>
              <w:spacing w:line="240" w:lineRule="auto" w:after="0" w:before="0"/>
            </w:pPr>
            <w:r/>
            <w:r>
              <w:rPr>
                <w:rFonts w:ascii="Courier New" w:hAnsi="Courier New" w:eastAsia="Courier New" w:cs="Courier New"/>
                <w:color w:val="000000"/>
                <w:sz w:val="16"/>
              </w:rPr>
              <w:t>eval/deep_review_ctx_sex.py</w:t>
            </w:r>
          </w:p>
        </w:tc>
        <w:tc>
          <w:tcPr>
            <w:tcW w:type="dxa" w:w="2268"/>
          </w:tcPr>
          <w:p>
            <w:pPr>
              <w:spacing w:line="240" w:lineRule="auto" w:after="0" w:before="0"/>
            </w:pPr>
            <w:r/>
            <w:r>
              <w:rPr>
                <w:sz w:val="16"/>
              </w:rPr>
              <w:t>eICU-CRD demo, context arm</w:t>
            </w:r>
          </w:p>
        </w:tc>
        <w:tc>
          <w:tcPr>
            <w:tcW w:type="dxa" w:w="2268"/>
          </w:tcPr>
          <w:p>
            <w:pPr>
              <w:spacing w:line="240" w:lineRule="auto" w:after="0" w:before="0"/>
            </w:pPr>
            <w:r/>
            <w:r>
              <w:rPr>
                <w:sz w:val="16"/>
              </w:rPr>
              <w:t>v5.2</w:t>
            </w:r>
          </w:p>
        </w:tc>
      </w:tr>
    </w:tbl>
    <w:p/>
    <w:p>
      <w:pPr>
        <w:pStyle w:val="Heading1"/>
      </w:pPr>
      <w:r>
        <w:rPr>
          <w:rFonts w:ascii="Times New Roman" w:hAnsi="Times New Roman" w:eastAsia="Times New Roman" w:cs="Times New Roman"/>
          <w:b/>
          <w:i w:val="0"/>
          <w:color w:val="000000"/>
        </w:rPr>
        <w:t>Supplementary Table S18 — Two-level auditability of the frozen 200-rule sample (computed from the committed Note 8 files; no new rating)</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rPr>
          <w:cantSplit/>
          <w:tblHeader/>
        </w:trPr>
        <w:tc>
          <w:tcPr>
            <w:tcW w:type="dxa" w:w="1296"/>
            <w:shd w:val="clear" w:fill="F2F2F2"/>
          </w:tcPr>
          <w:p>
            <w:pPr>
              <w:spacing w:line="240" w:lineRule="auto" w:after="0" w:before="0"/>
            </w:pPr>
            <w:r>
              <w:rPr>
                <w:b/>
              </w:rPr>
            </w:r>
            <w:r>
              <w:rPr>
                <w:b/>
                <w:sz w:val="16"/>
              </w:rPr>
              <w:t>Stratum</w:t>
            </w:r>
          </w:p>
        </w:tc>
        <w:tc>
          <w:tcPr>
            <w:tcW w:type="dxa" w:w="1296"/>
            <w:shd w:val="clear" w:fill="F2F2F2"/>
          </w:tcPr>
          <w:p>
            <w:pPr>
              <w:spacing w:line="240" w:lineRule="auto" w:after="0" w:before="0"/>
            </w:pPr>
            <w:r>
              <w:rPr>
                <w:b/>
              </w:rPr>
            </w:r>
            <w:r>
              <w:rPr>
                <w:b/>
                <w:sz w:val="16"/>
              </w:rPr>
              <w:t>n</w:t>
            </w:r>
          </w:p>
        </w:tc>
        <w:tc>
          <w:tcPr>
            <w:tcW w:type="dxa" w:w="1296"/>
            <w:shd w:val="clear" w:fill="F2F2F2"/>
          </w:tcPr>
          <w:p>
            <w:pPr>
              <w:spacing w:line="240" w:lineRule="auto" w:after="0" w:before="0"/>
            </w:pPr>
            <w:r>
              <w:rPr>
                <w:b/>
              </w:rPr>
            </w:r>
            <w:r>
              <w:rPr>
                <w:b/>
                <w:sz w:val="16"/>
              </w:rPr>
              <w:t>Level 2: source retrievable</w:t>
            </w:r>
          </w:p>
        </w:tc>
        <w:tc>
          <w:tcPr>
            <w:tcW w:type="dxa" w:w="1296"/>
            <w:shd w:val="clear" w:fill="F2F2F2"/>
          </w:tcPr>
          <w:p>
            <w:pPr>
              <w:spacing w:line="240" w:lineRule="auto" w:after="0" w:before="0"/>
            </w:pPr>
            <w:r>
              <w:rPr>
                <w:b/>
              </w:rPr>
            </w:r>
            <w:r>
              <w:rPr>
                <w:b/>
                <w:sz w:val="16"/>
              </w:rPr>
              <w:t>Level 3: statement located (VEC)</w:t>
            </w:r>
          </w:p>
        </w:tc>
        <w:tc>
          <w:tcPr>
            <w:tcW w:type="dxa" w:w="1296"/>
            <w:shd w:val="clear" w:fill="F2F2F2"/>
          </w:tcPr>
          <w:p>
            <w:pPr>
              <w:spacing w:line="240" w:lineRule="auto" w:after="0" w:before="0"/>
            </w:pPr>
            <w:r>
              <w:rPr>
                <w:b/>
              </w:rPr>
            </w:r>
            <w:r>
              <w:rPr>
                <w:b/>
                <w:sz w:val="16"/>
              </w:rPr>
              <w:t>concordant</w:t>
            </w:r>
          </w:p>
        </w:tc>
        <w:tc>
          <w:tcPr>
            <w:tcW w:type="dxa" w:w="1296"/>
            <w:shd w:val="clear" w:fill="F2F2F2"/>
          </w:tcPr>
          <w:p>
            <w:pPr>
              <w:spacing w:line="240" w:lineRule="auto" w:after="0" w:before="0"/>
            </w:pPr>
            <w:r>
              <w:rPr>
                <w:b/>
              </w:rPr>
            </w:r>
            <w:r>
              <w:rPr>
                <w:b/>
                <w:sz w:val="16"/>
              </w:rPr>
              <w:t>discordant</w:t>
            </w:r>
          </w:p>
        </w:tc>
        <w:tc>
          <w:tcPr>
            <w:tcW w:type="dxa" w:w="1296"/>
            <w:shd w:val="clear" w:fill="F2F2F2"/>
          </w:tcPr>
          <w:p>
            <w:pPr>
              <w:spacing w:line="240" w:lineRule="auto" w:after="0" w:before="0"/>
            </w:pPr>
            <w:r>
              <w:rPr>
                <w:b/>
              </w:rPr>
            </w:r>
            <w:r>
              <w:rPr>
                <w:b/>
                <w:sz w:val="16"/>
              </w:rPr>
              <w:t>unresolvable</w:t>
            </w:r>
          </w:p>
        </w:tc>
      </w:tr>
      <w:tr>
        <w:trPr>
          <w:cantSplit/>
        </w:trPr>
        <w:tc>
          <w:tcPr>
            <w:tcW w:type="dxa" w:w="1296"/>
          </w:tcPr>
          <w:p>
            <w:pPr>
              <w:spacing w:line="240" w:lineRule="auto" w:after="0" w:before="0"/>
            </w:pPr>
            <w:r/>
            <w:r>
              <w:rPr>
                <w:sz w:val="16"/>
              </w:rPr>
              <w:t>A curated anchors</w:t>
            </w:r>
          </w:p>
        </w:tc>
        <w:tc>
          <w:tcPr>
            <w:tcW w:type="dxa" w:w="1296"/>
          </w:tcPr>
          <w:p>
            <w:pPr>
              <w:spacing w:line="240" w:lineRule="auto" w:after="0" w:before="0"/>
            </w:pPr>
            <w:r/>
            <w:r>
              <w:rPr>
                <w:sz w:val="16"/>
              </w:rPr>
              <w:t>100</w:t>
            </w:r>
          </w:p>
        </w:tc>
        <w:tc>
          <w:tcPr>
            <w:tcW w:type="dxa" w:w="1296"/>
          </w:tcPr>
          <w:p>
            <w:pPr>
              <w:spacing w:line="240" w:lineRule="auto" w:after="0" w:before="0"/>
            </w:pPr>
            <w:r/>
            <w:r>
              <w:rPr>
                <w:sz w:val="16"/>
              </w:rPr>
              <w:t>92.0% (85.0–95.9)</w:t>
            </w:r>
          </w:p>
        </w:tc>
        <w:tc>
          <w:tcPr>
            <w:tcW w:type="dxa" w:w="1296"/>
          </w:tcPr>
          <w:p>
            <w:pPr>
              <w:spacing w:line="240" w:lineRule="auto" w:after="0" w:before="0"/>
            </w:pPr>
            <w:r/>
            <w:r>
              <w:rPr>
                <w:sz w:val="16"/>
              </w:rPr>
              <w:t>8.0% (4.1–15.0)</w:t>
            </w:r>
          </w:p>
        </w:tc>
        <w:tc>
          <w:tcPr>
            <w:tcW w:type="dxa" w:w="1296"/>
          </w:tcPr>
          <w:p>
            <w:pPr>
              <w:spacing w:line="240" w:lineRule="auto" w:after="0" w:before="0"/>
            </w:pPr>
            <w:r/>
            <w:r>
              <w:rPr>
                <w:sz w:val="16"/>
              </w:rPr>
              <w:t>1</w:t>
            </w:r>
          </w:p>
        </w:tc>
        <w:tc>
          <w:tcPr>
            <w:tcW w:type="dxa" w:w="1296"/>
          </w:tcPr>
          <w:p>
            <w:pPr>
              <w:spacing w:line="240" w:lineRule="auto" w:after="0" w:before="0"/>
            </w:pPr>
            <w:r/>
            <w:r>
              <w:rPr>
                <w:sz w:val="16"/>
              </w:rPr>
              <w:t>7</w:t>
            </w:r>
          </w:p>
        </w:tc>
        <w:tc>
          <w:tcPr>
            <w:tcW w:type="dxa" w:w="1296"/>
          </w:tcPr>
          <w:p>
            <w:pPr>
              <w:spacing w:line="240" w:lineRule="auto" w:after="0" w:before="0"/>
            </w:pPr>
            <w:r/>
            <w:r>
              <w:rPr>
                <w:sz w:val="16"/>
              </w:rPr>
              <w:t>92</w:t>
            </w:r>
          </w:p>
        </w:tc>
      </w:tr>
      <w:tr>
        <w:trPr>
          <w:cantSplit/>
        </w:trPr>
        <w:tc>
          <w:tcPr>
            <w:tcW w:type="dxa" w:w="1296"/>
          </w:tcPr>
          <w:p>
            <w:pPr>
              <w:spacing w:line="240" w:lineRule="auto" w:after="0" w:before="0"/>
            </w:pPr>
            <w:r/>
            <w:r>
              <w:rPr>
                <w:sz w:val="16"/>
              </w:rPr>
              <w:t>B1 eICU-relevant AI-drafted</w:t>
            </w:r>
          </w:p>
        </w:tc>
        <w:tc>
          <w:tcPr>
            <w:tcW w:type="dxa" w:w="1296"/>
          </w:tcPr>
          <w:p>
            <w:pPr>
              <w:spacing w:line="240" w:lineRule="auto" w:after="0" w:before="0"/>
            </w:pPr>
            <w:r/>
            <w:r>
              <w:rPr>
                <w:sz w:val="16"/>
              </w:rPr>
              <w:t>50</w:t>
            </w:r>
          </w:p>
        </w:tc>
        <w:tc>
          <w:tcPr>
            <w:tcW w:type="dxa" w:w="1296"/>
          </w:tcPr>
          <w:p>
            <w:pPr>
              <w:spacing w:line="240" w:lineRule="auto" w:after="0" w:before="0"/>
            </w:pPr>
            <w:r/>
            <w:r>
              <w:rPr>
                <w:sz w:val="16"/>
              </w:rPr>
              <w:t>94.0% (83.8–97.9)</w:t>
            </w:r>
          </w:p>
        </w:tc>
        <w:tc>
          <w:tcPr>
            <w:tcW w:type="dxa" w:w="1296"/>
          </w:tcPr>
          <w:p>
            <w:pPr>
              <w:spacing w:line="240" w:lineRule="auto" w:after="0" w:before="0"/>
            </w:pPr>
            <w:r/>
            <w:r>
              <w:rPr>
                <w:sz w:val="16"/>
              </w:rPr>
              <w:t>14.0% (7.0–26.2)</w:t>
            </w:r>
          </w:p>
        </w:tc>
        <w:tc>
          <w:tcPr>
            <w:tcW w:type="dxa" w:w="1296"/>
          </w:tcPr>
          <w:p>
            <w:pPr>
              <w:spacing w:line="240" w:lineRule="auto" w:after="0" w:before="0"/>
            </w:pPr>
            <w:r/>
            <w:r>
              <w:rPr>
                <w:sz w:val="16"/>
              </w:rPr>
              <w:t>0</w:t>
            </w:r>
          </w:p>
        </w:tc>
        <w:tc>
          <w:tcPr>
            <w:tcW w:type="dxa" w:w="1296"/>
          </w:tcPr>
          <w:p>
            <w:pPr>
              <w:spacing w:line="240" w:lineRule="auto" w:after="0" w:before="0"/>
            </w:pPr>
            <w:r/>
            <w:r>
              <w:rPr>
                <w:sz w:val="16"/>
              </w:rPr>
              <w:t>7</w:t>
            </w:r>
          </w:p>
        </w:tc>
        <w:tc>
          <w:tcPr>
            <w:tcW w:type="dxa" w:w="1296"/>
          </w:tcPr>
          <w:p>
            <w:pPr>
              <w:spacing w:line="240" w:lineRule="auto" w:after="0" w:before="0"/>
            </w:pPr>
            <w:r/>
            <w:r>
              <w:rPr>
                <w:sz w:val="16"/>
              </w:rPr>
              <w:t>43</w:t>
            </w:r>
          </w:p>
        </w:tc>
      </w:tr>
      <w:tr>
        <w:trPr>
          <w:cantSplit/>
        </w:trPr>
        <w:tc>
          <w:tcPr>
            <w:tcW w:type="dxa" w:w="1296"/>
          </w:tcPr>
          <w:p>
            <w:pPr>
              <w:spacing w:line="240" w:lineRule="auto" w:after="0" w:before="0"/>
            </w:pPr>
            <w:r/>
            <w:r>
              <w:rPr>
                <w:sz w:val="16"/>
              </w:rPr>
              <w:t>B2 uniform AI-drafted</w:t>
            </w:r>
          </w:p>
        </w:tc>
        <w:tc>
          <w:tcPr>
            <w:tcW w:type="dxa" w:w="1296"/>
          </w:tcPr>
          <w:p>
            <w:pPr>
              <w:spacing w:line="240" w:lineRule="auto" w:after="0" w:before="0"/>
            </w:pPr>
            <w:r/>
            <w:r>
              <w:rPr>
                <w:sz w:val="16"/>
              </w:rPr>
              <w:t>50</w:t>
            </w:r>
          </w:p>
        </w:tc>
        <w:tc>
          <w:tcPr>
            <w:tcW w:type="dxa" w:w="1296"/>
          </w:tcPr>
          <w:p>
            <w:pPr>
              <w:spacing w:line="240" w:lineRule="auto" w:after="0" w:before="0"/>
            </w:pPr>
            <w:r/>
            <w:r>
              <w:rPr>
                <w:sz w:val="16"/>
              </w:rPr>
              <w:t>98.0% (89.5–99.6)</w:t>
            </w:r>
          </w:p>
        </w:tc>
        <w:tc>
          <w:tcPr>
            <w:tcW w:type="dxa" w:w="1296"/>
          </w:tcPr>
          <w:p>
            <w:pPr>
              <w:spacing w:line="240" w:lineRule="auto" w:after="0" w:before="0"/>
            </w:pPr>
            <w:r/>
            <w:r>
              <w:rPr>
                <w:sz w:val="16"/>
              </w:rPr>
              <w:t>2.0% (0.4–10.5)</w:t>
            </w:r>
          </w:p>
        </w:tc>
        <w:tc>
          <w:tcPr>
            <w:tcW w:type="dxa" w:w="1296"/>
          </w:tcPr>
          <w:p>
            <w:pPr>
              <w:spacing w:line="240" w:lineRule="auto" w:after="0" w:before="0"/>
            </w:pPr>
            <w:r/>
            <w:r>
              <w:rPr>
                <w:sz w:val="16"/>
              </w:rPr>
              <w:t>0</w:t>
            </w:r>
          </w:p>
        </w:tc>
        <w:tc>
          <w:tcPr>
            <w:tcW w:type="dxa" w:w="1296"/>
          </w:tcPr>
          <w:p>
            <w:pPr>
              <w:spacing w:line="240" w:lineRule="auto" w:after="0" w:before="0"/>
            </w:pPr>
            <w:r/>
            <w:r>
              <w:rPr>
                <w:sz w:val="16"/>
              </w:rPr>
              <w:t>1</w:t>
            </w:r>
          </w:p>
        </w:tc>
        <w:tc>
          <w:tcPr>
            <w:tcW w:type="dxa" w:w="1296"/>
          </w:tcPr>
          <w:p>
            <w:pPr>
              <w:spacing w:line="240" w:lineRule="auto" w:after="0" w:before="0"/>
            </w:pPr>
            <w:r/>
            <w:r>
              <w:rPr>
                <w:sz w:val="16"/>
              </w:rPr>
              <w:t>49</w:t>
            </w:r>
          </w:p>
        </w:tc>
      </w:tr>
      <w:tr>
        <w:trPr>
          <w:cantSplit/>
        </w:trPr>
        <w:tc>
          <w:tcPr>
            <w:tcW w:type="dxa" w:w="1296"/>
          </w:tcPr>
          <w:p>
            <w:pPr>
              <w:spacing w:line="240" w:lineRule="auto" w:after="0" w:before="0"/>
            </w:pPr>
            <w:r/>
            <w:r>
              <w:rPr>
                <w:b/>
                <w:sz w:val="16"/>
              </w:rPr>
              <w:t>All</w:t>
            </w:r>
          </w:p>
        </w:tc>
        <w:tc>
          <w:tcPr>
            <w:tcW w:type="dxa" w:w="1296"/>
          </w:tcPr>
          <w:p>
            <w:pPr>
              <w:spacing w:line="240" w:lineRule="auto" w:after="0" w:before="0"/>
            </w:pPr>
            <w:r/>
            <w:r>
              <w:rPr>
                <w:sz w:val="16"/>
              </w:rPr>
              <w:t>200</w:t>
            </w:r>
          </w:p>
        </w:tc>
        <w:tc>
          <w:tcPr>
            <w:tcW w:type="dxa" w:w="1296"/>
          </w:tcPr>
          <w:p>
            <w:pPr>
              <w:spacing w:line="240" w:lineRule="auto" w:after="0" w:before="0"/>
            </w:pPr>
            <w:r/>
            <w:r>
              <w:rPr>
                <w:sz w:val="16"/>
              </w:rPr>
              <w:t>94.0% (89.8–96.5)</w:t>
            </w:r>
          </w:p>
        </w:tc>
        <w:tc>
          <w:tcPr>
            <w:tcW w:type="dxa" w:w="1296"/>
          </w:tcPr>
          <w:p>
            <w:pPr>
              <w:spacing w:line="240" w:lineRule="auto" w:after="0" w:before="0"/>
            </w:pPr>
            <w:r/>
            <w:r>
              <w:rPr>
                <w:sz w:val="16"/>
              </w:rPr>
              <w:t>8.0% (5.0–12.6)</w:t>
            </w:r>
          </w:p>
        </w:tc>
        <w:tc>
          <w:tcPr>
            <w:tcW w:type="dxa" w:w="1296"/>
          </w:tcPr>
          <w:p>
            <w:pPr>
              <w:spacing w:line="240" w:lineRule="auto" w:after="0" w:before="0"/>
            </w:pPr>
            <w:r/>
            <w:r>
              <w:rPr>
                <w:sz w:val="16"/>
              </w:rPr>
              <w:t>1</w:t>
            </w:r>
          </w:p>
        </w:tc>
        <w:tc>
          <w:tcPr>
            <w:tcW w:type="dxa" w:w="1296"/>
          </w:tcPr>
          <w:p>
            <w:pPr>
              <w:spacing w:line="240" w:lineRule="auto" w:after="0" w:before="0"/>
            </w:pPr>
            <w:r/>
            <w:r>
              <w:rPr>
                <w:sz w:val="16"/>
              </w:rPr>
              <w:t>15</w:t>
            </w:r>
          </w:p>
        </w:tc>
        <w:tc>
          <w:tcPr>
            <w:tcW w:type="dxa" w:w="1296"/>
          </w:tcPr>
          <w:p>
            <w:pPr>
              <w:spacing w:line="240" w:lineRule="auto" w:after="0" w:before="0"/>
            </w:pPr>
            <w:r/>
            <w:r>
              <w:rPr>
                <w:sz w:val="16"/>
              </w:rPr>
              <w:t>184</w:t>
            </w:r>
          </w:p>
        </w:tc>
      </w:tr>
    </w:tbl>
    <w:p/>
    <w:tbl>
      <w:tblPr>
        <w:tblStyle w:val="TableGrid"/>
        <w:tblW w:type="auto" w:w="0"/>
        <w:jc w:val="center"/>
        <w:tblLook w:firstColumn="1" w:firstRow="1" w:lastColumn="0" w:lastRow="0" w:noHBand="0" w:noVBand="1" w:val="04A0"/>
      </w:tblPr>
      <w:tblGrid>
        <w:gridCol w:w="1814"/>
        <w:gridCol w:w="1814"/>
        <w:gridCol w:w="1814"/>
        <w:gridCol w:w="1814"/>
        <w:gridCol w:w="1814"/>
      </w:tblGrid>
      <w:tr>
        <w:trPr>
          <w:cantSplit/>
          <w:tblHeader/>
        </w:trPr>
        <w:tc>
          <w:tcPr>
            <w:tcW w:type="dxa" w:w="1814"/>
            <w:shd w:val="clear" w:fill="F2F2F2"/>
          </w:tcPr>
          <w:p>
            <w:pPr>
              <w:spacing w:line="240" w:lineRule="auto" w:after="0" w:before="0"/>
            </w:pPr>
            <w:r>
              <w:rPr>
                <w:b/>
              </w:rPr>
            </w:r>
            <w:r>
              <w:rPr>
                <w:b/>
                <w:sz w:val="16"/>
              </w:rPr>
              <w:t>Level 1: best locator class among the rule's sources</w:t>
            </w:r>
          </w:p>
        </w:tc>
        <w:tc>
          <w:tcPr>
            <w:tcW w:type="dxa" w:w="1814"/>
            <w:shd w:val="clear" w:fill="F2F2F2"/>
          </w:tcPr>
          <w:p>
            <w:pPr>
              <w:spacing w:line="240" w:lineRule="auto" w:after="0" w:before="0"/>
            </w:pPr>
            <w:r>
              <w:rPr>
                <w:b/>
              </w:rPr>
            </w:r>
            <w:r>
              <w:rPr>
                <w:b/>
                <w:sz w:val="16"/>
              </w:rPr>
              <w:t>n rules</w:t>
            </w:r>
          </w:p>
        </w:tc>
        <w:tc>
          <w:tcPr>
            <w:tcW w:type="dxa" w:w="1814"/>
            <w:shd w:val="clear" w:fill="F2F2F2"/>
          </w:tcPr>
          <w:p>
            <w:pPr>
              <w:spacing w:line="240" w:lineRule="auto" w:after="0" w:before="0"/>
            </w:pPr>
            <w:r>
              <w:rPr>
                <w:b/>
              </w:rPr>
            </w:r>
            <w:r>
              <w:rPr>
                <w:b/>
                <w:sz w:val="16"/>
              </w:rPr>
              <w:t>source retrievable</w:t>
            </w:r>
          </w:p>
        </w:tc>
        <w:tc>
          <w:tcPr>
            <w:tcW w:type="dxa" w:w="1814"/>
            <w:shd w:val="clear" w:fill="F2F2F2"/>
          </w:tcPr>
          <w:p>
            <w:pPr>
              <w:spacing w:line="240" w:lineRule="auto" w:after="0" w:before="0"/>
            </w:pPr>
            <w:r>
              <w:rPr>
                <w:b/>
              </w:rPr>
            </w:r>
            <w:r>
              <w:rPr>
                <w:b/>
                <w:sz w:val="16"/>
              </w:rPr>
              <w:t>statement located</w:t>
            </w:r>
          </w:p>
        </w:tc>
        <w:tc>
          <w:tcPr>
            <w:tcW w:type="dxa" w:w="1814"/>
            <w:shd w:val="clear" w:fill="F2F2F2"/>
          </w:tcPr>
          <w:p>
            <w:pPr>
              <w:spacing w:line="240" w:lineRule="auto" w:after="0" w:before="0"/>
            </w:pPr>
            <w:r>
              <w:rPr>
                <w:b/>
              </w:rPr>
            </w:r>
            <w:r>
              <w:rPr>
                <w:b/>
                <w:sz w:val="16"/>
              </w:rPr>
              <w:t>most frequent unresolvable reason</w:t>
            </w:r>
          </w:p>
        </w:tc>
      </w:tr>
      <w:tr>
        <w:trPr>
          <w:cantSplit/>
        </w:trPr>
        <w:tc>
          <w:tcPr>
            <w:tcW w:type="dxa" w:w="1814"/>
          </w:tcPr>
          <w:p>
            <w:pPr>
              <w:spacing w:line="240" w:lineRule="auto" w:after="0" w:before="0"/>
            </w:pPr>
            <w:r/>
            <w:r>
              <w:rPr>
                <w:sz w:val="16"/>
              </w:rPr>
              <w:t>doi_or_pmc</w:t>
            </w:r>
          </w:p>
        </w:tc>
        <w:tc>
          <w:tcPr>
            <w:tcW w:type="dxa" w:w="1814"/>
          </w:tcPr>
          <w:p>
            <w:pPr>
              <w:spacing w:line="240" w:lineRule="auto" w:after="0" w:before="0"/>
            </w:pPr>
            <w:r/>
            <w:r>
              <w:rPr>
                <w:sz w:val="16"/>
              </w:rPr>
              <w:t>70</w:t>
            </w:r>
          </w:p>
        </w:tc>
        <w:tc>
          <w:tcPr>
            <w:tcW w:type="dxa" w:w="1814"/>
          </w:tcPr>
          <w:p>
            <w:pPr>
              <w:spacing w:line="240" w:lineRule="auto" w:after="0" w:before="0"/>
            </w:pPr>
            <w:r/>
            <w:r>
              <w:rPr>
                <w:sz w:val="16"/>
              </w:rPr>
              <w:t>100.0% (94.8–100.0)</w:t>
            </w:r>
          </w:p>
        </w:tc>
        <w:tc>
          <w:tcPr>
            <w:tcW w:type="dxa" w:w="1814"/>
          </w:tcPr>
          <w:p>
            <w:pPr>
              <w:spacing w:line="240" w:lineRule="auto" w:after="0" w:before="0"/>
            </w:pPr>
            <w:r/>
            <w:r>
              <w:rPr>
                <w:sz w:val="16"/>
              </w:rPr>
              <w:t>10.0% (4.9–19.2)</w:t>
            </w:r>
          </w:p>
        </w:tc>
        <w:tc>
          <w:tcPr>
            <w:tcW w:type="dxa" w:w="1814"/>
          </w:tcPr>
          <w:p>
            <w:pPr>
              <w:spacing w:line="240" w:lineRule="auto" w:after="0" w:before="0"/>
            </w:pPr>
            <w:r/>
            <w:r>
              <w:rPr>
                <w:sz w:val="16"/>
              </w:rPr>
              <w:t>abstract or title only (55)</w:t>
            </w:r>
          </w:p>
        </w:tc>
      </w:tr>
      <w:tr>
        <w:trPr>
          <w:cantSplit/>
        </w:trPr>
        <w:tc>
          <w:tcPr>
            <w:tcW w:type="dxa" w:w="1814"/>
          </w:tcPr>
          <w:p>
            <w:pPr>
              <w:spacing w:line="240" w:lineRule="auto" w:after="0" w:before="0"/>
            </w:pPr>
            <w:r/>
            <w:r>
              <w:rPr>
                <w:sz w:val="16"/>
              </w:rPr>
              <w:t>document_page</w:t>
            </w:r>
          </w:p>
        </w:tc>
        <w:tc>
          <w:tcPr>
            <w:tcW w:type="dxa" w:w="1814"/>
          </w:tcPr>
          <w:p>
            <w:pPr>
              <w:spacing w:line="240" w:lineRule="auto" w:after="0" w:before="0"/>
            </w:pPr>
            <w:r/>
            <w:r>
              <w:rPr>
                <w:sz w:val="16"/>
              </w:rPr>
              <w:t>89</w:t>
            </w:r>
          </w:p>
        </w:tc>
        <w:tc>
          <w:tcPr>
            <w:tcW w:type="dxa" w:w="1814"/>
          </w:tcPr>
          <w:p>
            <w:pPr>
              <w:spacing w:line="240" w:lineRule="auto" w:after="0" w:before="0"/>
            </w:pPr>
            <w:r/>
            <w:r>
              <w:rPr>
                <w:sz w:val="16"/>
              </w:rPr>
              <w:t>95.5% (89.0–98.2)</w:t>
            </w:r>
          </w:p>
        </w:tc>
        <w:tc>
          <w:tcPr>
            <w:tcW w:type="dxa" w:w="1814"/>
          </w:tcPr>
          <w:p>
            <w:pPr>
              <w:spacing w:line="240" w:lineRule="auto" w:after="0" w:before="0"/>
            </w:pPr>
            <w:r/>
            <w:r>
              <w:rPr>
                <w:sz w:val="16"/>
              </w:rPr>
              <w:t>10.1% (5.4–18.1)</w:t>
            </w:r>
          </w:p>
        </w:tc>
        <w:tc>
          <w:tcPr>
            <w:tcW w:type="dxa" w:w="1814"/>
          </w:tcPr>
          <w:p>
            <w:pPr>
              <w:spacing w:line="240" w:lineRule="auto" w:after="0" w:before="0"/>
            </w:pPr>
            <w:r/>
            <w:r>
              <w:rPr>
                <w:sz w:val="16"/>
              </w:rPr>
              <w:t>generic methodological source cannot contain statement (45)</w:t>
            </w:r>
          </w:p>
        </w:tc>
      </w:tr>
      <w:tr>
        <w:trPr>
          <w:cantSplit/>
        </w:trPr>
        <w:tc>
          <w:tcPr>
            <w:tcW w:type="dxa" w:w="1814"/>
          </w:tcPr>
          <w:p>
            <w:pPr>
              <w:spacing w:line="240" w:lineRule="auto" w:after="0" w:before="0"/>
            </w:pPr>
            <w:r/>
            <w:r>
              <w:rPr>
                <w:sz w:val="16"/>
              </w:rPr>
              <w:t>organisation_landing</w:t>
            </w:r>
          </w:p>
        </w:tc>
        <w:tc>
          <w:tcPr>
            <w:tcW w:type="dxa" w:w="1814"/>
          </w:tcPr>
          <w:p>
            <w:pPr>
              <w:spacing w:line="240" w:lineRule="auto" w:after="0" w:before="0"/>
            </w:pPr>
            <w:r/>
            <w:r>
              <w:rPr>
                <w:sz w:val="16"/>
              </w:rPr>
              <w:t>35</w:t>
            </w:r>
          </w:p>
        </w:tc>
        <w:tc>
          <w:tcPr>
            <w:tcW w:type="dxa" w:w="1814"/>
          </w:tcPr>
          <w:p>
            <w:pPr>
              <w:spacing w:line="240" w:lineRule="auto" w:after="0" w:before="0"/>
            </w:pPr>
            <w:r/>
            <w:r>
              <w:rPr>
                <w:sz w:val="16"/>
              </w:rPr>
              <w:t>94.3% (81.4–98.4)</w:t>
            </w:r>
          </w:p>
        </w:tc>
        <w:tc>
          <w:tcPr>
            <w:tcW w:type="dxa" w:w="1814"/>
          </w:tcPr>
          <w:p>
            <w:pPr>
              <w:spacing w:line="240" w:lineRule="auto" w:after="0" w:before="0"/>
            </w:pPr>
            <w:r/>
            <w:r>
              <w:rPr>
                <w:sz w:val="16"/>
              </w:rPr>
              <w:t>0.0% (0.0–9.9)</w:t>
            </w:r>
          </w:p>
        </w:tc>
        <w:tc>
          <w:tcPr>
            <w:tcW w:type="dxa" w:w="1814"/>
          </w:tcPr>
          <w:p>
            <w:pPr>
              <w:spacing w:line="240" w:lineRule="auto" w:after="0" w:before="0"/>
            </w:pPr>
            <w:r/>
            <w:r>
              <w:rPr>
                <w:sz w:val="16"/>
              </w:rPr>
              <w:t>landing page or full text without the statement (32)</w:t>
            </w:r>
          </w:p>
        </w:tc>
      </w:tr>
      <w:tr>
        <w:trPr>
          <w:cantSplit/>
        </w:trPr>
        <w:tc>
          <w:tcPr>
            <w:tcW w:type="dxa" w:w="1814"/>
          </w:tcPr>
          <w:p>
            <w:pPr>
              <w:spacing w:line="240" w:lineRule="auto" w:after="0" w:before="0"/>
            </w:pPr>
            <w:r/>
            <w:r>
              <w:rPr>
                <w:sz w:val="16"/>
              </w:rPr>
              <w:t>no URL locator (free-text citation only)</w:t>
            </w:r>
          </w:p>
        </w:tc>
        <w:tc>
          <w:tcPr>
            <w:tcW w:type="dxa" w:w="1814"/>
          </w:tcPr>
          <w:p>
            <w:pPr>
              <w:spacing w:line="240" w:lineRule="auto" w:after="0" w:before="0"/>
            </w:pPr>
            <w:r/>
            <w:r>
              <w:rPr>
                <w:sz w:val="16"/>
              </w:rPr>
              <w:t>6</w:t>
            </w:r>
          </w:p>
        </w:tc>
        <w:tc>
          <w:tcPr>
            <w:tcW w:type="dxa" w:w="1814"/>
          </w:tcPr>
          <w:p>
            <w:pPr>
              <w:spacing w:line="240" w:lineRule="auto" w:after="0" w:before="0"/>
            </w:pPr>
            <w:r/>
            <w:r>
              <w:rPr>
                <w:sz w:val="16"/>
              </w:rPr>
              <w:t>0.0% (0.0–39.0)</w:t>
            </w:r>
          </w:p>
        </w:tc>
        <w:tc>
          <w:tcPr>
            <w:tcW w:type="dxa" w:w="1814"/>
          </w:tcPr>
          <w:p>
            <w:pPr>
              <w:spacing w:line="240" w:lineRule="auto" w:after="0" w:before="0"/>
            </w:pPr>
            <w:r/>
            <w:r>
              <w:rPr>
                <w:sz w:val="16"/>
              </w:rPr>
              <w:t>0.0% (0.0–39.0)</w:t>
            </w:r>
          </w:p>
        </w:tc>
        <w:tc>
          <w:tcPr>
            <w:tcW w:type="dxa" w:w="1814"/>
          </w:tcPr>
          <w:p>
            <w:pPr>
              <w:spacing w:line="240" w:lineRule="auto" w:after="0" w:before="0"/>
            </w:pPr>
            <w:r/>
            <w:r>
              <w:rPr>
                <w:sz w:val="16"/>
              </w:rPr>
              <w:t>no text retrieved (6)</w:t>
            </w:r>
          </w:p>
        </w:tc>
      </w:tr>
    </w:tbl>
    <w:p/>
    <w:p>
      <w:r>
        <w:t>Unresolvable reason codes (frozen with the verdicts): landing page or full text without the statement 71; abstract or title only 55; generic methodological source cannot contain statement 46; no text retrieved 12.</w:t>
      </w:r>
    </w:p>
    <w:p>
      <w:r>
        <w:t>Reading: retrievability (a document opens) and verifiability (the document contains the encoded threshold, operator, unit and population) are different properties; the gap between the two columns is the cost of organisation-level and methodological locators. VEC uses all sampled rules as denominator. These are properties of the registry's locators as rated by the single declared AI rater (Note 8); they are not clinical validity.</w:t>
      </w:r>
    </w:p>
    <w:p>
      <w:pPr>
        <w:pStyle w:val="Heading1"/>
      </w:pPr>
      <w:r>
        <w:rPr>
          <w:rFonts w:ascii="Times New Roman" w:hAnsi="Times New Roman" w:eastAsia="Times New Roman" w:cs="Times New Roman"/>
          <w:b/>
          <w:i w:val="0"/>
          <w:color w:val="000000"/>
        </w:rPr>
        <w:t>Supplementary Figures</w:t>
      </w:r>
    </w:p>
    <w:p>
      <w:pPr>
        <w:jc w:val="center"/>
      </w:pPr>
      <w:r>
        <w:drawing>
          <wp:inline xmlns:a="http://schemas.openxmlformats.org/drawingml/2006/main" xmlns:pic="http://schemas.openxmlformats.org/drawingml/2006/picture">
            <wp:extent cx="5760000" cy="2715429"/>
            <wp:docPr id="1" name="Picture 1"/>
            <wp:cNvGraphicFramePr>
              <a:graphicFrameLocks noChangeAspect="1"/>
            </wp:cNvGraphicFramePr>
            <a:graphic>
              <a:graphicData uri="http://schemas.openxmlformats.org/drawingml/2006/picture">
                <pic:pic>
                  <pic:nvPicPr>
                    <pic:cNvPr id="0" name="src_fig08_provenance.png"/>
                    <pic:cNvPicPr/>
                  </pic:nvPicPr>
                  <pic:blipFill>
                    <a:blip r:embed="rId10"/>
                    <a:stretch>
                      <a:fillRect/>
                    </a:stretch>
                  </pic:blipFill>
                  <pic:spPr>
                    <a:xfrm>
                      <a:off x="0" y="0"/>
                      <a:ext cx="5760000" cy="2715429"/>
                    </a:xfrm>
                    <a:prstGeom prst="rect"/>
                  </pic:spPr>
                </pic:pic>
              </a:graphicData>
            </a:graphic>
          </wp:inline>
        </w:drawing>
      </w:r>
    </w:p>
    <w:p>
      <w:pPr>
        <w:spacing w:line="276" w:lineRule="auto"/>
      </w:pPr>
      <w:r>
        <w:rPr>
          <w:sz w:val="20"/>
        </w:rPr>
        <w:t>Fig. S1. Provenance audit of the shipped registry (14.1.0): source-locator classes and verification outcome per rule; see Note 8 for the sampled concordance audit.</w:t>
      </w:r>
    </w:p>
    <w:p>
      <w:pPr>
        <w:jc w:val="center"/>
      </w:pPr>
      <w:r>
        <w:drawing>
          <wp:inline xmlns:a="http://schemas.openxmlformats.org/drawingml/2006/main" xmlns:pic="http://schemas.openxmlformats.org/drawingml/2006/picture">
            <wp:extent cx="5760000" cy="2880000"/>
            <wp:docPr id="2" name="Picture 2"/>
            <wp:cNvGraphicFramePr>
              <a:graphicFrameLocks noChangeAspect="1"/>
            </wp:cNvGraphicFramePr>
            <a:graphic>
              <a:graphicData uri="http://schemas.openxmlformats.org/drawingml/2006/picture">
                <pic:pic>
                  <pic:nvPicPr>
                    <pic:cNvPr id="0" name="src_fig02_eicu_versions.png"/>
                    <pic:cNvPicPr/>
                  </pic:nvPicPr>
                  <pic:blipFill>
                    <a:blip r:embed="rId11"/>
                    <a:stretch>
                      <a:fillRect/>
                    </a:stretch>
                  </pic:blipFill>
                  <pic:spPr>
                    <a:xfrm>
                      <a:off x="0" y="0"/>
                      <a:ext cx="5760000" cy="2880000"/>
                    </a:xfrm>
                    <a:prstGeom prst="rect"/>
                  </pic:spPr>
                </pic:pic>
              </a:graphicData>
            </a:graphic>
          </wp:inline>
        </w:drawing>
      </w:r>
    </w:p>
    <w:p>
      <w:pPr>
        <w:spacing w:line="276" w:lineRule="auto"/>
      </w:pPr>
      <w:r>
        <w:rPr>
          <w:sz w:val="20"/>
        </w:rPr>
        <w:t>Fig. S2. eICU-CRD demo (2,314 ICU stays, labs only): flat and two-tier top-k recall per engine/registry release, 13.4.2 → v7; identical inputs and label map.</w:t>
      </w:r>
    </w:p>
    <w:p>
      <w:pPr>
        <w:jc w:val="center"/>
      </w:pPr>
      <w:r>
        <w:drawing>
          <wp:inline xmlns:a="http://schemas.openxmlformats.org/drawingml/2006/main" xmlns:pic="http://schemas.openxmlformats.org/drawingml/2006/picture">
            <wp:extent cx="5760000" cy="4320000"/>
            <wp:docPr id="3" name="Picture 3"/>
            <wp:cNvGraphicFramePr>
              <a:graphicFrameLocks noChangeAspect="1"/>
            </wp:cNvGraphicFramePr>
            <a:graphic>
              <a:graphicData uri="http://schemas.openxmlformats.org/drawingml/2006/picture">
                <pic:pic>
                  <pic:nvPicPr>
                    <pic:cNvPr id="0" name="src_fig04_groups.png"/>
                    <pic:cNvPicPr/>
                  </pic:nvPicPr>
                  <pic:blipFill>
                    <a:blip r:embed="rId12"/>
                    <a:stretch>
                      <a:fillRect/>
                    </a:stretch>
                  </pic:blipFill>
                  <pic:spPr>
                    <a:xfrm>
                      <a:off x="0" y="0"/>
                      <a:ext cx="5760000" cy="4320000"/>
                    </a:xfrm>
                    <a:prstGeom prst="rect"/>
                  </pic:spPr>
                </pic:pic>
              </a:graphicData>
            </a:graphic>
          </wp:inline>
        </w:drawing>
      </w:r>
    </w:p>
    <w:p>
      <w:pPr>
        <w:spacing w:line="276" w:lineRule="auto"/>
      </w:pPr>
      <w:r>
        <w:rPr>
          <w:sz w:val="20"/>
        </w:rPr>
        <w:t>Fig. S3. Per-group recall@5 on panel-supported labels, frozen engine v7 (secondary metric defined after the ceiling was observed; see main text Section 3.3).</w:t>
      </w:r>
    </w:p>
    <w:p>
      <w:pPr>
        <w:jc w:val="center"/>
      </w:pPr>
      <w:r>
        <w:drawing>
          <wp:inline xmlns:a="http://schemas.openxmlformats.org/drawingml/2006/main" xmlns:pic="http://schemas.openxmlformats.org/drawingml/2006/picture">
            <wp:extent cx="5760000" cy="2592000"/>
            <wp:docPr id="4" name="Picture 4"/>
            <wp:cNvGraphicFramePr>
              <a:graphicFrameLocks noChangeAspect="1"/>
            </wp:cNvGraphicFramePr>
            <a:graphic>
              <a:graphicData uri="http://schemas.openxmlformats.org/drawingml/2006/picture">
                <pic:pic>
                  <pic:nvPicPr>
                    <pic:cNvPr id="0" name="src_fig09_calibration.png"/>
                    <pic:cNvPicPr/>
                  </pic:nvPicPr>
                  <pic:blipFill>
                    <a:blip r:embed="rId13"/>
                    <a:stretch>
                      <a:fillRect/>
                    </a:stretch>
                  </pic:blipFill>
                  <pic:spPr>
                    <a:xfrm>
                      <a:off x="0" y="0"/>
                      <a:ext cx="5760000" cy="2592000"/>
                    </a:xfrm>
                    <a:prstGeom prst="rect"/>
                  </pic:spPr>
                </pic:pic>
              </a:graphicData>
            </a:graphic>
          </wp:inline>
        </w:drawing>
      </w:r>
    </w:p>
    <w:p>
      <w:pPr>
        <w:spacing w:line="276" w:lineRule="auto"/>
      </w:pPr>
      <w:r>
        <w:rPr>
          <w:sz w:val="20"/>
        </w:rPr>
        <w:t>Fig. S4. Per-group expected calibration error, raw scores vs cross-fitted isotonic recalibration (Table S6b).</w:t>
      </w:r>
    </w:p>
    <w:p>
      <w:pPr>
        <w:jc w:val="center"/>
      </w:pPr>
      <w:r>
        <w:drawing>
          <wp:inline xmlns:a="http://schemas.openxmlformats.org/drawingml/2006/main" xmlns:pic="http://schemas.openxmlformats.org/drawingml/2006/picture">
            <wp:extent cx="5760000" cy="2715429"/>
            <wp:docPr id="5" name="Picture 5"/>
            <wp:cNvGraphicFramePr>
              <a:graphicFrameLocks noChangeAspect="1"/>
            </wp:cNvGraphicFramePr>
            <a:graphic>
              <a:graphicData uri="http://schemas.openxmlformats.org/drawingml/2006/picture">
                <pic:pic>
                  <pic:nvPicPr>
                    <pic:cNvPr id="0" name="src_fig13_context_echo.png"/>
                    <pic:cNvPicPr/>
                  </pic:nvPicPr>
                  <pic:blipFill>
                    <a:blip r:embed="rId14"/>
                    <a:stretch>
                      <a:fillRect/>
                    </a:stretch>
                  </pic:blipFill>
                  <pic:spPr>
                    <a:xfrm>
                      <a:off x="0" y="0"/>
                      <a:ext cx="5760000" cy="2715429"/>
                    </a:xfrm>
                    <a:prstGeom prst="rect"/>
                  </pic:spPr>
                </pic:pic>
              </a:graphicData>
            </a:graphic>
          </wp:inline>
        </w:drawing>
      </w:r>
    </w:p>
    <w:p>
      <w:pPr>
        <w:spacing w:line="276" w:lineRule="auto"/>
      </w:pPr>
      <w:r>
        <w:rPr>
          <w:sz w:val="20"/>
        </w:rPr>
        <w:t>Fig. S5. Context-echo analysis: the gain of the context arm is concentrated in labels that are restatements of documented history.</w:t>
      </w:r>
    </w:p>
    <w:p>
      <w:pPr>
        <w:jc w:val="center"/>
      </w:pPr>
      <w:r>
        <w:drawing>
          <wp:inline xmlns:a="http://schemas.openxmlformats.org/drawingml/2006/main" xmlns:pic="http://schemas.openxmlformats.org/drawingml/2006/picture">
            <wp:extent cx="5760000" cy="2397354"/>
            <wp:docPr id="6" name="Picture 6"/>
            <wp:cNvGraphicFramePr>
              <a:graphicFrameLocks noChangeAspect="1"/>
            </wp:cNvGraphicFramePr>
            <a:graphic>
              <a:graphicData uri="http://schemas.openxmlformats.org/drawingml/2006/picture">
                <pic:pic>
                  <pic:nvPicPr>
                    <pic:cNvPr id="0" name="figS1_participant_flow.png"/>
                    <pic:cNvPicPr/>
                  </pic:nvPicPr>
                  <pic:blipFill>
                    <a:blip r:embed="rId15"/>
                    <a:stretch>
                      <a:fillRect/>
                    </a:stretch>
                  </pic:blipFill>
                  <pic:spPr>
                    <a:xfrm>
                      <a:off x="0" y="0"/>
                      <a:ext cx="5760000" cy="2397354"/>
                    </a:xfrm>
                    <a:prstGeom prst="rect"/>
                  </pic:spPr>
                </pic:pic>
              </a:graphicData>
            </a:graphic>
          </wp:inline>
        </w:drawing>
      </w:r>
    </w:p>
    <w:p>
      <w:pPr>
        <w:spacing w:line="276" w:lineRule="auto"/>
      </w:pPr>
      <w:r>
        <w:rPr>
          <w:sz w:val="20"/>
        </w:rPr>
        <w:t>Fig. S6. Participant flow for all evaluation cohorts (TRIPOD+AI 14a; counts in Table S3).</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color w:val="00000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8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line="276" w:lineRule="auto"/>
      <w:outlineLvl w:val="0"/>
    </w:pPr>
    <w:rPr>
      <w:rFonts w:asciiTheme="majorHAnsi" w:eastAsiaTheme="majorEastAsia" w:hAnsiTheme="majorHAnsi" w:cstheme="majorBidi" w:ascii="Times New Roman" w:hAnsi="Times New Roman" w:eastAsia="Times New Roman" w:cs="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line="276" w:lineRule="auto"/>
      <w:outlineLvl w:val="1"/>
    </w:pPr>
    <w:rPr>
      <w:rFonts w:asciiTheme="majorHAnsi" w:eastAsiaTheme="majorEastAsia" w:hAnsiTheme="majorHAnsi" w:cstheme="majorBidi"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Times New Roman" w:hAnsi="Times New Roman" w:eastAsia="Times New Roman" w:cs="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160" w:after="80" w:line="276" w:lineRule="auto"/>
      <w:outlineLvl w:val="3"/>
    </w:pPr>
    <w:rPr>
      <w:rFonts w:asciiTheme="majorHAnsi" w:eastAsiaTheme="majorEastAsia" w:hAnsiTheme="majorHAnsi" w:cstheme="majorBidi" w:ascii="Times New Roman" w:hAnsi="Times New Roman" w:eastAsia="Times New Roman" w:cs="Times New Roman"/>
      <w:b/>
      <w:bCs/>
      <w:i w:val="0"/>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