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/>
      <w:r>
        <w:rPr>
          <w:b/>
        </w:rPr>
        <w:t>Title.</w:t>
      </w:r>
      <w:r>
        <w:t xml:space="preserve"> Verifying an AI-drafted laboratory-interpretation rule base before clinical audit: executable invariants, frozen source-concordance protocols and a hash-frozen benchmark applied to the open Hemoglyph engine</w:t>
      </w:r>
    </w:p>
    <w:p>
      <w:r/>
      <w:r>
        <w:rPr>
          <w:b/>
        </w:rPr>
        <w:t>Authors.</w:t>
      </w:r>
      <w:r>
        <w:t xml:space="preserve"> Sobhan Bahrami^a*^ (سبحان بهرامی), Zhaleh Tahmasebinejad^b,c^, Ehsan Bahrami Samani^b^</w:t>
      </w:r>
    </w:p>
    <w:p>
      <w:r>
        <w:t>^a^ Allameh Helli 10 High School (NODET), Tehran, Iran.</w:t>
      </w:r>
    </w:p>
    <w:p>
      <w:r>
        <w:t>^b^ Statistics and Data Science Clinic, Faculty of Mathematical Sciences, Shahid Beheshti University, Evin, Tehran 1983969411, Iran.</w:t>
      </w:r>
    </w:p>
    <w:p>
      <w:r>
        <w:t>^c^ Department of Epidemiology and Biostatistics, Research Institute for Endocrine Sciences, Shahid Beheshti University of Medical Sciences, No. 24 Parvaneh St., Velenjak, Tehran, Iran [wording and postal address to be confirmed by Z.T.].</w:t>
      </w:r>
    </w:p>
    <w:p>
      <w:r/>
      <w:r>
        <w:rPr>
          <w:b/>
        </w:rPr>
        <w:t>Corresponding author (single).</w:t>
      </w:r>
      <w:r>
        <w:t xml:space="preserve"> Sobhan Bahrami — sobahramisamani@gmail.com — telephone: [to be supplied] — postal address: [to be supplied] — ORCID 0009-0004-6639-5081.</w:t>
      </w:r>
    </w:p>
    <w:p>
      <w:r/>
      <w:r>
        <w:rPr>
          <w:b/>
        </w:rPr>
        <w:t>Co-author ORCIDs.</w:t>
      </w:r>
      <w:r>
        <w:t xml:space="preserve"> Z.T.: [to be supplied]. E.B.S.: [to be supplied].</w:t>
      </w:r>
    </w:p>
    <w:p>
      <w:r/>
      <w:r>
        <w:rPr>
          <w:b/>
        </w:rPr>
        <w:t>Word counts.</w:t>
      </w:r>
      <w:r>
        <w:t xml:space="preserve"> Abstract 350; main text (Introduction–Conclusion, incl. Limitations) ≈4,900; references 34; figures 8; tables 7; Supplementary Information (Notes 1–22, Tables S1–S18, Figs S1–S6) in one file.</w:t>
      </w:r>
    </w:p>
    <w:p>
      <w:r/>
      <w:r>
        <w:rPr>
          <w:b/>
        </w:rPr>
        <w:t>Article type.</w:t>
      </w:r>
      <w:r>
        <w:t xml:space="preserve"> Original research article (methodology / software).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