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Hemoglyph: an offline, guideline-traceable laboratory-panel interpretation engine with 33,183 rules, 99.2% AI-drafted, and four methods for verifying it against its sources, executable invariants and a frontier LLM</w:t>
      </w:r>
    </w:p>
    <w:p>
      <w:r>
        <w:rPr>
          <w:i/>
        </w:rPr>
        <w:t>Original research article. Revision R7 (2026-10-28),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Hemoglyph: open, offline engine ranking a source-cited differential from lab panels</w:t>
      </w:r>
    </w:p>
    <w:p>
      <w:r>
        <w:t>- Property-based invariants found a ranking defect that 353 vignettes had missed</w:t>
      </w:r>
    </w:p>
    <w:p>
      <w:r>
        <w:t>- Frozen provenance audits: 92% of rules unverifiable; 1.1% of rules drive output</w:t>
      </w:r>
    </w:p>
    <w:p>
      <w:r>
        <w:t>- Unit-invariant in 40/40 panels vs 8/40 for an LLM; suite released as LabPanel-Check</w:t>
      </w:r>
    </w:p>
    <w:p>
      <w:r>
        <w:t>- As a verifier, the engine's criteria cut LLM unsupported assertions 40% at no cost</w:t>
      </w:r>
    </w:p>
    <w:p>
      <w:pPr>
        <w:pStyle w:val="Heading1"/>
      </w:pPr>
      <w:r>
        <w:rPr>
          <w:color w:val="000000"/>
        </w:rPr>
        <w:t>Abstract</w:t>
      </w:r>
    </w:p>
    <w:p>
      <w:r>
        <w:rPr>
          <w:b/>
        </w:rPr>
        <w:t>Background and Objective:</w:t>
      </w:r>
      <w:r>
        <w:t xml:space="preserve"> LLM-drafted clinical rule bases are validated on vignettes, rarely against their sources. We present Hemoglyph, an offline engine that ranks a cited differential from a laboratory panel using 33,183 executable rules (99.2% AI-drafted), and four verification methods: executable invariants, a frozen source-concordance protocol, a hash-frozen benchmark and an audit of the audit.</w:t>
      </w:r>
    </w:p>
    <w:p>
      <w:r>
        <w:rPr>
          <w:b/>
        </w:rPr>
        <w:t>Methods:</w:t>
      </w:r>
      <w:r>
        <w:t xml:space="preserve"> Property-based tests check invariants (determinism, unit invariance, monotonicity, absent analyte) on randomised panels, on real panels given identically to engine and LLM, and as a verifier behind the LLM. A frozen protocol audits 200 sampled rules against their locators, then 100 of the rules that an activity log over 3,814 real panels shows to drive output. Hash-frozen benchmarks covered the eICU-CRD demo (2,314 ICU stays), 9,000 NHANES adults, 14,420 sepsis patients and external cohorts, with ablation and a blinded 400-stay comparison with a frontier LLM. A pre-specified audit study tested core sufficiency, detector mutation recall and transfer to a second LLM-written corpus.</w:t>
      </w:r>
    </w:p>
    <w:p>
      <w:r>
        <w:rPr>
          <w:b/>
        </w:rPr>
        <w:t>Results:</w:t>
      </w:r>
      <w:r>
        <w:t xml:space="preserve"> The invariants exposed a ranking defect missed by 353 vignettes. Of 200 audited rules, 92% (95% CI 87.4–95.1) were unresolvable and ≥7.5% discordant. Only 364 rules (1.1%) ever drove a top-10 differential; of 100 sampled, 6 were concordant, 92 unresolvable. 60.8% (58.7–62.9) of clinician-listed ICU diagnoses ranked top-five (baseline 51.3%); sepsis prediction failed, as pre-specified. Engine and LLM reached recall@5 parity (60.7% vs 59.6%, p = 0.54). SI units left the engine's top-5 unchanged in 40/40 perturbed panels versus 8/40; as a verifier, its criteria removed 40% of the LLM's unsupported assertions at no recall cost. The 335 curated or quote-verified rules alone changed recall@3/@5 by ≤0.2 points (@10 −1.2); static detectors caught 74–100% of structural mutants but ≤13% of plausible wrong thresholds; a second LLM-written 400-rule corpus showed the same defect classes (12.8 per 100 rules).</w:t>
      </w:r>
    </w:p>
    <w:p>
      <w:r>
        <w:rPr>
          <w:b/>
        </w:rPr>
        <w:t>Conclusions:</w:t>
      </w:r>
      <w:r>
        <w:t xml:space="preserve"> Frozen provenance audits and executable invariants are cheap, reproducible and informative—here unfavourably: provenance granularity limits auditability, 1% of rules carries the output, and static checks miss plausible wrong numbers. A traceable engine matched a frontier LLM on a blinded panel task and can verify its output. No clinical claim is made; code, rules, outputs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few reports and post-analytical errors remain a leading source of diagnostic harm [1–3]. Rule-based interpretation is transparent but narrow and hand-maintained [4,5]; supervised models need labelled data and cannot be audited clause by clause [6,7]; large language models (LLMs) interpret reports fluently but vary between runs, transmit patient data, and misclassify values even when reference ranges are supplied [8–11].</w:t>
      </w:r>
    </w:p>
    <w:p>
      <w:r>
        <w:t>LLMs have changed one part of this picture: a guideline-transcribed rule base that once took a committee years can now be drafted in weeks. That creates a software-engineering problem: an AI-drafted rule is a hypothesis about what a source says, nobody has read most of them, and conventional validation—authors' vignettes, one institution, no comparator [12]—detects neither mistranscription nor ranking defects. Diagnostic decision-support systems have been compared with GPT-4-class models on 36–201 symptom cases [13–16], formal verification has been applied to guideline knowledge acquisition [17], and external-validation methodology for learned models is mature [18]; but no method exists for verifying a large AI-drafted laboratory rule base, and a dated search found no openly licensed, machine-executable rule set for laboratory-panel interpretation (Supplementary Note 5).</w:t>
      </w:r>
    </w:p>
    <w:p>
      <w:r>
        <w:t>This paper treats the rule base as software and asks how it can be verified. We contribute (i) a property-based test suite of invariants any correct laboratory-interpretation engine must satisfy, run on randomised panels, as a black box on real panels given identically to the engine and an LLM, and as a verifier behind the LLM; (ii) a source-concordance protocol, frozen before sampling, with explicit denominators, and an activity log identifying which rules actually drive output; (iii) a hash-frozen, one-shot, multi-dataset benchmark with supervised, prevalence and LLM comparators; and (iv) an audit of the audit—a sufficiency test of the audited core, mutation testing of the static detectors and their transfer to a second LLM-written corpus. Suite, protocol and detectors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The object of study is Hemoglyph, an offline single-process engine with 33,183 guideline-transcribed rules, 99.2% of them AI-drafted under a non-clinician first author and none clinically audited. The same engine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14.1.0—33,183 executable records, each a condition on at least one analyte with a population gate, an evidence role (diagnostic criterion weight 6; supportive or screening weight 3), a disease identifier and a source locator; 24,293 (73.2%; 4,026 entities) are generated two-analyte templates ranked below diseases and citing only a generic standards page, 8,890 are attached to 2,502 disease, finding, drug-level or serology entities; an expert syndrome layer (~900 multi-analyte constellations, anchor strengths 0.95/0.88/0.80/0.72/0.45, context predicates); fixed-weight fusion (0.35 rule engine, 0.25 Bayesian, 0.20 fuzzy, 0.10 knowledge graph, 0.10 risk models; set by judgement, never tuned on evaluation data) with an expert floor (the fused score cannot fall below 0.90 × the rule-layer vote); and ranking hygiene (causal attribution, covering-diagnosis suppression, KDIGO chronicity [19], ADA glycaemic criteria [20], UDMI acuity [21], maximum 25 entries). The Bayesian layer has 75 disease nodes with hand-coded priors; no parameter was fitted to any patient record (change log in Supplementary Table S1).</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were accepted or rejected by automated audits only (schema validity, analyte in the 2,045-analyte feature registry, unit convertible, plausible threshold, no duplicate or contradiction, context gate present, locator resolvable) and carry the status </w:t>
      </w:r>
      <w:r>
        <w:rPr>
          <w:rFonts w:ascii="Consolas" w:hAnsi="Consolas"/>
        </w:rPr>
        <w:t>candidate_requires_specialist_validation</w:t>
      </w:r>
      <w:r>
        <w:t>. The 272 anchor rules were written or line-edited by hand from primary guideline text. No human read the bulk; we therefore call it AI-drafted and automatically audited. Registry 14.1.0 has 33,183 rules and 785 sources.</w:t>
      </w:r>
    </w:p>
    <w:p>
      <w:pPr>
        <w:pStyle w:val="Heading2"/>
      </w:pPr>
      <w:r>
        <w:rPr>
          <w:color w:val="303030"/>
        </w:rPr>
        <w:t>2.3 Verification method 1: executable invariants</w:t>
      </w:r>
    </w:p>
    <w:p>
      <w:r>
        <w:t>A property-based suite (25 tests) generates randomised panels and asserts determinism; unit invariance (SI and conventional units yield the same ranking, tolerance 10⁻³); directional monotonicity (a more extreme value never lowers the probability of the finding it defines; 14 analyte–direction pairs); absent-analyte invariance (no syndrome asserted from an analyte not present); and context invariants (documented CKD never raises acute kidney injury). It runs on every release with 353 adversarial vignettes and a safety battery, and tests logical consistency, not clinical correctness: a mistranscribed threshold passes every invariant.</w:t>
      </w:r>
    </w:p>
    <w:p>
      <w:r>
        <w:t xml:space="preserve">Because the same properties can be stated for any reader, four were also run as a </w:t>
      </w:r>
      <w:r>
        <w:rPr>
          <w:i/>
        </w:rPr>
        <w:t>black-box</w:t>
      </w:r>
      <w:r>
        <w:t xml:space="preserve"> benchmark in which the engine and the LLM of Section 2.5 received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Panels, label map, a standard-library scorer and both reference readings are released as </w:t>
      </w:r>
      <w:r>
        <w:rPr>
          <w:i/>
        </w:rPr>
        <w:t>LabPanel-Check</w:t>
      </w:r>
      <w:r>
        <w:t xml:space="preserve">, a 290-panel conformance package on which any reader—engine or LLM—is scored with one command (Supplementary Note 13). Finally, the same criteria served as an </w:t>
      </w:r>
      <w:r>
        <w:rPr>
          <w:i/>
        </w:rPr>
        <w:t>executable verifier</w:t>
      </w:r>
      <w:r>
        <w:t xml:space="preserve"> behind the LLM: each entry of the 400 stored blind readings was checked against its own panel as supported, contradicted (defining analyte present, criterion not met), analyte-absent or not verifiable; unsupported entries were demoted and recall re-scored; the engine's own top-5 passed through the same verifier. A </w:t>
      </w:r>
      <w:r>
        <w:rPr>
          <w:i/>
        </w:rPr>
        <w:t>verified consensus</w:t>
      </w:r>
      <w:r>
        <w:t xml:space="preserve"> arm—reciprocal-rank fusion (k = 0) of the engine's ranking with the LLM entries marked supported—was registered with the rule that recall@5 below 62% would be reported as "not complementary". Protocols and predictions were committed before computation; no new LLM call was made.</w:t>
      </w:r>
    </w:p>
    <w:p>
      <w:pPr>
        <w:pStyle w:val="Heading2"/>
      </w:pPr>
      <w:r>
        <w:rPr>
          <w:color w:val="303030"/>
        </w:rPr>
        <w:t>2.4 Verification method 2: source concordance and activity-guided provenance</w:t>
      </w:r>
    </w:p>
    <w:p>
      <w:r>
        <w:rPr>
          <w:i/>
        </w:rPr>
        <w:t>Concordance.</w:t>
      </w:r>
      <w:r>
        <w:t xml:space="preserve"> The protocol was frozen before sampling (seed 20261026): 100 of 272 curated anchors and 100 executable candidates (50 "eICU-relevant", 50 uniform from the rest); fields compared were analyte, operator/threshold with unit, population qualifier and disease attribution; labels CONCORDANT, DISCORDANT, UNRESOLVABLE, with the tie-break "when in doubt, unresolvable", never counted as concordant. Sources were retrieved by the registry locator, with Crossref title and PubMed abstract as fall-back for paywalled DOIs. Rates are reported with two denominators (resolvable; all sampled) and Wilson 95% CIs. The rater was an AI agent under the first author's direction, declared as such.</w:t>
      </w:r>
    </w:p>
    <w:p>
      <w:r>
        <w:rPr>
          <w:i/>
        </w:rPr>
        <w:t>Activity.</w:t>
      </w:r>
      <w:r>
        <w:t xml:space="preserve"> A protocol frozen before any run (with registered expectations for core size, anchor share and audit yield) logged, for every rule on 3,814 real panels (the 2,314 eICU stays and 1,500 NHANES 2015–18 adults; seed 20261027; registry 14.2.0, whose rule layer equals v7's), whether it fired and whether its disease entered the top-10 differential. Rules that contributed at least once form the </w:t>
      </w:r>
      <w:r>
        <w:rPr>
          <w:i/>
        </w:rPr>
        <w:t>active core</w:t>
      </w:r>
      <w:r>
        <w:t xml:space="preserve">; ≥ 10 times, the </w:t>
      </w:r>
      <w:r>
        <w:rPr>
          <w:i/>
        </w:rPr>
        <w:t>hot core</w:t>
      </w:r>
      <w:r>
        <w:t>. Each active rule's locator was fetched and searched automatically for its threshold; then 100 active rules outside the concordance sample were drawn (seed 20261028) and labelled by the same single rater, with a verbatim quote required for every concordant or discordant verdict and strict-versus-inclusive boundary mismatches labelled discordant. No rule or locator was changed.</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hash-frozen in the repository but not publicly registered, so we write "pre-specified", not "pre-registered". Before each of two quarantine rounds, code and registry were frozen with SHA-256 manifests and quarantine data were run once. Round 1 failed two superiority criteria because a guideline-correctness change (a single creatinine no longer asserts CKD) lowered CKD recall; the criteria were re-specified as non-inferiority (Amendment 15, dated before any round-2 file was opened) and round 2 met them, so round 2 is evidence of non-regression, not the confirmatory test originally planned (Fig. 2a; Supplementary Table S2). All frozen results are for engine v7 with registry 14.1.0.</w:t>
      </w:r>
    </w:p>
    <w:p>
      <w:r>
        <w:rPr>
          <w:i/>
        </w:rPr>
        <w:t>Datasets and reference standards</w:t>
      </w:r>
      <w:r>
        <w:t xml:space="preserve"> (Table 2; Supplementary Table S3). eICU-CRD demo v2.0.1 [22]: 2,520 stays → 2,314 adults with ≥ 8 analytes in the first panel; reference = clinician problem list mapped to 31 groups (audit on 400 stays: precision 100%, sensitivity 98.3%). MIMIC-IV demo [23]: 235 admissions, ICD-10. NHANES 2013–14, 2015–16, 2017–18: 3,000 randomly sampled adults per cycle; references per ADA, KDIGO, WHO and ACG criteria and self-report. PhysioNet/CinC 2019 [24]: sets A/B/B2 (4,871/4,558/4,991 patients), Sepsis-3 onset. UCI thyroid0387 [25], HCV [26], ILPD [27]; 50 PMC case reports [28].</w:t>
      </w:r>
    </w:p>
    <w:p>
      <w:r>
        <w:rPr>
          <w:i/>
        </w:rPr>
        <w:t>Metrics.</w:t>
      </w:r>
      <w:r>
        <w:t xml:space="preserve"> Primary: flat recall@k of clinician-listed diagnoses (k = 3, 5, 10). Secondary: two-tier recall; panel-supported recall (labels whose first panel met a guideline criterion fixed before scoring); per-group AUROC; false-assertion rate in all-normal adults; sepsis AUROC; calibration [29]; ablation of each component on the same 2,314 stays.</w:t>
      </w:r>
    </w:p>
    <w:p>
      <w:r>
        <w:rPr>
          <w:i/>
        </w:rPr>
        <w:t>Comparators.</w:t>
      </w:r>
      <w:r>
        <w:t xml:space="preserve"> A raw key-analyte threshold;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model or version—"unnamed frontier LLM" therefore denotes a capability tier, not a verified identity. The LLM received the identical panel, age and sex with a fixed prompt requesting ten ranked diagnoses, blinded to labels; 40 panels were re-read for test–retest; scoring used the same label map and script as the engine (Supplementary Note 2).</w:t>
      </w:r>
    </w:p>
    <w:p>
      <w:r>
        <w:rPr>
          <w:i/>
        </w:rPr>
        <w:t>Statistics.</w:t>
      </w:r>
      <w:r>
        <w:t xml:space="preserve"> Labels are nested in stays (ICC 0.04); eICU proportions and paired differences use stay-cluster bootstrap (4,000 resamples) and the cluster-adjusted McNemar test [30,31]; Wilson intervals elsewhere; DeLong or bootstrap for AUROC; Benjamini–Hochberg across per-group tests. Reporting follows TRIPOD+AI [32] adapted for an unfitted system (Supplementary Note 5.7).</w:t>
      </w:r>
    </w:p>
    <w:p>
      <w:pPr>
        <w:pStyle w:val="Heading2"/>
      </w:pPr>
      <w:r>
        <w:rPr>
          <w:color w:val="303030"/>
        </w:rPr>
        <w:t>2.6 Verification method 4: verifying the verification</w:t>
      </w:r>
    </w:p>
    <w:p>
      <w:r>
        <w:t xml:space="preserve">Three questions about the methods themselves were pre-specified (protocol and detector code frozen before any result) and run on the post-audit registry 15.1.0, so no frozen number is affected. </w:t>
      </w:r>
      <w:r>
        <w:rPr>
          <w:i/>
        </w:rPr>
        <w:t>Sufficiency</w:t>
      </w:r>
      <w:r>
        <w:t xml:space="preserve">: an arm in which only 335 rules remain executable — the 284 curated rules, the 19 further rules that received a verbatim source quote during the active-core re-sourcing and the 32 reference-interval conventions (only 94 of the 364 active-core rules are among them) — was run on the same cohorts and seeds as the full registry; "not load-bearing" (|Δ| ≤ 0.5 points) and "partially load-bearing" (0.5–3 points) were defined in advance. </w:t>
      </w:r>
      <w:r>
        <w:rPr>
          <w:i/>
        </w:rPr>
        <w:t>Mutation</w:t>
      </w:r>
      <w:r>
        <w:t xml:space="preserve">: seven static defect detectors (single ubiquitous-analyte screen, impossible severity tier, direction contradiction, unit–physiology mismatch, adult threshold applied to neonates, source-scope mismatch), calibrated on 15.1.0 and then frozen, were scored for recall on eight classes of synthetic defect injected into 303 seed rules and for specificity on the unmutated seeds. </w:t>
      </w:r>
      <w:r>
        <w:rPr>
          <w:i/>
        </w:rPr>
        <w:t>Transfer</w:t>
      </w:r>
      <w:r>
        <w:t>: the same detectors were run unchanged on registry 14.1.0 and on a second LLM-written rule set (200 entities × 2 rules, fixed prompt, no templates, hash-frozen before the run) written by the same agent that wrote the detectors; this tests whether the defect classes recur under a different generation process, not independence.</w:t>
      </w:r>
    </w:p>
    <w:p>
      <w:pPr>
        <w:pStyle w:val="Heading1"/>
      </w:pPr>
      <w:r>
        <w:rPr>
          <w:color w:val="000000"/>
        </w:rPr>
        <w:t>3. Results</w:t>
      </w:r>
    </w:p>
    <w:p>
      <w:pPr>
        <w:pStyle w:val="Heading2"/>
      </w:pPr>
      <w:r>
        <w:rPr>
          <w:color w:val="303030"/>
        </w:rPr>
        <w:t>3.1 Executable invariants</w:t>
      </w:r>
    </w:p>
    <w:p>
      <w:r>
        <w:t xml:space="preserve">All 25 tests pass on the current engine. On the frozen v7 the suite exposed one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the frozen v7 numbers below are unchanged. The engine is deterministic (byte-identical output in 50/50 repeated stays) and runs on one CPU core in ~1 s per panel without network calls.</w:t>
      </w:r>
    </w:p>
    <w:p>
      <w:pPr>
        <w:pStyle w:val="Heading2"/>
      </w:pPr>
      <w:r>
        <w:rPr>
          <w:color w:val="303030"/>
        </w:rPr>
        <w:t>3.2 Source concordance</w:t>
      </w:r>
    </w:p>
    <w:p>
      <w:r>
        <w:t xml:space="preserve">Of 200 rules sampled under the frozen protocol,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generic methodological standards that cannot contain a disease-specific threshold, and 71 organisation landing pages. Because an attribution error is visible from a title while concordance needs the full text, 15/16 is not an estimate of the discordance rate; the defensible statements are that at least 7.5% (4.6–12.0) of sampled rules are demonstrably discordant and that the registry is not auditable rule-by-rule from its own locators. A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 The audit is single-rater, by a declared AI agent under the first author's supervision; no inter-rater reliability is claimed.</w:t>
      </w:r>
    </w:p>
    <w:p>
      <w:pPr>
        <w:pStyle w:val="Heading2"/>
      </w:pPr>
      <w:r>
        <w:rPr>
          <w:color w:val="303030"/>
        </w:rPr>
        <w:t>3.3 Activity-guided provenance audit</w:t>
      </w:r>
    </w:p>
    <w:p>
      <w:r>
        <w:t>On 3,814 real panels 1,991 rules fired and 364 (1.1%) ever placed a diagnosis in a top-10 differential; 174 did so ten or more times; 31,192 (94.0%) never fired. The active core holds 46 of the 272 curated anchors and 105 generated templates; its first-cited source is a resolved DOI for 10.4% of rules against 0.8% registry-wide. Automated search located the rule's threshold in a document reached from the locator for 8 of 364 active rules; 120 locators were organisation landing pages, 63 blocked or 404,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in a systematic review) and 92 unresolvable (95% CI 85.0–95.9; 88.6% among the 70 non-template rules), of which at least 18 cite a specific document that does not address the rule's analyte, 30 an organisation page and 5 a WHO URL returning 404. None of the four registered expectations was met (Supplementary Note 15).</w:t>
      </w:r>
    </w:p>
    <w:p>
      <w:pPr>
        <w:pStyle w:val="Heading2"/>
      </w:pPr>
      <w:r>
        <w:rPr>
          <w:color w:val="303030"/>
        </w:rPr>
        <w:t>3.4 Intensive care (eICU-CRD demo)</w:t>
      </w:r>
    </w:p>
    <w:p>
      <w:r>
        <w:t>In 2,314 adult ICU stays from 186 US hospitals, from the first panel alone, 47.9% (stay-clustered 95% CI 45.8–50.0) of 2,432 clinician-listed, laboratory-relevant diagnoses appeared in the top 3, 60.8% (58.7–62.9) in the top 5 and 74.1% (72.2–76.0) in the top 10 (Table 3). Precision@5 was 14.2% (13.3–15.2), F1@5 23.1% and NDCG@5 56.5% (54.1–58.8) against an incomplete problem list. Recall@5 ranged from 88.1% (acute myocardial infarction), 83.0% (anaemia) and 77.5% (acute kidney injury) to 49.1% (sepsis), 45.1% (diabetes) and 35.8%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Supervised models trained on the labels (Fig. 3) exceeded the untrained engine only in outcome-defined groups without a laboratory signature (sepsis AUROC 0.82 vs 0.68; GI bleeding 0.85 vs 0.75; alcohol withdrawal 0.80 vs 0.54) and were matched or beaten in nine guideline-defined groups.</w:t>
      </w:r>
    </w:p>
    <w:p>
      <w:pPr>
        <w:pStyle w:val="Heading2"/>
      </w:pPr>
      <w:r>
        <w:rPr>
          <w:color w:val="303030"/>
        </w:rPr>
        <w:t>3.5 Ablation, community survey and external cohorts</w:t>
      </w:r>
    </w:p>
    <w:p>
      <w:r>
        <w:t>Two components carry the signal (Table 1): removing the rule-engine vote cost 12.1 points of flat recall@5 (−14.4 to −9.8) and removing the syndrome layer 9.5 points (−11.1 to −7.9); the Bayesian network contributed 1.3 points and any fusion-weight profile changed recall by ≤ 1.4 points. Restricting the registry to the 272 curated anchors (32,911 AI-drafted rules off) lowered recall@5 by 0.9 points (−2.1 to +0.2); the headline therefore rests on hand-curated components, and registry scale is not claimed as a merit. In 3,000 NHANES adults per cycle, AUROCs reproduced across the development cycle (2017–18) and the two quarantine cycles (2013–14, 2015–16): diabetes 0.946/0.938/0.924, CKD 0.959/0.968/0.962, anaemia 0.972/0.994/0.983, hypercholesterolaemia 0.905/0.883/0.886 (Fig. 4; Table 4); against self-reported physician diagnosis, which does not overlap the inputs, AUROC was 0.90–0.92 for diabetes and 0.75–0.82 for kidney disease; among guideline-healthy adults the engine asserted a disease in 2/485 (0.4%). In PhysioNet/CinC 2019 the sepsis score discriminated Sepsis-3 onset with AUROC 0.600, 0.610 and 0.588 in sets A, B and B2 versus 0.691, 0.712 and 0.679 for a supervised logistic model on the same features (Fig. 5)—a pre-specified negative result; Hemoglyph is not a sepsis predictor and was not tuned to the task afterwards. External cohorts (UCI thyroid 0.979/0.798, HCV 0.925, ILPD 0.704, MIMIC-IV demo top-5 47.5%, PMC case reports 26% specific/68% syndrome), raw-score calibration (pooled AUROC 0.797; Fig. 7) and subgroup analyses are in Table 4 and Supplementary Note 17.</w:t>
      </w:r>
    </w:p>
    <w:p>
      <w:pPr>
        <w:pStyle w:val="Heading2"/>
      </w:pPr>
      <w:r>
        <w:rPr>
          <w:color w:val="303030"/>
        </w:rPr>
        <w:t>3.6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6; Table 5). On 40 panels re-read by the LLM, top-5 agreement with its own first reading was κ 0.69; the engine's was 1.00.</w:t>
      </w:r>
    </w:p>
    <w:p>
      <w:pPr>
        <w:pStyle w:val="Heading2"/>
      </w:pPr>
      <w:r>
        <w:rPr>
          <w:color w:val="303030"/>
        </w:rPr>
        <w:t>3.7 Black-box property conformance on identical perturbed panels</w:t>
      </w:r>
    </w:p>
    <w:p>
      <w:r>
        <w:t>Table 6 reports four properties run on both systems. SI units left the engine's top-5 identical in 40/40 panels (Jaccard 1.00) and the LLM's in 8/40 (0.72); shuffled order with distractors, 35/40 (0.96) versus 10/40 (0.73). The LLM figures are measured against its first reading and so include its test–retest variability (κ 0.69). The first engine run gave 36/40 on SI units; all four discrepancies traced to one defect the in-process suite had not reached—a record mirrored under a legacy identifier kept its reported unit, so a normal bilirubin of 9 µmol/L met an 8 mg/dL panic threshold. The fix has a regression test; the frozen v7 numbers are untouched. Re-scored through the released package with registry 15.2.0, the engine card is unchanged except P2 39/40: in the one discordant pair the generator's rounding (1.3 mg/dL → 115 µmol/L → 1.3009 mg/dL) crosses a strict &gt; 1.3 mg/dL rule leaf, a generator artefact, not a unit defect.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a blinded NHANES test the engine asserted no disease in 40 guideline-healthy adults and the LLM four (Supplementary Note 13).</w:t>
      </w:r>
    </w:p>
    <w:p>
      <w:pPr>
        <w:pStyle w:val="Heading2"/>
      </w:pPr>
      <w:r>
        <w:rPr>
          <w:color w:val="303030"/>
        </w:rPr>
        <w:t>3.8 The engine's criteria as a verifier behind the LLM, and a pre-specified negative result</w:t>
      </w:r>
    </w:p>
    <w:p>
      <w:r>
        <w:t>Of 2,424 LLM entries, 1,636 mapped to a group with a criterion (1,439 supported, 182 contradicted, 15 analyte-absent); 788 were not verifiable (Table 7). Among mapped top-5 entries 140/1,486 (9.4%) were unsupported (registered expectation 15–30%);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reduced the unsupported share to 5.7%; of 197 demoted entries 10 were clinician labels (5.1%; registered ≤ 10%; Supplementary Note 14). The parameter-free fusion of the engine's ranking with the supported LLM entries gave recall@1/5/10 of 21.8/61.2/76.3%: below the registered 62% at rank 5 (+0.6 versus the engine, CI −2.2 to 3.4), worse than both at rank 1, better only at rank 10 (+4.5, CI 2.2–6.8) and on criterion-met labels (82.1% versus 77.9/81.0%), while outcome-type labels fell from 51.9% to 42.7%: the filter admits only the verifiable, so constellation-ranked syndromes are displaced. Per protocol the systems are reported as not complementary; no other rule was tried.</w:t>
      </w:r>
    </w:p>
    <w:p>
      <w:pPr>
        <w:pStyle w:val="Heading2"/>
      </w:pPr>
      <w:r>
        <w:rPr>
          <w:color w:val="303030"/>
        </w:rPr>
        <w:t>3.9 Verifying the verification</w:t>
      </w:r>
    </w:p>
    <w:p>
      <w:r>
        <w:rPr>
          <w:i/>
        </w:rPr>
        <w:t>Sufficiency.</w:t>
      </w:r>
      <w:r>
        <w:t xml:space="preserve"> With only the 335 curated, quote-verified or convention rules executable, eICU flat recall@3/@5/@10 was 47.8/61.2/73.1% against 48.0/61.2/74.3% for the full 15.1.0 registry, two-tier recall@1/@3/@5 32.3/60.9/70.1% against 33.3/62.3/72.4%, mean per-label AUROC 0.761 against 0.766, with NHANES AUROCs identical and healthy-adult false assertions 0/51 in both arms. Paired differences were significant only at @10 (p = 0.005; grouped@10 p = 3.8 × 10⁻⁵), driven by diabetes and renal pattern templates: under the pre-stated thresholds the other 30,735 executable rules are not load-bearing at @3/@5 and partially load-bearing at @10 and in the two-tier metric. </w:t>
      </w:r>
      <w:r>
        <w:rPr>
          <w:i/>
        </w:rPr>
        <w:t>Mutation.</w:t>
      </w:r>
      <w:r>
        <w:t xml:space="preserve"> Detector recall was 1.00 for inverted or impossible tiers (301/301), 0.98 for multi-analyte rules collapsed to a single ubiquitous analyte (138/141), 0.74 for unit substitution (113/152), 0.55 for thresholds pushed outside physiological limits (40/73), 0.46 for random source substitution (40/88), 0.13 for operator flips (36/274) and 0.003 for plausible threshold changes (1/303); specificity on unmutated seeds was 0.974, and four of the eight flagged seeds were real defects (an adult haemoglobin threshold under a neonatal population gate). These, with 126 unit-label and 14 source errors found during calibration, were corrected in registry 15.2.0 under a written protocol, with every eICU and NHANES gate count identical before and after. </w:t>
      </w:r>
      <w:r>
        <w:rPr>
          <w:i/>
        </w:rPr>
        <w:t>Transfer.</w:t>
      </w:r>
      <w:r>
        <w:t xml:space="preserve"> Per 100 rules, any-detector density was 23.6 (95% CI 22.8–24.5) in registry 14.1.0 (dominated by template classes release 15 retired), 1.3 (1.0–1.6) in 15.1.0 (the calibration set) and 12.8 (9.8–16.4) in the second LLM-written corpus, where single-analyte screens (6.0) and adult thresholds without a population gate (3.3) predominated; 37 of 51 flags were true defects, 8 false positives and 6 undetermined (Supplementary Note 16).</w:t>
      </w:r>
    </w:p>
    <w:p>
      <w:r>
        <w:rPr>
          <w:i/>
        </w:rPr>
        <w:t>Ledger.</w:t>
      </w:r>
      <w:r>
        <w:t xml:space="preserve"> A per-rule verification ledger (Supplementary Note 18; </w:t>
      </w:r>
      <w:r>
        <w:rPr>
          <w:rFonts w:ascii="Consolas" w:hAnsi="Consolas"/>
        </w:rPr>
        <w:t>eval/verification_ledger/build_ledger.py</w:t>
      </w:r>
      <w:r>
        <w:t>) joins the four methods, without any new measurement, for the 605 rules that are curated, active-core or sufficiency-arm members, and assigns each one label under a fixed precedence. Of the 272 anchors, 18 are quote-verified, 8 carry a discordant verdict (7 uncorrected), 101 cite a reachable but unchecked source and 141 are unresolvable or sampled as such; of the 364 active-core rules, 145 were retired under the 15.0.0 protocol, 37 are quote-verified and 157 unresolvable; the executable invariants reach the analyte of 104 of the 219 active-core rules still executable. Eight rules with a recorded discordant verdict and five with an open detector flag are unchanged in 15.2.0 and are listed as the input to the next registry protocol.</w:t>
      </w:r>
    </w:p>
    <w:p>
      <w:pPr>
        <w:pStyle w:val="Heading1"/>
      </w:pPr>
      <w:r>
        <w:rPr>
          <w:color w:val="000000"/>
        </w:rPr>
        <w:t>4. Discussion</w:t>
      </w:r>
    </w:p>
    <w:p>
      <w:r>
        <w:t>Each of the four methods produced information that conventional validation had not: two engine defects that 353 adversarial vignettes missed; a rule base that cannot be audited from its own locators, with at least 7.5% of sampled rules discordant; an output carried by 1.1% of rules that fail in the same way as the bulk; recall@5 parity with a frontier LLM while a prevalence baseline reached 51%, so the engine's contribution is ordering (NDCG@5 56.5% vs 39.0%) and specificity, not coverage; and an audit of the audit showing that the audited core reproduces the primary results, that static detectors catch structural defects but not plausible wrong numbers, and that a second LLM-written rule set shows the same defect classes.</w:t>
      </w:r>
    </w:p>
    <w:p>
      <w:r>
        <w:t xml:space="preserve">Executable invariants are a genuine advantage of a rule engine over an LLM: they can be stated, run on every release and violated only visibly. On identical panels the engine held unit and presentation invariance where the LLM's output changed in most panels, and the same test found two engine defects—which is the point: a violated invariant is a bug report with a reproducer, whereas an LLM's changed answer is not actionable. The criteria also work as a verifier </w:t>
      </w:r>
      <w:r>
        <w:rPr>
          <w:i/>
        </w:rPr>
        <w:t>behind</w:t>
      </w:r>
      <w:r>
        <w:t xml:space="preserve"> the LLM, removing 40% of its unsupported top-5 assertions at no recall cost while flagging the engine's own output more often; fusing the two did not help at rank 5, because filtering admits only the verifiable while the engine's residual advantage lies in outcome syndromes no single criterion verifies. Invariants establish consistency, not correctness: a mistranscribed threshold passes every invariant, and the mutation study quantifies this (recall 0.003 for a plausible wrong number). The concordance audit shows why correctness is hard to reach: the limiting factor was not rater effort but locator granularity—organisation-level URLs and generic standards make 92% of rules uncheckable, and where checking was possible the error was usually attribution. Audit protocols should therefore require the verbatim source sentence for every verdict, and auditable registries should carry section- or table-level locators; an independent clinical audit is the next step. All four tools transfer unchanged to any rule base whose records carry analyte, operator, threshold, unit, population and locator, and the benchmark scripts run unchanged on the credentialed full eICU and MIMIC-IV releases.</w:t>
      </w:r>
    </w:p>
    <w:p>
      <w:r>
        <w:t>The benchmark numbers measure the reference standard at least as much as the engine. A quarter of problem-list entries were not inferable from the first panel; the panel-supported subset is recovered at 78.0% (k = 5) and 91.8% (k = 10), supervised models did not exceed 0.82 AUROC for outcome-defined groups, and a prevalence baseline overtakes any method at k = 10, so no laboratory-only system can score much higher on this reference. Of the 85.8% of top-5 assertions not on the problem list, 54.8% satisfy the group's criterion in the same panel and only 12.6% are criterion-negative—coded precision (14.2%) is a lower bound, 69.0% an upper bound. Where the engine loses (sepsis, bleeding, withdrawal, CKD without a second creatinine) the label is an outcome learned from hidden correlates or needs longitudinal data; part of the loss was chosen, since withdrawing single-creatinine CKD assertions to comply with KDIGO cost three points of recall@5. Ablation and sufficiency agree that the result lives in the rule vote and a few hundred curated constellations and core rules; the bulk adds one to three points and 94% of it never fired, so the activity log converts an unauditable registry into a tractable verification queue. The contribution of such an engine is therefore not accuracy beyond what the reference permits but a property no LLM or trained model offers: every output carries a rule identifier, threshold and source, runs offline in about one second, and is verifiable before release. The design also answers criticisms of recent LLM benchmarks—unstable metrics, leakage and post-hoc selection [28,33]: releases were frozen with manifests, quarantine data were run once, the failed round is disclosed, and the LLM's test–retest variability (κ 0.69) exceeded the between-system difference. Unlike Isabel and DXplain studies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both concordance audits are single-rater, by a declared AI agent, without inter-rater reliability. Nearly three quarters of the executable rules are generated two-analyte templates citing a generic standards page; "dormant" means dormant on the analyte coverage of the two corpora used.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problem lists and ICD codes as reference standards. The LLM comparison is an author-run self-baseline through a platform that does not disclose the model, without retrieval augmentation or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static detectors were calibrated on the registry they then scored, the second LLM-written corpus was produced by the same agent that wrote them, and they are blind to plausible wrong thresholds by construction.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with an activity log, a hash-frozen one-shot benchmark and an audit of the audit itself are four low-cost, reproducible methods for verifying an AI-drafted clinical rule base. A rule engine whose every output carries a rule identifier, threshold and source can be audited in ways a language model cannot—and can audit the language model's output in turn. Applied to Hemoglyph they found defects that vignettes had missed, showed that provenance granularity rather than rule count limits auditability, that 1.1% of the rules carry the output and that 335 curated or quote-verified rules reproduce the primary results alone, and that static checks cannot catch a plausible wrong number; and they placed an untrained, traceable engine at parity with a frontier LLM on a blinded laboratory-panel task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All authors approved the final version.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xml:space="preserve">, the LabPanel-Check conformance package </w:t>
      </w:r>
      <w:r>
        <w:rPr>
          <w:rFonts w:ascii="Consolas" w:hAnsi="Consolas"/>
        </w:rPr>
        <w:t>eval/labpanel_check/</w:t>
      </w:r>
      <w:r>
        <w:t xml:space="preserve"> (290 panels, scorer, reference cards),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2,707 eICU label targets and recall on the 1,460 panel-supported labels for the product release, v7 and the registry-off ablation.</w:t>
      </w:r>
    </w:p>
    <w:p>
      <w:r>
        <w:rPr>
          <w:b/>
          <w:sz w:val="20"/>
        </w:rPr>
        <w:t>Fig. 3 | Untrained engine versus supervised models on identical inputs (eICU).</w:t>
      </w:r>
      <w:r>
        <w:rPr>
          <w:sz w:val="20"/>
        </w:rPr>
        <w:t xml:space="preserve"> Per-group AUROC of Hemoglyph, five-fold out-of-fold gradient boosting and logistic regression.</w:t>
      </w:r>
    </w:p>
    <w:p>
      <w:r>
        <w:rPr>
          <w:b/>
          <w:sz w:val="20"/>
        </w:rPr>
        <w:t>Fig. 4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5 | Sepsis: a pre-specified negative result.</w:t>
      </w:r>
      <w:r>
        <w:rPr>
          <w:sz w:val="20"/>
        </w:rPr>
        <w:t xml:space="preserve"> Engine versus supervised logistic AUROC in prediction and concurrent frames across sets A, B and B2.</w:t>
      </w:r>
    </w:p>
    <w:p>
      <w:r>
        <w:rPr>
          <w:b/>
          <w:sz w:val="20"/>
        </w:rPr>
        <w:t>Fig. 6 | Blinded LLM comparison (400 stays, 596 labels), frozen engine v7.</w:t>
      </w:r>
      <w:r>
        <w:rPr>
          <w:sz w:val="20"/>
        </w:rPr>
        <w:t xml:space="preserve"> Per-group recall@5 and recall@k curves for Hemoglyph and the unnamed frontier LLM model.</w:t>
      </w:r>
    </w:p>
    <w:p>
      <w:r>
        <w:rPr>
          <w:b/>
          <w:sz w:val="20"/>
        </w:rPr>
        <w:t>Fig. 7 | Calibration and decision curves (eICU, engine v7).</w:t>
      </w:r>
      <w:r>
        <w:rPr>
          <w:sz w:val="20"/>
        </w:rPr>
        <w:t xml:space="preserve"> Reliability diagrams before and after cross-fitted isotonic recalibration and decision curves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frozen engine v7 (earlier releases in Supplementary Note 17).</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Figure S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rPr>
          <w:cantSplit/>
          <w:tblHeader/>
        </w:trPr>
        <w:tc>
          <w:tcPr>
            <w:tcW w:type="dxa" w:w="1568"/>
          </w:tcPr>
          <w:p>
            <w:pPr>
              <w:keepNext/>
              <w:spacing w:line="240" w:lineRule="auto" w:after="0"/>
            </w:pPr>
            <w:r>
              <w:rPr>
                <w:b/>
              </w:rPr>
            </w:r>
            <w:r>
              <w:rPr>
                <w:b/>
                <w:sz w:val="17"/>
              </w:rPr>
              <w:t>Quantity</w:t>
            </w:r>
          </w:p>
        </w:tc>
        <w:tc>
          <w:tcPr>
            <w:tcW w:type="dxa" w:w="1568"/>
          </w:tcPr>
          <w:p>
            <w:pPr>
              <w:keepNext/>
              <w:spacing w:line="240" w:lineRule="auto" w:after="0"/>
            </w:pPr>
            <w:r>
              <w:rPr>
                <w:b/>
              </w:rPr>
            </w:r>
            <w:r>
              <w:rPr>
                <w:b/>
                <w:sz w:val="17"/>
              </w:rPr>
              <w:t>LLM raw</w:t>
            </w:r>
          </w:p>
        </w:tc>
        <w:tc>
          <w:tcPr>
            <w:tcW w:type="dxa" w:w="1568"/>
          </w:tcPr>
          <w:p>
            <w:pPr>
              <w:keepNext/>
              <w:spacing w:line="240" w:lineRule="auto" w:after="0"/>
            </w:pPr>
            <w:r>
              <w:rPr>
                <w:b/>
              </w:rPr>
            </w:r>
            <w:r>
              <w:rPr>
                <w:b/>
                <w:sz w:val="17"/>
              </w:rPr>
              <w:t>LLM, unsupported demoted</w:t>
            </w:r>
          </w:p>
        </w:tc>
        <w:tc>
          <w:tcPr>
            <w:tcW w:type="dxa" w:w="1568"/>
          </w:tcPr>
          <w:p>
            <w:pPr>
              <w:keepNext/>
              <w:spacing w:line="240" w:lineRule="auto" w:after="0"/>
            </w:pPr>
            <w:r>
              <w:rPr>
                <w:b/>
              </w:rPr>
            </w:r>
            <w:r>
              <w:rPr>
                <w:b/>
                <w:sz w:val="17"/>
              </w:rPr>
              <w:t>LLM, unsupported removed</w:t>
            </w:r>
          </w:p>
        </w:tc>
        <w:tc>
          <w:tcPr>
            <w:tcW w:type="dxa" w:w="1568"/>
          </w:tcPr>
          <w:p>
            <w:pPr>
              <w:keepNext/>
              <w:spacing w:line="240" w:lineRule="auto" w:after="0"/>
            </w:pPr>
            <w:r>
              <w:rPr>
                <w:b/>
              </w:rPr>
            </w:r>
            <w:r>
              <w:rPr>
                <w:b/>
                <w:sz w:val="17"/>
              </w:rPr>
              <w:t>Engine v7</w:t>
            </w:r>
          </w:p>
        </w:tc>
        <w:tc>
          <w:tcPr>
            <w:tcW w:type="dxa" w:w="1568"/>
          </w:tcPr>
          <w:p>
            <w:pPr>
              <w:keepNext/>
              <w:spacing w:line="240" w:lineRule="auto" w:after="0"/>
            </w:pPr>
            <w:r>
              <w:rPr>
                <w:b/>
              </w:rPr>
            </w:r>
            <w:r>
              <w:rPr>
                <w:b/>
                <w:sz w:val="17"/>
              </w:rPr>
              <w:t>Verified consensus (Section 3.8)</w:t>
            </w:r>
          </w:p>
        </w:tc>
      </w:tr>
      <w:tr>
        <w:trPr>
          <w:cantSplit/>
        </w:trPr>
        <w:tc>
          <w:tcPr>
            <w:tcW w:type="dxa" w:w="1568"/>
          </w:tcPr>
          <w:p>
            <w:pPr>
              <w:keepNext/>
              <w:spacing w:line="240" w:lineRule="auto" w:after="0"/>
            </w:pPr>
            <w:r/>
            <w:r>
              <w:rPr>
                <w:sz w:val="17"/>
              </w:rPr>
              <w:t>Top-5 unsupported assertions (of mapped, verifiable)</w:t>
            </w:r>
          </w:p>
        </w:tc>
        <w:tc>
          <w:tcPr>
            <w:tcW w:type="dxa" w:w="1568"/>
          </w:tcPr>
          <w:p>
            <w:pPr>
              <w:keepNext/>
              <w:spacing w:line="240" w:lineRule="auto" w:after="0"/>
            </w:pPr>
            <w:r/>
            <w:r>
              <w:rPr>
                <w:sz w:val="17"/>
              </w:rPr>
              <w:t>140/1,486 (9.4%)ᵃ</w:t>
            </w:r>
          </w:p>
        </w:tc>
        <w:tc>
          <w:tcPr>
            <w:tcW w:type="dxa" w:w="1568"/>
          </w:tcPr>
          <w:p>
            <w:pPr>
              <w:keepNext/>
              <w:spacing w:line="240" w:lineRule="auto" w:after="0"/>
            </w:pPr>
            <w:r/>
            <w:r>
              <w:rPr>
                <w:sz w:val="17"/>
              </w:rPr>
              <w:t>84/1,464 (5.7%)</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233/1,518 (15.3%)</w:t>
            </w:r>
          </w:p>
        </w:tc>
        <w:tc>
          <w:tcPr>
            <w:tcW w:type="dxa" w:w="1568"/>
          </w:tcPr>
          <w:p>
            <w:pPr>
              <w:keepNext/>
              <w:spacing w:line="240" w:lineRule="auto" w:after="0"/>
            </w:pPr>
            <w:r/>
            <w:r>
              <w:rPr>
                <w:sz w:val="17"/>
              </w:rPr>
              <w:t>209/1,581 (13.2%)</w:t>
            </w:r>
          </w:p>
        </w:tc>
      </w:tr>
      <w:tr>
        <w:trPr>
          <w:cantSplit/>
        </w:trPr>
        <w:tc>
          <w:tcPr>
            <w:tcW w:type="dxa" w:w="1568"/>
          </w:tcPr>
          <w:p>
            <w:pPr>
              <w:keepNext/>
              <w:spacing w:line="240" w:lineRule="auto" w:after="0"/>
            </w:pPr>
            <w:r/>
            <w:r>
              <w:rPr>
                <w:sz w:val="17"/>
              </w:rPr>
              <w:t>of which defining analyte absent</w:t>
            </w:r>
          </w:p>
        </w:tc>
        <w:tc>
          <w:tcPr>
            <w:tcW w:type="dxa" w:w="1568"/>
          </w:tcPr>
          <w:p>
            <w:pPr>
              <w:keepNext/>
              <w:spacing w:line="240" w:lineRule="auto" w:after="0"/>
            </w:pPr>
            <w:r/>
            <w:r>
              <w:rPr>
                <w:sz w:val="17"/>
              </w:rPr>
              <w:t>10</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0</w:t>
            </w:r>
          </w:p>
        </w:tc>
        <w:tc>
          <w:tcPr>
            <w:tcW w:type="dxa" w:w="1568"/>
          </w:tcPr>
          <w:p>
            <w:pPr>
              <w:keepNext/>
              <w:spacing w:line="240" w:lineRule="auto" w:after="0"/>
            </w:pPr>
            <w:r/>
            <w:r>
              <w:rPr>
                <w:sz w:val="17"/>
              </w:rPr>
              <w:t>0</w:t>
            </w:r>
          </w:p>
        </w:tc>
      </w:tr>
      <w:tr>
        <w:trPr>
          <w:cantSplit/>
        </w:trPr>
        <w:tc>
          <w:tcPr>
            <w:tcW w:type="dxa" w:w="1568"/>
          </w:tcPr>
          <w:p>
            <w:pPr>
              <w:keepNext/>
              <w:spacing w:line="240" w:lineRule="auto" w:after="0"/>
            </w:pPr>
            <w:r/>
            <w:r>
              <w:rPr>
                <w:sz w:val="17"/>
              </w:rPr>
              <w:t>recall@1</w:t>
            </w:r>
          </w:p>
        </w:tc>
        <w:tc>
          <w:tcPr>
            <w:tcW w:type="dxa" w:w="1568"/>
          </w:tcPr>
          <w:p>
            <w:pPr>
              <w:keepNext/>
              <w:spacing w:line="240" w:lineRule="auto" w:after="0"/>
            </w:pPr>
            <w:r/>
            <w:r>
              <w:rPr>
                <w:sz w:val="17"/>
              </w:rPr>
              <w:t>28.2</w:t>
            </w:r>
          </w:p>
        </w:tc>
        <w:tc>
          <w:tcPr>
            <w:tcW w:type="dxa" w:w="1568"/>
          </w:tcPr>
          <w:p>
            <w:pPr>
              <w:keepNext/>
              <w:spacing w:line="240" w:lineRule="auto" w:after="0"/>
            </w:pPr>
            <w:r/>
            <w:r>
              <w:rPr>
                <w:sz w:val="17"/>
              </w:rPr>
              <w:t>29.4 (+1.2; 0.2 to 2.3)</w:t>
            </w:r>
          </w:p>
        </w:tc>
        <w:tc>
          <w:tcPr>
            <w:tcW w:type="dxa" w:w="1568"/>
          </w:tcPr>
          <w:p>
            <w:pPr>
              <w:keepNext/>
              <w:spacing w:line="240" w:lineRule="auto" w:after="0"/>
            </w:pPr>
            <w:r/>
            <w:r>
              <w:rPr>
                <w:sz w:val="17"/>
              </w:rPr>
              <w:t>29.4</w:t>
            </w:r>
          </w:p>
        </w:tc>
        <w:tc>
          <w:tcPr>
            <w:tcW w:type="dxa" w:w="1568"/>
          </w:tcPr>
          <w:p>
            <w:pPr>
              <w:keepNext/>
              <w:spacing w:line="240" w:lineRule="auto" w:after="0"/>
            </w:pPr>
            <w:r/>
            <w:r>
              <w:rPr>
                <w:sz w:val="17"/>
              </w:rPr>
              <w:t>24.0</w:t>
            </w:r>
          </w:p>
        </w:tc>
        <w:tc>
          <w:tcPr>
            <w:tcW w:type="dxa" w:w="1568"/>
          </w:tcPr>
          <w:p>
            <w:pPr>
              <w:keepNext/>
              <w:spacing w:line="240" w:lineRule="auto" w:after="0"/>
            </w:pPr>
            <w:r/>
            <w:r>
              <w:rPr>
                <w:sz w:val="17"/>
              </w:rPr>
              <w:t>21.8</w:t>
            </w:r>
          </w:p>
        </w:tc>
      </w:tr>
      <w:tr>
        <w:trPr>
          <w:cantSplit/>
        </w:trPr>
        <w:tc>
          <w:tcPr>
            <w:tcW w:type="dxa" w:w="1568"/>
          </w:tcPr>
          <w:p>
            <w:pPr>
              <w:keepNext/>
              <w:spacing w:line="240" w:lineRule="auto" w:after="0"/>
            </w:pPr>
            <w:r/>
            <w:r>
              <w:rPr>
                <w:sz w:val="17"/>
              </w:rPr>
              <w:t>recall@5</w:t>
            </w:r>
          </w:p>
        </w:tc>
        <w:tc>
          <w:tcPr>
            <w:tcW w:type="dxa" w:w="1568"/>
          </w:tcPr>
          <w:p>
            <w:pPr>
              <w:keepNext/>
              <w:spacing w:line="240" w:lineRule="auto" w:after="0"/>
            </w:pPr>
            <w:r/>
            <w:r>
              <w:rPr>
                <w:sz w:val="17"/>
              </w:rPr>
              <w:t>59.6</w:t>
            </w:r>
          </w:p>
        </w:tc>
        <w:tc>
          <w:tcPr>
            <w:tcW w:type="dxa" w:w="1568"/>
          </w:tcPr>
          <w:p>
            <w:pPr>
              <w:keepNext/>
              <w:spacing w:line="240" w:lineRule="auto" w:after="0"/>
            </w:pPr>
            <w:r/>
            <w:r>
              <w:rPr>
                <w:sz w:val="17"/>
              </w:rPr>
              <w:t>59.4 (−0.2; −0.5 to 0.0)</w:t>
            </w:r>
          </w:p>
        </w:tc>
        <w:tc>
          <w:tcPr>
            <w:tcW w:type="dxa" w:w="1568"/>
          </w:tcPr>
          <w:p>
            <w:pPr>
              <w:keepNext/>
              <w:spacing w:line="240" w:lineRule="auto" w:after="0"/>
            </w:pPr>
            <w:r/>
            <w:r>
              <w:rPr>
                <w:sz w:val="17"/>
              </w:rPr>
              <w:t>58.4 (−1.2; −2.1 to −0.4)</w:t>
            </w:r>
          </w:p>
        </w:tc>
        <w:tc>
          <w:tcPr>
            <w:tcW w:type="dxa" w:w="1568"/>
          </w:tcPr>
          <w:p>
            <w:pPr>
              <w:keepNext/>
              <w:spacing w:line="240" w:lineRule="auto" w:after="0"/>
            </w:pPr>
            <w:r/>
            <w:r>
              <w:rPr>
                <w:sz w:val="17"/>
              </w:rPr>
              <w:t>60.7</w:t>
            </w:r>
          </w:p>
        </w:tc>
        <w:tc>
          <w:tcPr>
            <w:tcW w:type="dxa" w:w="1568"/>
          </w:tcPr>
          <w:p>
            <w:pPr>
              <w:keepNext/>
              <w:spacing w:line="240" w:lineRule="auto" w:after="0"/>
            </w:pPr>
            <w:r/>
            <w:r>
              <w:rPr>
                <w:sz w:val="17"/>
              </w:rPr>
              <w:t>61.2 (vs engine +0.6; −2.2 to 3.4)</w:t>
            </w:r>
          </w:p>
        </w:tc>
      </w:tr>
      <w:tr>
        <w:trPr>
          <w:cantSplit/>
        </w:trPr>
        <w:tc>
          <w:tcPr>
            <w:tcW w:type="dxa" w:w="1568"/>
          </w:tcPr>
          <w:p>
            <w:pPr>
              <w:keepNext/>
              <w:spacing w:line="240" w:lineRule="auto" w:after="0"/>
            </w:pPr>
            <w:r/>
            <w:r>
              <w:rPr>
                <w:sz w:val="17"/>
              </w:rPr>
              <w:t>recall@10</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63.8 (−1.3)</w:t>
            </w:r>
          </w:p>
        </w:tc>
        <w:tc>
          <w:tcPr>
            <w:tcW w:type="dxa" w:w="1568"/>
          </w:tcPr>
          <w:p>
            <w:pPr>
              <w:keepNext/>
              <w:spacing w:line="240" w:lineRule="auto" w:after="0"/>
            </w:pPr>
            <w:r/>
            <w:r>
              <w:rPr>
                <w:sz w:val="17"/>
              </w:rPr>
              <w:t>72.0</w:t>
            </w:r>
          </w:p>
        </w:tc>
        <w:tc>
          <w:tcPr>
            <w:tcW w:type="dxa" w:w="1568"/>
          </w:tcPr>
          <w:p>
            <w:pPr>
              <w:keepNext/>
              <w:spacing w:line="240" w:lineRule="auto" w:after="0"/>
            </w:pPr>
            <w:r/>
            <w:r>
              <w:rPr>
                <w:sz w:val="17"/>
              </w:rPr>
              <w:t>76.3 (vs engine +4.5; 2.2 to 6.8)</w:t>
            </w:r>
          </w:p>
        </w:tc>
      </w:tr>
      <w:tr>
        <w:trPr>
          <w:cantSplit/>
        </w:trPr>
        <w:tc>
          <w:tcPr>
            <w:tcW w:type="dxa" w:w="1568"/>
          </w:tcPr>
          <w:p>
            <w:pPr>
              <w:spacing w:line="240" w:lineRule="auto" w:after="0"/>
            </w:pPr>
            <w:r/>
            <w:r>
              <w:rPr>
                <w:sz w:val="17"/>
              </w:rPr>
              <w:t>Demoted entries that were clinician labels</w:t>
            </w:r>
          </w:p>
        </w:tc>
        <w:tc>
          <w:tcPr>
            <w:tcW w:type="dxa" w:w="1568"/>
          </w:tcPr>
          <w:p>
            <w:pPr>
              <w:spacing w:line="240" w:lineRule="auto" w:after="0"/>
            </w:pPr>
            <w:r/>
            <w:r>
              <w:rPr>
                <w:sz w:val="17"/>
              </w:rPr>
              <w:t>—</w:t>
            </w:r>
          </w:p>
        </w:tc>
        <w:tc>
          <w:tcPr>
            <w:tcW w:type="dxa" w:w="1568"/>
          </w:tcPr>
          <w:p>
            <w:pPr>
              <w:spacing w:line="240" w:lineRule="auto" w:after="0"/>
            </w:pPr>
            <w:r/>
            <w:r>
              <w:rPr>
                <w:sz w:val="17"/>
              </w:rPr>
              <w:t>10/197 (5.1%)</w:t>
            </w:r>
          </w:p>
        </w:tc>
        <w:tc>
          <w:tcPr>
            <w:tcW w:type="dxa" w:w="1568"/>
          </w:tcPr>
          <w:p>
            <w:pPr>
              <w:spacing w:line="240" w:lineRule="auto" w:after="0"/>
            </w:pPr>
            <w:r/>
            <w:r>
              <w:rPr>
                <w:sz w:val="17"/>
              </w:rPr>
              <w:t>10/197</w:t>
            </w:r>
          </w:p>
        </w:tc>
        <w:tc>
          <w:tcPr>
            <w:tcW w:type="dxa" w:w="1568"/>
          </w:tcPr>
          <w:p>
            <w:pPr>
              <w:spacing w:line="240" w:lineRule="auto" w:after="0"/>
            </w:pPr>
            <w:r/>
            <w:r>
              <w:rPr>
                <w:sz w:val="17"/>
              </w:rPr>
              <w:t>—</w:t>
            </w:r>
          </w:p>
        </w:tc>
        <w:tc>
          <w:tcPr>
            <w:tcW w:type="dxa" w:w="1568"/>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Note 17 component ablation, community survey and external cohorts (R6 §3.5–3.6 verbatim) and earlier-release eICU rows; Fig. S1 provenance audit; Fig. S2 per-release eICU metrics; Fig. S3 per-group panel-supported recall; Fig. S4 per-group calibration; Fig. S5 context-echo analysis; Fig. S6 historical LLM comparison vs engine v5.1; Fig. S7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2"/>
      </w:pPr>
      <w:r>
        <w:rPr>
          <w:color w:val="30303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4;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5); Hemoglyph is not a sepsis predictor and was not tuned to the task afterwards. Raw scores were uncalibrated (pooled AUROC 0.797; Fig. 7);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sz w:val="17"/>
              </w:rPr>
              <w:t>14.1.0 + v7 (frozen)</w:t>
            </w:r>
          </w:p>
        </w:tc>
        <w:tc>
          <w:tcPr>
            <w:tcW w:type="dxa" w:w="1344"/>
          </w:tcPr>
          <w:p>
            <w:pPr>
              <w:spacing w:line="240" w:lineRule="auto" w:after="0"/>
            </w:pPr>
            <w:r/>
            <w:r>
              <w:rPr>
                <w:sz w:val="17"/>
              </w:rPr>
              <w:t>47.9</w:t>
            </w:r>
          </w:p>
        </w:tc>
        <w:tc>
          <w:tcPr>
            <w:tcW w:type="dxa" w:w="1344"/>
          </w:tcPr>
          <w:p>
            <w:pPr>
              <w:spacing w:line="240" w:lineRule="auto" w:after="0"/>
            </w:pPr>
            <w:r/>
            <w:r>
              <w:rPr>
                <w:sz w:val="17"/>
              </w:rPr>
              <w:t>60.8</w:t>
            </w:r>
          </w:p>
        </w:tc>
        <w:tc>
          <w:tcPr>
            <w:tcW w:type="dxa" w:w="1344"/>
          </w:tcPr>
          <w:p>
            <w:pPr>
              <w:spacing w:line="240" w:lineRule="auto" w:after="0"/>
            </w:pPr>
            <w:r/>
            <w:r>
              <w:rPr>
                <w:sz w:val="17"/>
              </w:rPr>
              <w:t>74.1</w:t>
            </w:r>
          </w:p>
        </w:tc>
        <w:tc>
          <w:tcPr>
            <w:tcW w:type="dxa" w:w="1344"/>
          </w:tcPr>
          <w:p>
            <w:pPr>
              <w:spacing w:line="240" w:lineRule="auto" w:after="0"/>
            </w:pPr>
            <w:r/>
            <w:r>
              <w:rPr>
                <w:sz w:val="17"/>
              </w:rPr>
              <w:t>71.9</w:t>
            </w:r>
          </w:p>
        </w:tc>
        <w:tc>
          <w:tcPr>
            <w:tcW w:type="dxa" w:w="1344"/>
          </w:tcPr>
          <w:p>
            <w:pPr>
              <w:spacing w:line="240" w:lineRule="auto" w:after="0"/>
            </w:pPr>
            <w:r/>
            <w:r>
              <w:rPr>
                <w:sz w:val="17"/>
              </w:rPr>
              <w:t>78.0 / 91.8</w:t>
            </w:r>
          </w:p>
        </w:tc>
        <w:tc>
          <w:tcPr>
            <w:tcW w:type="dxa" w:w="1344"/>
          </w:tcPr>
          <w:p>
            <w:pPr>
              <w:spacing w:line="240" w:lineRule="auto" w:after="0"/>
            </w:pPr>
            <w:r/>
            <w:r>
              <w:rPr>
                <w:sz w:val="17"/>
              </w:rPr>
              <w:t>89.2 / 97.2</w:t>
            </w:r>
          </w:p>
        </w:tc>
      </w:tr>
    </w:tbl>
    <w:p/>
    <w:p>
      <w:r>
        <w:br w:type="page"/>
      </w:r>
    </w:p>
    <w:p>
      <w:pPr>
        <w:pStyle w:val="Heading1"/>
      </w:pPr>
      <w:r>
        <w:rPr>
          <w:color w:val="000000"/>
        </w:rPr>
        <w:t>Figures</w:t>
      </w:r>
    </w:p>
    <w:p>
      <w:r>
        <w:drawing>
          <wp:inline xmlns:a="http://schemas.openxmlformats.org/drawingml/2006/main" xmlns:pic="http://schemas.openxmlformats.org/drawingml/2006/picture">
            <wp:extent cx="5760000" cy="272290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22909"/>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4032000"/>
            <wp:docPr id="2" name="Picture 2"/>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760000" cy="403200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2,707 eICU label targets and recall on the 1,460 panel-supported labels for the product release, v7 and the registry-off ablation.</w:t>
      </w:r>
    </w:p>
    <w:p>
      <w:r>
        <w:br w:type="page"/>
      </w:r>
    </w:p>
    <w:p>
      <w:r>
        <w:drawing>
          <wp:inline xmlns:a="http://schemas.openxmlformats.org/drawingml/2006/main" xmlns:pic="http://schemas.openxmlformats.org/drawingml/2006/picture">
            <wp:extent cx="5760000" cy="4680000"/>
            <wp:docPr id="3" name="Picture 3"/>
            <wp:cNvGraphicFramePr>
              <a:graphicFrameLocks noChangeAspect="1"/>
            </wp:cNvGraphicFramePr>
            <a:graphic>
              <a:graphicData uri="http://schemas.openxmlformats.org/drawingml/2006/picture">
                <pic:pic>
                  <pic:nvPicPr>
                    <pic:cNvPr id="0" name="Fig4.png"/>
                    <pic:cNvPicPr/>
                  </pic:nvPicPr>
                  <pic:blipFill>
                    <a:blip r:embed="rId11"/>
                    <a:stretch>
                      <a:fillRect/>
                    </a:stretch>
                  </pic:blipFill>
                  <pic:spPr>
                    <a:xfrm>
                      <a:off x="0" y="0"/>
                      <a:ext cx="5760000" cy="4680000"/>
                    </a:xfrm>
                    <a:prstGeom prst="rect"/>
                  </pic:spPr>
                </pic:pic>
              </a:graphicData>
            </a:graphic>
          </wp:inline>
        </w:drawing>
      </w:r>
    </w:p>
    <w:p>
      <w:pPr>
        <w:spacing w:line="276" w:lineRule="auto"/>
      </w:pPr>
      <w:r>
        <w:rPr>
          <w:b/>
          <w:sz w:val="19"/>
        </w:rPr>
        <w:t xml:space="preserve">Fig. 3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432000"/>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5760000" cy="2432000"/>
                    </a:xfrm>
                    <a:prstGeom prst="rect"/>
                  </pic:spPr>
                </pic:pic>
              </a:graphicData>
            </a:graphic>
          </wp:inline>
        </w:drawing>
      </w:r>
    </w:p>
    <w:p>
      <w:pPr>
        <w:spacing w:line="276" w:lineRule="auto"/>
      </w:pPr>
      <w:r>
        <w:rPr>
          <w:b/>
          <w:sz w:val="19"/>
        </w:rPr>
        <w:t xml:space="preserve">Fig. 4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2432000"/>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5760000" cy="2432000"/>
                    </a:xfrm>
                    <a:prstGeom prst="rect"/>
                  </pic:spPr>
                </pic:pic>
              </a:graphicData>
            </a:graphic>
          </wp:inline>
        </w:drawing>
      </w:r>
    </w:p>
    <w:p>
      <w:pPr>
        <w:spacing w:line="276" w:lineRule="auto"/>
      </w:pPr>
      <w:r>
        <w:rPr>
          <w:b/>
          <w:sz w:val="19"/>
        </w:rPr>
        <w:t xml:space="preserve">Fig. 5 | Sepsis: a pre-specified negative result. </w:t>
      </w:r>
      <w:r>
        <w:rPr>
          <w:sz w:val="19"/>
        </w:rPr>
        <w:t>Engine versus supervised logistic AUROC in prediction and concurrent frames across sets A, B and B2.</w:t>
      </w:r>
    </w:p>
    <w:p>
      <w:r>
        <w:br w:type="page"/>
      </w:r>
    </w:p>
    <w:p>
      <w:r>
        <w:drawing>
          <wp:inline xmlns:a="http://schemas.openxmlformats.org/drawingml/2006/main" xmlns:pic="http://schemas.openxmlformats.org/drawingml/2006/picture">
            <wp:extent cx="5760000" cy="2618182"/>
            <wp:docPr id="6" name="Picture 6"/>
            <wp:cNvGraphicFramePr>
              <a:graphicFrameLocks noChangeAspect="1"/>
            </wp:cNvGraphicFramePr>
            <a:graphic>
              <a:graphicData uri="http://schemas.openxmlformats.org/drawingml/2006/picture">
                <pic:pic>
                  <pic:nvPicPr>
                    <pic:cNvPr id="0" name="Fig7_llm_v7.png"/>
                    <pic:cNvPicPr/>
                  </pic:nvPicPr>
                  <pic:blipFill>
                    <a:blip r:embed="rId14"/>
                    <a:stretch>
                      <a:fillRect/>
                    </a:stretch>
                  </pic:blipFill>
                  <pic:spPr>
                    <a:xfrm>
                      <a:off x="0" y="0"/>
                      <a:ext cx="5760000" cy="2618182"/>
                    </a:xfrm>
                    <a:prstGeom prst="rect"/>
                  </pic:spPr>
                </pic:pic>
              </a:graphicData>
            </a:graphic>
          </wp:inline>
        </w:drawing>
      </w:r>
    </w:p>
    <w:p>
      <w:pPr>
        <w:spacing w:line="276" w:lineRule="auto"/>
      </w:pPr>
      <w:r>
        <w:rPr>
          <w:b/>
          <w:sz w:val="19"/>
        </w:rPr>
        <w:t xml:space="preserve">Fig. 6 | Blinded LLM comparison (400 stays, 596 labels), frozen engine v7. </w:t>
      </w:r>
      <w:r>
        <w:rPr>
          <w:sz w:val="19"/>
        </w:rPr>
        <w:t>Per-group recall@5 and recall@k curves for Hemoglyph and the unnamed frontier LLM model.</w:t>
      </w:r>
    </w:p>
    <w:p>
      <w:r>
        <w:br w:type="page"/>
      </w:r>
    </w:p>
    <w:p>
      <w:r>
        <w:drawing>
          <wp:inline xmlns:a="http://schemas.openxmlformats.org/drawingml/2006/main" xmlns:pic="http://schemas.openxmlformats.org/drawingml/2006/picture">
            <wp:extent cx="5760000" cy="3544615"/>
            <wp:docPr id="7" name="Picture 7"/>
            <wp:cNvGraphicFramePr>
              <a:graphicFrameLocks noChangeAspect="1"/>
            </wp:cNvGraphicFramePr>
            <a:graphic>
              <a:graphicData uri="http://schemas.openxmlformats.org/drawingml/2006/picture">
                <pic:pic>
                  <pic:nvPicPr>
                    <pic:cNvPr id="0" name="Fig8_calibration_dca.png"/>
                    <pic:cNvPicPr/>
                  </pic:nvPicPr>
                  <pic:blipFill>
                    <a:blip r:embed="rId15"/>
                    <a:stretch>
                      <a:fillRect/>
                    </a:stretch>
                  </pic:blipFill>
                  <pic:spPr>
                    <a:xfrm>
                      <a:off x="0" y="0"/>
                      <a:ext cx="5760000" cy="3544615"/>
                    </a:xfrm>
                    <a:prstGeom prst="rect"/>
                  </pic:spPr>
                </pic:pic>
              </a:graphicData>
            </a:graphic>
          </wp:inline>
        </w:drawing>
      </w:r>
    </w:p>
    <w:p>
      <w:pPr>
        <w:spacing w:line="276" w:lineRule="auto"/>
      </w:pPr>
      <w:r>
        <w:rPr>
          <w:b/>
          <w:sz w:val="19"/>
        </w:rPr>
        <w:t xml:space="preserve">Fig. 7 | Calibration and decision curves (eICU, engine v7). </w:t>
      </w:r>
      <w:r>
        <w:rPr>
          <w:sz w:val="19"/>
        </w:rPr>
        <w:t>Reliability diagrams before and after cross-fitted isotonic recalibration and decision curves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