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Hemoglyph: an offline, guideline-traceable laboratory-panel interpretation engine and four methods for verifying it — Bahrami, Tahmasebinejad, Bahrami Samani. Revision R7 (2026-10-28),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Note 17 component ablation, community survey and external cohorts (R6 §3.5–3.6 verbatim) and earlier-release eICU rows;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4;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5); Hemoglyph is not a sepsis predictor and was not tuned to the task afterwards. Raw scores were uncalibrated (pooled AUROC 0.797; Fig. 7);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pPr>
              <w:spacing w:after="0"/>
            </w:pPr>
            <w:r>
              <w:rPr>
                <w:b/>
              </w:rPr>
            </w:r>
            <w:r>
              <w:rPr>
                <w:b/>
                <w:sz w:val="15"/>
              </w:rPr>
              <w:t>Release</w:t>
            </w:r>
          </w:p>
        </w:tc>
        <w:tc>
          <w:tcPr>
            <w:tcW w:type="dxa" w:w="1425"/>
          </w:tcPr>
          <w:p>
            <w:pPr>
              <w:spacing w:after="0"/>
            </w:pPr>
            <w:r>
              <w:rPr>
                <w:b/>
              </w:rPr>
            </w:r>
            <w:r>
              <w:rPr>
                <w:b/>
                <w:sz w:val="15"/>
              </w:rPr>
              <w:t>flat @3</w:t>
            </w:r>
          </w:p>
        </w:tc>
        <w:tc>
          <w:tcPr>
            <w:tcW w:type="dxa" w:w="1425"/>
          </w:tcPr>
          <w:p>
            <w:pPr>
              <w:spacing w:after="0"/>
            </w:pPr>
            <w:r>
              <w:rPr>
                <w:b/>
              </w:rPr>
            </w:r>
            <w:r>
              <w:rPr>
                <w:b/>
                <w:sz w:val="15"/>
              </w:rPr>
              <w:t>flat @5</w:t>
            </w:r>
          </w:p>
        </w:tc>
        <w:tc>
          <w:tcPr>
            <w:tcW w:type="dxa" w:w="1425"/>
          </w:tcPr>
          <w:p>
            <w:pPr>
              <w:spacing w:after="0"/>
            </w:pPr>
            <w:r>
              <w:rPr>
                <w:b/>
              </w:rPr>
            </w:r>
            <w:r>
              <w:rPr>
                <w:b/>
                <w:sz w:val="15"/>
              </w:rPr>
              <w:t>flat @10</w:t>
            </w:r>
          </w:p>
        </w:tc>
        <w:tc>
          <w:tcPr>
            <w:tcW w:type="dxa" w:w="1425"/>
          </w:tcPr>
          <w:p>
            <w:pPr>
              <w:spacing w:after="0"/>
            </w:pPr>
            <w:r>
              <w:rPr>
                <w:b/>
              </w:rPr>
            </w:r>
            <w:r>
              <w:rPr>
                <w:b/>
                <w:sz w:val="15"/>
              </w:rPr>
              <w:t>two-tier @5</w:t>
            </w:r>
          </w:p>
        </w:tc>
        <w:tc>
          <w:tcPr>
            <w:tcW w:type="dxa" w:w="1425"/>
          </w:tcPr>
          <w:p>
            <w:pPr>
              <w:spacing w:after="0"/>
            </w:pPr>
            <w:r>
              <w:rPr>
                <w:b/>
              </w:rPr>
            </w:r>
            <w:r>
              <w:rPr>
                <w:b/>
                <w:sz w:val="15"/>
              </w:rPr>
              <w:t>panel-supported @5 / @10 (n = 1,460)</w:t>
            </w:r>
          </w:p>
        </w:tc>
        <w:tc>
          <w:tcPr>
            <w:tcW w:type="dxa" w:w="1425"/>
          </w:tcPr>
          <w:p>
            <w:pPr>
              <w:spacing w:after="0"/>
            </w:pPr>
            <w:r>
              <w:rPr>
                <w:b/>
              </w:rPr>
            </w:r>
            <w:r>
              <w:rPr>
                <w:b/>
                <w:sz w:val="15"/>
              </w:rPr>
              <w:t>two-tier panel-supported @5 / @10</w:t>
            </w:r>
          </w:p>
        </w:tc>
      </w:tr>
      <w:tr>
        <w:tc>
          <w:tcPr>
            <w:tcW w:type="dxa" w:w="1425"/>
          </w:tcPr>
          <w:p>
            <w:pPr>
              <w:spacing w:after="0"/>
            </w:pPr>
            <w:r/>
            <w:r>
              <w:rPr>
                <w:sz w:val="15"/>
              </w:rPr>
              <w:t>13.4.2 (product)</w:t>
            </w:r>
          </w:p>
        </w:tc>
        <w:tc>
          <w:tcPr>
            <w:tcW w:type="dxa" w:w="1425"/>
          </w:tcPr>
          <w:p>
            <w:pPr>
              <w:spacing w:after="0"/>
            </w:pPr>
            <w:r/>
            <w:r>
              <w:rPr>
                <w:sz w:val="15"/>
              </w:rPr>
              <w:t>49.3</w:t>
            </w:r>
          </w:p>
        </w:tc>
        <w:tc>
          <w:tcPr>
            <w:tcW w:type="dxa" w:w="1425"/>
          </w:tcPr>
          <w:p>
            <w:pPr>
              <w:spacing w:after="0"/>
            </w:pPr>
            <w:r/>
            <w:r>
              <w:rPr>
                <w:sz w:val="15"/>
              </w:rPr>
              <w:t>63.7</w:t>
            </w:r>
          </w:p>
        </w:tc>
        <w:tc>
          <w:tcPr>
            <w:tcW w:type="dxa" w:w="1425"/>
          </w:tcPr>
          <w:p>
            <w:pPr>
              <w:spacing w:after="0"/>
            </w:pPr>
            <w:r/>
            <w:r>
              <w:rPr>
                <w:sz w:val="15"/>
              </w:rPr>
              <w:t>76.9</w:t>
            </w:r>
          </w:p>
        </w:tc>
        <w:tc>
          <w:tcPr>
            <w:tcW w:type="dxa" w:w="1425"/>
          </w:tcPr>
          <w:p>
            <w:pPr>
              <w:spacing w:after="0"/>
            </w:pPr>
            <w:r/>
            <w:r>
              <w:rPr>
                <w:sz w:val="15"/>
              </w:rPr>
              <w:t>—</w:t>
            </w:r>
          </w:p>
        </w:tc>
        <w:tc>
          <w:tcPr>
            <w:tcW w:type="dxa" w:w="1425"/>
          </w:tcPr>
          <w:p>
            <w:pPr>
              <w:spacing w:after="0"/>
            </w:pPr>
            <w:r/>
            <w:r>
              <w:rPr>
                <w:sz w:val="15"/>
              </w:rPr>
              <w:t>81.6 / 95.1</w:t>
            </w:r>
          </w:p>
        </w:tc>
        <w:tc>
          <w:tcPr>
            <w:tcW w:type="dxa" w:w="1425"/>
          </w:tcPr>
          <w:p>
            <w:pPr>
              <w:spacing w:after="0"/>
            </w:pPr>
            <w:r/>
            <w:r>
              <w:rPr>
                <w:sz w:val="15"/>
              </w:rPr>
              <w:t>—</w:t>
            </w:r>
          </w:p>
        </w:tc>
      </w:tr>
      <w:tr>
        <w:tc>
          <w:tcPr>
            <w:tcW w:type="dxa" w:w="1425"/>
          </w:tcPr>
          <w:p>
            <w:pPr>
              <w:spacing w:after="0"/>
            </w:pPr>
            <w:r/>
            <w:r>
              <w:rPr>
                <w:sz w:val="15"/>
              </w:rPr>
              <w:t>14.1.0 + v6</w:t>
            </w:r>
          </w:p>
        </w:tc>
        <w:tc>
          <w:tcPr>
            <w:tcW w:type="dxa" w:w="1425"/>
          </w:tcPr>
          <w:p>
            <w:pPr>
              <w:spacing w:after="0"/>
            </w:pPr>
            <w:r/>
            <w:r>
              <w:rPr>
                <w:sz w:val="15"/>
              </w:rPr>
              <w:t>48.5</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71.7</w:t>
            </w:r>
          </w:p>
        </w:tc>
        <w:tc>
          <w:tcPr>
            <w:tcW w:type="dxa" w:w="1425"/>
          </w:tcPr>
          <w:p>
            <w:pPr>
              <w:spacing w:after="0"/>
            </w:pPr>
            <w:r/>
            <w:r>
              <w:rPr>
                <w:sz w:val="15"/>
              </w:rPr>
              <w:t>78.0 / 91.8</w:t>
            </w:r>
          </w:p>
        </w:tc>
        <w:tc>
          <w:tcPr>
            <w:tcW w:type="dxa" w:w="1425"/>
          </w:tcPr>
          <w:p>
            <w:pPr>
              <w:spacing w:after="0"/>
            </w:pPr>
            <w:r/>
            <w:r>
              <w:rPr>
                <w:sz w:val="15"/>
              </w:rPr>
              <w:t>88.9 / 97.2</w:t>
            </w:r>
          </w:p>
        </w:tc>
      </w:tr>
      <w:tr>
        <w:tc>
          <w:tcPr>
            <w:tcW w:type="dxa" w:w="1425"/>
          </w:tcPr>
          <w:p>
            <w:pPr>
              <w:spacing w:after="0"/>
            </w:pPr>
            <w:r/>
            <w:r>
              <w:rPr>
                <w:sz w:val="15"/>
              </w:rPr>
              <w:t>14.1.0 + v7 (frozen)</w:t>
            </w:r>
          </w:p>
        </w:tc>
        <w:tc>
          <w:tcPr>
            <w:tcW w:type="dxa" w:w="1425"/>
          </w:tcPr>
          <w:p>
            <w:pPr>
              <w:spacing w:after="0"/>
            </w:pPr>
            <w:r/>
            <w:r>
              <w:rPr>
                <w:sz w:val="15"/>
              </w:rPr>
              <w:t>47.9</w:t>
            </w:r>
          </w:p>
        </w:tc>
        <w:tc>
          <w:tcPr>
            <w:tcW w:type="dxa" w:w="1425"/>
          </w:tcPr>
          <w:p>
            <w:pPr>
              <w:spacing w:after="0"/>
            </w:pPr>
            <w:r/>
            <w:r>
              <w:rPr>
                <w:sz w:val="15"/>
              </w:rPr>
              <w:t>60.8</w:t>
            </w:r>
          </w:p>
        </w:tc>
        <w:tc>
          <w:tcPr>
            <w:tcW w:type="dxa" w:w="1425"/>
          </w:tcPr>
          <w:p>
            <w:pPr>
              <w:spacing w:after="0"/>
            </w:pPr>
            <w:r/>
            <w:r>
              <w:rPr>
                <w:sz w:val="15"/>
              </w:rPr>
              <w:t>74.1</w:t>
            </w:r>
          </w:p>
        </w:tc>
        <w:tc>
          <w:tcPr>
            <w:tcW w:type="dxa" w:w="1425"/>
          </w:tcPr>
          <w:p>
            <w:pPr>
              <w:spacing w:after="0"/>
            </w:pPr>
            <w:r/>
            <w:r>
              <w:rPr>
                <w:sz w:val="15"/>
              </w:rPr>
              <w:t>71.9</w:t>
            </w:r>
          </w:p>
        </w:tc>
        <w:tc>
          <w:tcPr>
            <w:tcW w:type="dxa" w:w="1425"/>
          </w:tcPr>
          <w:p>
            <w:pPr>
              <w:spacing w:after="0"/>
            </w:pPr>
            <w:r/>
            <w:r>
              <w:rPr>
                <w:sz w:val="15"/>
              </w:rPr>
              <w:t>78.0 / 91.8</w:t>
            </w:r>
          </w:p>
        </w:tc>
        <w:tc>
          <w:tcPr>
            <w:tcW w:type="dxa" w:w="1425"/>
          </w:tcPr>
          <w:p>
            <w:pPr>
              <w:spacing w:after="0"/>
            </w:pPr>
            <w:r/>
            <w:r>
              <w:rPr>
                <w:sz w:val="15"/>
              </w:rPr>
              <w:t>89.2 / 97.2</w:t>
            </w:r>
          </w:p>
        </w:tc>
      </w:tr>
    </w:tbl>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r>
        <w:rPr>
          <w:b/>
        </w:rPr>
        <w:t>LabPanel-Check (released package, `eval/labpanel_check/`).</w:t>
      </w:r>
      <w:r>
        <w:t xml:space="preserve"> The 180 perturbed eICU panels and their 40 conventional references, the 70 NHANES panels of the B5 blind test, the 31-group label map (entity ids and free-text regular expressions), a scorer that depends only on the Python standard library (</w:t>
      </w:r>
      <w:r>
        <w:rPr>
          <w:rFonts w:ascii="Consolas" w:hAnsi="Consolas"/>
        </w:rPr>
        <w:t>score.py</w:t>
      </w:r>
      <w:r>
        <w:t xml:space="preserve">) and both reference readings are packaged so that any reader can be scored with one command; </w:t>
      </w:r>
      <w:r>
        <w:rPr>
          <w:rFonts w:ascii="Consolas" w:hAnsi="Consolas"/>
        </w:rPr>
        <w:t>tests/test_labpanel_check.py</w:t>
      </w:r>
      <w:r>
        <w:t xml:space="preserve"> asserts that the scorer reproduces every figure of this Note from the stored readings. The engine reference card was regenerated at package build with engine v8.2 and registry 15.2.0 and differs from the table above in one cell: P2 39/40 instead of 40/40. In the discordant pair (eICU stay 508973) the generator rounds creatinine 1.3 mg/dL to 115 µmol/L, which converts back to 1.3009 mg/dL and crosses the strict "&gt; 1.3 mg/dL" leaf of rule </w:t>
      </w:r>
      <w:r>
        <w:rPr>
          <w:rFonts w:ascii="Consolas" w:hAnsi="Consolas"/>
        </w:rPr>
        <w:t>reduced_gfr_single_panel_v14</w:t>
      </w:r>
      <w:r>
        <w:t>; the same leaf fired in the 2026-10-27 run, but acute kidney injury was then in both top-5 sets. All SI values in P2 are rounded (two decimals when the factor is below 1, integers otherwise; ≤ 0.1 % drift), so the package documents this and the scorer lists every non-identical pair. Two descriptive P6 detection rows also changed: engine CKD 10/18 (was 15/18) because registry 15.x caps single-panel CKD assertions below 0.5, and LLM iron deficiency 7/8 (was 8/8) because the original B5 script's match term was a bare string iterated character-wise, a scoring bug corrected on 2026-10-28; the 0/40 and 4/40 healthy-adult rows are unchanged.</w:t>
      </w:r>
    </w:p>
    <w:p>
      <w:pPr>
        <w:pStyle w:val="Heading1"/>
      </w:pPr>
      <w:r>
        <w:rPr>
          <w:color w:val="000000"/>
        </w:rPr>
        <w:t>Supplementary Note 14 — The engine's criteria as an executable verifier behind the LLM, and the verified-consensus arm (protocols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r>
        <w:rPr>
          <w:b/>
        </w:rPr>
        <w:t>Verified consensus arm (protocol committed separately before computation; `eval/consensus/verified_consensus.py`).</w:t>
      </w:r>
      <w:r>
        <w:t xml:space="preserve"> One parameter-free rule: B′ = LLM entries with verdict </w:t>
      </w:r>
      <w:r>
        <w:rPr>
          <w:i/>
        </w:rPr>
        <w:t>supported</w:t>
      </w:r>
      <w:r>
        <w:t xml:space="preserve">, in original order; F = reciprocal-rank fusion with k = 0, score(g) = 1/rank_engine(g) + 1/rank_B′(g), ties by engine rank; secondary G = engine list followed by B′ groups absent from it. Registered: F recall@5 63–67 %, recall@1 ≥ 29 %, F top-5 unsupported ≤ 15.3 %, G within 1 point of F; F &lt; 62 % to be reported as "not complementary". Results, recall@1/3/5/10: engine 24.0/47.0/60.7/72.0; LLM 28.2/50.8/59.6/65.1; </w:t>
      </w:r>
      <w:r>
        <w:rPr>
          <w:b/>
        </w:rPr>
        <w:t>F 21.8/46.6/61.2/76.3</w:t>
      </w:r>
      <w:r>
        <w:t>; G 19.1/46.1/59.7/76.2. Paired F − engine: @1 −2.2 (95 % CI −4.9 to +0.5), @5 +0.6 (−2.2 to +3.4, p = 0.77), @10 +4.5 (+2.2 to +6.8, p = 0.0005); F − LLM: @1 −6.4 (−9.7 to −3.2), @5 +1.7 (−1.2 to +4.7, p = 0.27), @10 +11.3 (+7.9 to +14.8). Top-5 unsupported (per group): engine 233/1,518 (15.3 %), LLM 179/1,512 (11.8 %), F 209/1,581 (13.2 %), G 244/1,500 (16.3 %). Of F's 1,870 top-5 entries, 1,836 were already in the engine list and 34 were admitted through the LLM and the criterion only. recall@5 by label stratum (n): criterion met (357) engine 77.9 / LLM 81.0 / F 82.1 / G 77.9; no criterion (131) 51.9 / 43.5 / 42.7 / 46.6; criterion not met (107) 15.0 / 7.5 / 15.0 / 15.9. Only the unsupported-rate prediction was met; F fell below the 62 % rule and is reported as not complementary. Mechanism: the filter discards every LLM entry about a group without a criterion, so the second vote reaches only criterion-defined groups and the engine's constellation-ranked outcome syndromes (sepsis, bleeding, cirrhosis, withdrawal) are pushed down; the gain appears only at rank 10, where the longer fused list recovers labels. No second rule was tried; the negative result bounds what verifier-gated fusion can add on this reference standard.</w:t>
      </w:r>
    </w:p>
    <w:p>
      <w:pPr>
        <w:pStyle w:val="Heading1"/>
      </w:pPr>
      <w:r>
        <w:rPr>
          <w:color w:val="000000"/>
        </w:rPr>
        <w:t>Supplementary Note 15 — Activity-guided provenance audit (protocol frozen 2026-10-27 before any run; registry 14.2.0, engine harness v8.2; frozen v7 results untouched)</w:t>
      </w:r>
    </w:p>
    <w:p>
      <w:r>
        <w:rPr>
          <w:b/>
        </w:rPr>
        <w:t>Question.</w:t>
      </w:r>
      <w:r>
        <w:t xml:space="preserve"> Which of the 33,183 executable rules actually influence Hemoglyph's output on real panels, and whether concentrating the source audit on those rules changes the picture of Note 8.</w:t>
      </w:r>
    </w:p>
    <w:p>
      <w:r>
        <w:rPr>
          <w:b/>
        </w:rPr>
        <w:t>Phase A — activity log.</w:t>
      </w:r>
      <w:r>
        <w:t xml:space="preserve"> For every rule and every one of 3,814 real panels (2,314 eICU first panels; 1,000 NHANES 2017–18 and 500 NHANES 2015–16 adults, seed 20261027) the harness recorded whether the rule fired and whether its disease entered the top-10 differential. </w:t>
      </w:r>
      <w:r>
        <w:rPr>
          <w:i/>
        </w:rPr>
        <w:t>Active core</w:t>
      </w:r>
      <w:r>
        <w:t xml:space="preserve">: contributed ≥ 1 time; </w:t>
      </w:r>
      <w:r>
        <w:rPr>
          <w:i/>
        </w:rPr>
        <w:t>hot core</w:t>
      </w:r>
      <w:r>
        <w:t>: ≥ 10 times.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set</w:t>
            </w:r>
          </w:p>
        </w:tc>
        <w:tc>
          <w:tcPr>
            <w:tcW w:type="dxa" w:w="2493"/>
          </w:tcPr>
          <w:p>
            <w:pPr>
              <w:spacing w:after="0"/>
            </w:pPr>
            <w:r>
              <w:rPr>
                <w:b/>
              </w:rPr>
            </w:r>
            <w:r>
              <w:rPr>
                <w:b/>
                <w:sz w:val="15"/>
              </w:rPr>
              <w:t>rules</w:t>
            </w:r>
          </w:p>
        </w:tc>
        <w:tc>
          <w:tcPr>
            <w:tcW w:type="dxa" w:w="2493"/>
          </w:tcPr>
          <w:p>
            <w:pPr>
              <w:spacing w:after="0"/>
            </w:pPr>
            <w:r>
              <w:rPr>
                <w:b/>
              </w:rPr>
            </w:r>
            <w:r>
              <w:rPr>
                <w:b/>
                <w:sz w:val="15"/>
              </w:rPr>
              <w:t>share</w:t>
            </w:r>
          </w:p>
        </w:tc>
        <w:tc>
          <w:tcPr>
            <w:tcW w:type="dxa" w:w="2493"/>
          </w:tcPr>
          <w:p>
            <w:pPr>
              <w:spacing w:after="0"/>
            </w:pPr>
            <w:r>
              <w:rPr>
                <w:b/>
              </w:rPr>
            </w:r>
            <w:r>
              <w:rPr>
                <w:b/>
                <w:sz w:val="15"/>
              </w:rPr>
              <w:t>curated anchors</w:t>
            </w:r>
          </w:p>
        </w:tc>
      </w:tr>
      <w:tr>
        <w:tc>
          <w:tcPr>
            <w:tcW w:type="dxa" w:w="2493"/>
          </w:tcPr>
          <w:p>
            <w:pPr>
              <w:spacing w:after="0"/>
            </w:pPr>
            <w:r/>
            <w:r>
              <w:rPr>
                <w:sz w:val="15"/>
              </w:rPr>
              <w:t>active core</w:t>
            </w:r>
          </w:p>
        </w:tc>
        <w:tc>
          <w:tcPr>
            <w:tcW w:type="dxa" w:w="2493"/>
          </w:tcPr>
          <w:p>
            <w:pPr>
              <w:spacing w:after="0"/>
            </w:pPr>
            <w:r/>
            <w:r>
              <w:rPr>
                <w:sz w:val="15"/>
              </w:rPr>
              <w:t>364</w:t>
            </w:r>
          </w:p>
        </w:tc>
        <w:tc>
          <w:tcPr>
            <w:tcW w:type="dxa" w:w="2493"/>
          </w:tcPr>
          <w:p>
            <w:pPr>
              <w:spacing w:after="0"/>
            </w:pPr>
            <w:r/>
            <w:r>
              <w:rPr>
                <w:sz w:val="15"/>
              </w:rPr>
              <w:t>1.1 %</w:t>
            </w:r>
          </w:p>
        </w:tc>
        <w:tc>
          <w:tcPr>
            <w:tcW w:type="dxa" w:w="2493"/>
          </w:tcPr>
          <w:p>
            <w:pPr>
              <w:spacing w:after="0"/>
            </w:pPr>
            <w:r/>
            <w:r>
              <w:rPr>
                <w:sz w:val="15"/>
              </w:rPr>
              <w:t>46</w:t>
            </w:r>
          </w:p>
        </w:tc>
      </w:tr>
      <w:tr>
        <w:tc>
          <w:tcPr>
            <w:tcW w:type="dxa" w:w="2493"/>
          </w:tcPr>
          <w:p>
            <w:pPr>
              <w:spacing w:after="0"/>
            </w:pPr>
            <w:r/>
            <w:r>
              <w:rPr>
                <w:sz w:val="15"/>
              </w:rPr>
              <w:t>hot core</w:t>
            </w:r>
          </w:p>
        </w:tc>
        <w:tc>
          <w:tcPr>
            <w:tcW w:type="dxa" w:w="2493"/>
          </w:tcPr>
          <w:p>
            <w:pPr>
              <w:spacing w:after="0"/>
            </w:pPr>
            <w:r/>
            <w:r>
              <w:rPr>
                <w:sz w:val="15"/>
              </w:rPr>
              <w:t>174</w:t>
            </w:r>
          </w:p>
        </w:tc>
        <w:tc>
          <w:tcPr>
            <w:tcW w:type="dxa" w:w="2493"/>
          </w:tcPr>
          <w:p>
            <w:pPr>
              <w:spacing w:after="0"/>
            </w:pPr>
            <w:r/>
            <w:r>
              <w:rPr>
                <w:sz w:val="15"/>
              </w:rPr>
              <w:t>0.5 %</w:t>
            </w:r>
          </w:p>
        </w:tc>
        <w:tc>
          <w:tcPr>
            <w:tcW w:type="dxa" w:w="2493"/>
          </w:tcPr>
          <w:p>
            <w:pPr>
              <w:spacing w:after="0"/>
            </w:pPr>
            <w:r/>
            <w:r>
              <w:rPr>
                <w:sz w:val="15"/>
              </w:rPr>
              <w:t>32</w:t>
            </w:r>
          </w:p>
        </w:tc>
      </w:tr>
      <w:tr>
        <w:tc>
          <w:tcPr>
            <w:tcW w:type="dxa" w:w="2493"/>
          </w:tcPr>
          <w:p>
            <w:pPr>
              <w:spacing w:after="0"/>
            </w:pPr>
            <w:r/>
            <w:r>
              <w:rPr>
                <w:sz w:val="15"/>
              </w:rPr>
              <w:t>fired, never contributed</w:t>
            </w:r>
          </w:p>
        </w:tc>
        <w:tc>
          <w:tcPr>
            <w:tcW w:type="dxa" w:w="2493"/>
          </w:tcPr>
          <w:p>
            <w:pPr>
              <w:spacing w:after="0"/>
            </w:pPr>
            <w:r/>
            <w:r>
              <w:rPr>
                <w:sz w:val="15"/>
              </w:rPr>
              <w:t>1,627</w:t>
            </w:r>
          </w:p>
        </w:tc>
        <w:tc>
          <w:tcPr>
            <w:tcW w:type="dxa" w:w="2493"/>
          </w:tcPr>
          <w:p>
            <w:pPr>
              <w:spacing w:after="0"/>
            </w:pPr>
            <w:r/>
            <w:r>
              <w:rPr>
                <w:sz w:val="15"/>
              </w:rPr>
              <w:t>4.9 %</w:t>
            </w:r>
          </w:p>
        </w:tc>
        <w:tc>
          <w:tcPr>
            <w:tcW w:type="dxa" w:w="2493"/>
          </w:tcPr>
          <w:p>
            <w:pPr>
              <w:spacing w:after="0"/>
            </w:pPr>
            <w:r/>
            <w:r>
              <w:rPr>
                <w:sz w:val="15"/>
              </w:rPr>
              <w:t>3</w:t>
            </w:r>
          </w:p>
        </w:tc>
      </w:tr>
      <w:tr>
        <w:tc>
          <w:tcPr>
            <w:tcW w:type="dxa" w:w="2493"/>
          </w:tcPr>
          <w:p>
            <w:pPr>
              <w:spacing w:after="0"/>
            </w:pPr>
            <w:r/>
            <w:r>
              <w:rPr>
                <w:sz w:val="15"/>
              </w:rPr>
              <w:t>dormant on these corpora</w:t>
            </w:r>
          </w:p>
        </w:tc>
        <w:tc>
          <w:tcPr>
            <w:tcW w:type="dxa" w:w="2493"/>
          </w:tcPr>
          <w:p>
            <w:pPr>
              <w:spacing w:after="0"/>
            </w:pPr>
            <w:r/>
            <w:r>
              <w:rPr>
                <w:sz w:val="15"/>
              </w:rPr>
              <w:t>31,192</w:t>
            </w:r>
          </w:p>
        </w:tc>
        <w:tc>
          <w:tcPr>
            <w:tcW w:type="dxa" w:w="2493"/>
          </w:tcPr>
          <w:p>
            <w:pPr>
              <w:spacing w:after="0"/>
            </w:pPr>
            <w:r/>
            <w:r>
              <w:rPr>
                <w:sz w:val="15"/>
              </w:rPr>
              <w:t>94.0 %</w:t>
            </w:r>
          </w:p>
        </w:tc>
        <w:tc>
          <w:tcPr>
            <w:tcW w:type="dxa" w:w="2493"/>
          </w:tcPr>
          <w:p>
            <w:pPr>
              <w:spacing w:after="0"/>
            </w:pPr>
            <w:r/>
            <w:r>
              <w:rPr>
                <w:sz w:val="15"/>
              </w:rPr>
              <w:t>223</w:t>
            </w:r>
          </w:p>
        </w:tc>
      </w:tr>
    </w:tbl>
    <w:p/>
    <w:p>
      <w:r>
        <w:t>Composition quantified while classifying: 24,293 executable rules (73.2 %) belong to 4,026 generated two-analyte co-occurrence pattern entities (</w:t>
      </w:r>
      <w:r>
        <w:rPr>
          <w:rFonts w:ascii="Consolas" w:hAnsi="Consolas"/>
        </w:rPr>
        <w:t>co_*</w:t>
      </w:r>
      <w:r>
        <w:t xml:space="preserve">, entity kind </w:t>
      </w:r>
      <w:r>
        <w:rPr>
          <w:rFonts w:ascii="Consolas" w:hAnsi="Consolas"/>
        </w:rPr>
        <w:t>biomarker_pattern</w:t>
      </w:r>
      <w:r>
        <w:t>; every one cites the generic WHO essential-diagnostics landing page); 8,890 rules are attached to 2,502 disease, finding, allergy, drug-level or serology entities. In the active core 105/364 rules are templates; a template entity appeared in the frozen v7 top-5 in 62/2,314 eICU stays (2.7 %). First-cited source class, active core vs all executable: DOI-resolved 10.4 % vs 0.8 %; organisation or generic landing page 73.7 % vs 97.3 %; unreachable 12.1 % vs 1.6 %.</w:t>
      </w:r>
    </w:p>
    <w:p>
      <w:r>
        <w:rPr>
          <w:b/>
        </w:rPr>
        <w:t>Phase B — automated locator search.</w:t>
      </w:r>
      <w:r>
        <w:t xml:space="preserve"> Each active rule's registry locator was fetched (HTML text or PDF via pypdf), DOIs were additionally resolved through Europe PMC full text and PubMed abstracts, and the text was searched for the rule's threshold within 160 characters of an analyte name or synonym. Outcome for 364 rules: statement found for all leaves 2; for some leaves of a multi-leaf rule 4; in abstract only 2; number present without the analyte term 17; reachable page without the statement 150 (100 of them the CLSI EP28 shop page cited as second source by template rules); organisation landing page 120; locator blocked or 404 (who.int, acmg.net, diabetesjournals.org, escardio.org, acc.org, easl.eu, cff.org) 63; no locator 6.</w:t>
      </w:r>
    </w:p>
    <w:p>
      <w:r>
        <w:rPr>
          <w:b/>
        </w:rPr>
        <w:t>Phase C — fresh concordance sample.</w:t>
      </w:r>
      <w:r>
        <w:t xml:space="preserve"> 100 rules were drawn (seed 20261028) from the active core excluding the 200 rules of Note 8 and labelled under the Note 8 rules by the same single AI rater. Every CONCORDANT or DISCORDANT label carries a verbatim quote and the document location; multi-leaf rules were CONCORDANT only when every numeric leaf is stated (partially supported rules remain UNRESOLVABLE with the leaf count recorded); a strict-versus-inclusive boundary mismatch against an explicit source inequality was DISCORDANT; where a publisher page rate-limited automated access the identical article was read from its PubMed Central deposit and this is recorded.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p>
        </w:tc>
        <w:tc>
          <w:tcPr>
            <w:tcW w:type="dxa" w:w="1994"/>
          </w:tcPr>
          <w:p>
            <w:pPr>
              <w:spacing w:after="0"/>
            </w:pPr>
            <w:r>
              <w:rPr>
                <w:b/>
              </w:rPr>
            </w:r>
            <w:r>
              <w:rPr>
                <w:b/>
                <w:sz w:val="15"/>
              </w:rPr>
              <w:t>n</w:t>
            </w:r>
          </w:p>
        </w:tc>
        <w:tc>
          <w:tcPr>
            <w:tcW w:type="dxa" w:w="1994"/>
          </w:tcPr>
          <w:p>
            <w:pPr>
              <w:spacing w:after="0"/>
            </w:pPr>
            <w:r>
              <w:rPr>
                <w:b/>
              </w:rPr>
            </w:r>
            <w:r>
              <w:rPr>
                <w:b/>
                <w:sz w:val="15"/>
              </w:rPr>
              <w:t>CONCORDANT</w:t>
            </w:r>
          </w:p>
        </w:tc>
        <w:tc>
          <w:tcPr>
            <w:tcW w:type="dxa" w:w="1994"/>
          </w:tcPr>
          <w:p>
            <w:pPr>
              <w:spacing w:after="0"/>
            </w:pPr>
            <w:r>
              <w:rPr>
                <w:b/>
              </w:rPr>
            </w:r>
            <w:r>
              <w:rPr>
                <w:b/>
                <w:sz w:val="15"/>
              </w:rPr>
              <w:t>DISCORDANT</w:t>
            </w:r>
          </w:p>
        </w:tc>
        <w:tc>
          <w:tcPr>
            <w:tcW w:type="dxa" w:w="1994"/>
          </w:tcPr>
          <w:p>
            <w:pPr>
              <w:spacing w:after="0"/>
            </w:pPr>
            <w:r>
              <w:rPr>
                <w:b/>
              </w:rPr>
            </w:r>
            <w:r>
              <w:rPr>
                <w:b/>
                <w:sz w:val="15"/>
              </w:rPr>
              <w:t>UNRESOLVABLE (Wilson 95 % CI)</w:t>
            </w:r>
          </w:p>
        </w:tc>
      </w:tr>
      <w:tr>
        <w:tc>
          <w:tcPr>
            <w:tcW w:type="dxa" w:w="1994"/>
          </w:tcPr>
          <w:p>
            <w:pPr>
              <w:spacing w:after="0"/>
            </w:pPr>
            <w:r/>
            <w:r>
              <w:rPr>
                <w:sz w:val="15"/>
              </w:rPr>
              <w:t>all sampled</w:t>
            </w:r>
          </w:p>
        </w:tc>
        <w:tc>
          <w:tcPr>
            <w:tcW w:type="dxa" w:w="1994"/>
          </w:tcPr>
          <w:p>
            <w:pPr>
              <w:spacing w:after="0"/>
            </w:pPr>
            <w:r/>
            <w:r>
              <w:rPr>
                <w:sz w:val="15"/>
              </w:rPr>
              <w:t>100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92 (85.0–95.9 %)</w:t>
            </w:r>
          </w:p>
        </w:tc>
      </w:tr>
      <w:tr>
        <w:tc>
          <w:tcPr>
            <w:tcW w:type="dxa" w:w="1994"/>
          </w:tcPr>
          <w:p>
            <w:pPr>
              <w:spacing w:after="0"/>
            </w:pPr>
            <w:r/>
            <w:r>
              <w:rPr>
                <w:sz w:val="15"/>
              </w:rPr>
              <w:t>non-template rules</w:t>
            </w:r>
          </w:p>
        </w:tc>
        <w:tc>
          <w:tcPr>
            <w:tcW w:type="dxa" w:w="1994"/>
          </w:tcPr>
          <w:p>
            <w:pPr>
              <w:spacing w:after="0"/>
            </w:pPr>
            <w:r/>
            <w:r>
              <w:rPr>
                <w:sz w:val="15"/>
              </w:rPr>
              <w:t>70</w:t>
            </w:r>
          </w:p>
        </w:tc>
        <w:tc>
          <w:tcPr>
            <w:tcW w:type="dxa" w:w="1994"/>
          </w:tcPr>
          <w:p>
            <w:pPr>
              <w:spacing w:after="0"/>
            </w:pPr>
            <w:r/>
            <w:r>
              <w:rPr>
                <w:sz w:val="15"/>
              </w:rPr>
              <w:t>6</w:t>
            </w:r>
          </w:p>
        </w:tc>
        <w:tc>
          <w:tcPr>
            <w:tcW w:type="dxa" w:w="1994"/>
          </w:tcPr>
          <w:p>
            <w:pPr>
              <w:spacing w:after="0"/>
            </w:pPr>
            <w:r/>
            <w:r>
              <w:rPr>
                <w:sz w:val="15"/>
              </w:rPr>
              <w:t>2</w:t>
            </w:r>
          </w:p>
        </w:tc>
        <w:tc>
          <w:tcPr>
            <w:tcW w:type="dxa" w:w="1994"/>
          </w:tcPr>
          <w:p>
            <w:pPr>
              <w:spacing w:after="0"/>
            </w:pPr>
            <w:r/>
            <w:r>
              <w:rPr>
                <w:sz w:val="15"/>
              </w:rPr>
              <w:t>62 (88.6 %; 79.0–94.1)</w:t>
            </w:r>
          </w:p>
        </w:tc>
      </w:tr>
      <w:tr>
        <w:tc>
          <w:tcPr>
            <w:tcW w:type="dxa" w:w="1994"/>
          </w:tcPr>
          <w:p>
            <w:pPr>
              <w:spacing w:after="0"/>
            </w:pPr>
            <w:r/>
            <w:r>
              <w:rPr>
                <w:sz w:val="15"/>
              </w:rPr>
              <w:t>hot-core rules</w:t>
            </w:r>
          </w:p>
        </w:tc>
        <w:tc>
          <w:tcPr>
            <w:tcW w:type="dxa" w:w="1994"/>
          </w:tcPr>
          <w:p>
            <w:pPr>
              <w:spacing w:after="0"/>
            </w:pPr>
            <w:r/>
            <w:r>
              <w:rPr>
                <w:sz w:val="15"/>
              </w:rPr>
              <w:t>37</w:t>
            </w:r>
          </w:p>
        </w:tc>
        <w:tc>
          <w:tcPr>
            <w:tcW w:type="dxa" w:w="1994"/>
          </w:tcPr>
          <w:p>
            <w:pPr>
              <w:spacing w:after="0"/>
            </w:pPr>
            <w:r/>
            <w:r>
              <w:rPr>
                <w:sz w:val="15"/>
              </w:rPr>
              <w:t>3</w:t>
            </w:r>
          </w:p>
        </w:tc>
        <w:tc>
          <w:tcPr>
            <w:tcW w:type="dxa" w:w="1994"/>
          </w:tcPr>
          <w:p>
            <w:pPr>
              <w:spacing w:after="0"/>
            </w:pPr>
            <w:r/>
            <w:r>
              <w:rPr>
                <w:sz w:val="15"/>
              </w:rPr>
              <w:t>2</w:t>
            </w:r>
          </w:p>
        </w:tc>
        <w:tc>
          <w:tcPr>
            <w:tcW w:type="dxa" w:w="1994"/>
          </w:tcPr>
          <w:p>
            <w:pPr>
              <w:spacing w:after="0"/>
            </w:pPr>
            <w:r/>
            <w:r>
              <w:rPr>
                <w:sz w:val="15"/>
              </w:rPr>
              <w:t>32 (86.5 %; 72.0–94.1)</w:t>
            </w:r>
          </w:p>
        </w:tc>
      </w:tr>
      <w:tr>
        <w:tc>
          <w:tcPr>
            <w:tcW w:type="dxa" w:w="1994"/>
          </w:tcPr>
          <w:p>
            <w:pPr>
              <w:spacing w:after="0"/>
            </w:pPr>
            <w:r/>
            <w:r>
              <w:rPr>
                <w:sz w:val="15"/>
              </w:rPr>
              <w:t>Note 8 sample</w:t>
            </w:r>
          </w:p>
        </w:tc>
        <w:tc>
          <w:tcPr>
            <w:tcW w:type="dxa" w:w="1994"/>
          </w:tcPr>
          <w:p>
            <w:pPr>
              <w:spacing w:after="0"/>
            </w:pPr>
            <w:r/>
            <w:r>
              <w:rPr>
                <w:sz w:val="15"/>
              </w:rPr>
              <w:t>200</w:t>
            </w:r>
          </w:p>
        </w:tc>
        <w:tc>
          <w:tcPr>
            <w:tcW w:type="dxa" w:w="1994"/>
          </w:tcPr>
          <w:p>
            <w:pPr>
              <w:spacing w:after="0"/>
            </w:pPr>
            <w:r/>
            <w:r>
              <w:rPr>
                <w:sz w:val="15"/>
              </w:rPr>
              <w:t>1</w:t>
            </w:r>
          </w:p>
        </w:tc>
        <w:tc>
          <w:tcPr>
            <w:tcW w:type="dxa" w:w="1994"/>
          </w:tcPr>
          <w:p>
            <w:pPr>
              <w:spacing w:after="0"/>
            </w:pPr>
            <w:r/>
            <w:r>
              <w:rPr>
                <w:sz w:val="15"/>
              </w:rPr>
              <w:t>15</w:t>
            </w:r>
          </w:p>
        </w:tc>
        <w:tc>
          <w:tcPr>
            <w:tcW w:type="dxa" w:w="1994"/>
          </w:tcPr>
          <w:p>
            <w:pPr>
              <w:spacing w:after="0"/>
            </w:pPr>
            <w:r/>
            <w:r>
              <w:rPr>
                <w:sz w:val="15"/>
              </w:rPr>
              <w:t>184 (92.0 %; 87.4–95.0)</w:t>
            </w:r>
          </w:p>
        </w:tc>
      </w:tr>
    </w:tbl>
    <w:p/>
    <w:p>
      <w:r>
        <w:t>Concordant: ADA Standards of Care 2026 diabetes criteria (two rules; the random-glucose leaf lacks the source's "classic symptoms" qualifier), ADA 2026 prediabetes ranges, ADA/EASD 2024 severe-DKA tier (pH &lt; 7.0, bicarbonate &lt; 10 mmol/L, β-hydroxybutyrate &gt; 6.0 mmol/L), ADA/EASD 2024 HHS criteria (glucose ≥ 600 mg/dL, total osmolality &gt; 320 mOsm/kg; read from Fig. 2B; the rule omits the source's two exclusion criteria), BSG 2021 iron-deficiency anaemia (ferritin &lt; 30 µg/L with WHO haemoglobin cut-offs). Discordant: HbA1c "&gt; 5.7 %" prediabetes pattern (source 5.7–6.4 % inclusive with upper bound); CK "≥ 1000 U/L" rhabdomyolysis (source "&gt; 1000 IU/L", a systematic review rather than a guideline). Partially supported, left unresolvable: the SIRS-with-laboratory-support rule (8/10 leaves in Sepsis-3 Box 1 and the septic-shock lactate criterion; procalcitonin and CRP leaves absent) and a cyanide screen (lactate ≥ 8 mmol/L stated; bicarbonate leaf absent). Among the 62 unresolvable non-template rules at least 18 cite a specific document whose topic does not address the rule's analyte or disease (an ACG Crohn's guideline for bilirubin, albumin and leucocytes; an AAN status-epilepticus guideline for creatine kinase and leucocytes; the AAP well-child schedule for chloride, sodium and potassium; a myasthenia guidance for lactate), 30 cite only an organisation landing page, and five cite a WHO URL that returns HTTP 404.</w:t>
      </w:r>
    </w:p>
    <w:p>
      <w:r>
        <w:rPr>
          <w:b/>
        </w:rPr>
        <w:t>Registered expectations.</w:t>
      </w:r>
      <w:r>
        <w:t xml:space="preserve"> Core 800–4,000 rules: not met (364). Anchors ≥ 30 % of hot core: not met (18 %). Locator search finding the statement for 30–60 % of active rules: not met (2.2 %). Unresolvable &lt; 92 % in the fresh sample: not met (92.0 %).</w:t>
      </w:r>
    </w:p>
    <w:p>
      <w:r>
        <w:rPr>
          <w:b/>
        </w:rPr>
        <w:t>Reading and limits.</w:t>
      </w:r>
      <w:r>
        <w:t xml:space="preserve"> The output-bearing part of the registry is small and identifiable, its provenance is better than the bulk's but still mostly unauditable from the cited locators, and the fresh sample reproduces the Note 8 failure modes—generic locators, topic-mismatched citations, broken URLs—while finding a small number of verbatim-concordant guideline criteria that Note 8 had not reached. "Dormant" is relative to the analyte coverage of the two corpora (about 50 analytes each); rules on analytes absent from both cannot fire. The audit is single-rater by a declared AI agent and no inter-rater reliability is claimed. No rule, threshold, weight or locator in the shipped registry was modified.</w:t>
      </w:r>
    </w:p>
    <w:p>
      <w:r>
        <w:rPr>
          <w:b/>
        </w:rPr>
        <w:t>Post-audit development release (registry 15.0.0; not used for any result in the main text).</w:t>
      </w:r>
      <w:r>
        <w:t xml:space="preserve"> The audit's classes were turned into a closed, pre-written change protocol and applied once to a development copy of the registry; the paper's engine (v7) and registry (14.1.0) are unchanged. The protocol forbids any change motivated by benchmark labels: every edit is decided from the rule text and its cited source. Six change classes were applied. (R1) The 24,308 template co-occurrence rules were re-attributed from the WHO landing page to an explicit synthetic source record (</w:t>
      </w:r>
      <w:r>
        <w:rPr>
          <w:rFonts w:ascii="Consolas" w:hAnsi="Consolas"/>
        </w:rPr>
        <w:t>generated_pair_pattern</w:t>
      </w:r>
      <w:r>
        <w:t>), so that their lack of guideline provenance is stated rather than hidden. (R2) 278 rules were retired: 234 single-ubiquitous-analyte rules asserting a specific entity (creatine kinase → McArdle disease, lactate → cerebral malaria, albumin → kwashiorkor and the like), 25 rules contradicting their own or a retrieved source (prediabetes from HbA1c &lt; 6.5 %; type 1 diabetes or LADA from glucose or HbA1c alone; thrombocytosis attributed to iron deficiency; a fixed-threshold acute-kidney-injury variant with thresholds found in no source), and 19 severity tiers whose thresholds appear in no source. (R3) 37 rules were re-sourced with a verbatim quote, document locator and retrieval date written into the rule (</w:t>
      </w:r>
      <w:r>
        <w:rPr>
          <w:rFonts w:ascii="Consolas" w:hAnsi="Consolas"/>
        </w:rPr>
        <w:t>provenance.verified_quote</w:t>
      </w:r>
      <w:r>
        <w:t xml:space="preserve">), written only when the analyte and threshold were found together in text retrieved on 2026-10-27 (WHO 2024 haemoglobin cut-offs from the IRIS PDF; WHO 2020 ferritin thresholds; ADA 2026 diagnostic, prediabetes and hypoglycaemia levels; ADA/EASD 2024 anion gap and euglycaemic-DKA definition; Sepsis-3 shock lactate and SIRS; AHA/ACC 2018 LDL-C ≥ 190 mg/dL; NCEP ATP III lipid classes; ACR/EULAR 2015 urate bands; AASLD 2023 / ACG 2017 ALT limits; KDIGO 2024 GFR and albuminuria categories; KDIGO 2012 AKI definition; BSG 2021 transferrin saturation). Ten further locators resolve but their threshold text could not be retrieved (abstract-only or publisher-blocked); those rules are marked locator-only and no quote is claimed. (R4) 36 reference-limit rules (sodium, potassium, magnesium, phosphate, leucocytes, INR, bilirubin, acid–base) lost their topic-mismatched citation and now cite an explicit </w:t>
      </w:r>
      <w:r>
        <w:rPr>
          <w:rFonts w:ascii="Consolas" w:hAnsi="Consolas"/>
        </w:rPr>
        <w:t>reference_interval_convention</w:t>
      </w:r>
      <w:r>
        <w:t xml:space="preserve"> record. (R5) Six logic corrections, each tied to a quote: the child-anaemia rule (Hb &lt; 11.5 g/dL) that had been applied to all ages and both sexes is gated to children; the male iron-deficiency rule used the female haemoglobin cut-off; prediabetes HbA1c &gt; 5.7 % became ≥ 5.7 %; hypoglycaemia &lt; 55 mg/dL became ADA level 2 (&lt; 54 mg/dL); rhabdomyolysis CK ≥ 1,000 U/L became &gt; 1,000 U/L; the euglycaemic-DKA rule, which fired on any non-ketotic acidosis with normal glucose, gained a β-hydroxybutyrate leaf. (R6) Seven source records were added and 18 repaired (the WHO 2024 record had pointed to the wrong WHO item; PubMed Central and official PDF locators were added). One deviation is recorded: the fixed-threshold </w:t>
      </w:r>
      <w:r>
        <w:rPr>
          <w:rFonts w:ascii="Consolas" w:hAnsi="Consolas"/>
        </w:rPr>
        <w:t>acute_kidney_injury_v1</w:t>
      </w:r>
      <w:r>
        <w:t xml:space="preserve"> rule, scheduled for retirement, was kept because the unit-test gate showed that the single-panel chronicity-undetermined logic depends on it; it is now labelled a single-panel surrogate with the KDIGO definition quoted beside it.</w:t>
      </w:r>
    </w:p>
    <w:p>
      <w:r>
        <w:t>The release was then evaluated once, with the current development engine (v8.2) in both arms so that only the registry differed. Unit tests (709), the three hard batteries (151/151, 124/124, 77/78 with the same pre-existing failure) and the healthy sweep (0/200) did not regress. On the 2,314 eICU-CRD demo stays, flat recall@5 moved from 61.0 % to 61.2 % and recall@10 from 74.1 % to 74.3 %, while top-1 (two-tier 33.5 % → 33.3 %; grouped 30.2 % → 29.0 %) and grouped recall@3 (55.6 % → 54.9 %) fell; the paired losses (34 grouped top-1 labels lost, 4 gained; exact sign test p &lt; 0.001) sit almost entirely in the renal and sepsis groups and trace to the retired fixed-threshold AKI variant and to retired sepsis tiers with unsourced thresholds. Per-group AUROCs were unchanged to two decimals (mean 0.766 in both arms), and the chart-support rate of confident outputs was 23.1 % in both arms. On 1,000 NHANES 2017–18 adults every AUROC changed by ≤ 0.012 (CKD 0.971 → 0.959; diabetes 0.946, anaemia 0.972 and iron deficiency 0.991 unchanged), and a CK-only McArdle rule disappeared from the outputs of guideline-healthy participants. Re-running the activity log on the same eICU panels, the eICU-only active core shrank from 293 to 193 rules and the hot core from 120 to 83; within the hot core the share of rules with no verifiable provenance fell from 59/120 to 23/83, and 34/83 now carry either a verbatim quote or an explicit convention record. The template layer was not retired (its provenance label changed, its logic did not), and it occupies slightly more top-5 slots afterwards (0.65 % → 0.80 %). These numbers are reported as obtained; the release trades a small amount of top-1 recall on retrospective ICU labels for rules whose thresholds can be read against their sources, and it is the registry on which the prospective study will be run.</w:t>
      </w:r>
    </w:p>
    <w:p>
      <w:pPr>
        <w:pStyle w:val="Heading1"/>
      </w:pPr>
      <w:r>
        <w:rPr>
          <w:color w:val="000000"/>
        </w:rPr>
        <w:t>Supplementary Note 16 — Audit study: sufficiency of the curated/quote-verified core, mutation testing of the static detectors and transfer to a second LLM-written corpus (protocol frozen 2026-10-28 before any run; registry 15.1.0, harness v8.2; frozen v7 results untouched)</w:t>
      </w:r>
    </w:p>
    <w:p>
      <w:r>
        <w:t>Protocol frozen and committed with the detector code before any result was computed (scripts listed in the Reproducibility map). Frozen v7 results are untouched; every run here uses the v8.2 harness and registry 15.1.0 (or the stated</w:t>
      </w:r>
    </w:p>
    <w:p>
      <w:r>
        <w:t>comparison registry). Reported in the order the parts were executed (2 → 1 → 3), because Part 1 could only be run</w:t>
      </w:r>
    </w:p>
    <w:p>
      <w:r>
        <w:t>after the detectors were frozen and Part 3 only after Part 1.</w:t>
      </w:r>
    </w:p>
    <w:p>
      <w:pPr>
        <w:pStyle w:val="Heading2"/>
      </w:pPr>
      <w:r>
        <w:rPr>
          <w:color w:val="303030"/>
        </w:rPr>
        <w:t>Pre-freeze calibration (declared)</w:t>
      </w:r>
    </w:p>
    <w:p>
      <w:r>
        <w:t>The seven static detectors (R2a single ubiquitous analyte, R7 arithmetic severity tier, R9 impossible/flat tier,</w:t>
      </w:r>
    </w:p>
    <w:p>
      <w:r>
        <w:t>DIR direction contradiction, UNIT unit–physiology mismatch, POP adult threshold on neonates/infants, SRC source-scope</w:t>
      </w:r>
    </w:p>
    <w:p>
      <w:r>
        <w:t xml:space="preserve">mismatch) were calibrated on registry 15.1.0 </w:t>
      </w:r>
      <w:r>
        <w:rPr>
          <w:b/>
        </w:rPr>
        <w:t>before</w:t>
      </w:r>
      <w:r>
        <w:t xml:space="preserve"> freezing. The first raw run flagged 1,241 rules (unit 713,</w:t>
      </w:r>
    </w:p>
    <w:p>
      <w:r>
        <w:t>src 349, r9 188, dir 40), the overwhelming majority false positives of the heuristics (unit-string synonyms,</w:t>
      </w:r>
    </w:p>
    <w:p>
      <w:r>
        <w:t>domain neighbours such as hepatology↔gastroenterology, deliberate multi-tier severities). Calibration consisted of</w:t>
      </w:r>
    </w:p>
    <w:p>
      <w:r>
        <w:t>whitelists and synonym tables;</w:t>
      </w:r>
    </w:p>
    <w:p>
      <w:r>
        <w:t>no rule was changed. Final density on 15.1.0 after calibration: 87 flagged rules of 6,777 non-template executable</w:t>
      </w:r>
    </w:p>
    <w:p>
      <w:r>
        <w:t xml:space="preserve">rules (1.28 per 100). Consequence, stated in advance: the 15.1.0 density is a </w:t>
      </w:r>
      <w:r>
        <w:rPr>
          <w:i/>
        </w:rPr>
        <w:t>trained-on</w:t>
      </w:r>
      <w:r>
        <w:t xml:space="preserve"> number and is a lower</w:t>
      </w:r>
    </w:p>
    <w:p>
      <w:r>
        <w:t>bound for the detectors' true positive rate on that registry; the 14.1.0 and Part 3 densities are out-of-sample</w:t>
      </w:r>
    </w:p>
    <w:p>
      <w:r>
        <w:t>with respect to the whitelists, except that a named-rule exemption list covers 13 15.1.0 rules by identifier (see Part 3).</w:t>
      </w:r>
    </w:p>
    <w:p>
      <w:pPr>
        <w:pStyle w:val="Heading2"/>
      </w:pPr>
      <w:r>
        <w:rPr>
          <w:color w:val="303030"/>
        </w:rPr>
        <w:t>Part 2 — Sufficiency of the audited core (registry arm CORE vs full 15.1.0)</w:t>
      </w:r>
    </w:p>
    <w:p>
      <w:r>
        <w:t>CORE = the 335 executable rules of 15.1.0 that are curated (284), carry a verbatim source quote from the 15.0.0</w:t>
      </w:r>
    </w:p>
    <w:p>
      <w:r>
        <w:t xml:space="preserve">re-sourcing of the active core (19 further rules) or are reference-interval conventions (32); it is </w:t>
      </w:r>
      <w:r>
        <w:rPr>
          <w:b/>
        </w:rPr>
        <w:t>not</w:t>
      </w:r>
      <w:r>
        <w:t xml:space="preserve"> the</w:t>
      </w:r>
    </w:p>
    <w:p>
      <w:r>
        <w:t>activity-defined active core — only 94 of the 364 active-core rules are in it (Note 18). Every other rule is set</w:t>
      </w:r>
    </w:p>
    <w:p>
      <w:r>
        <w:t>non-executable; sources untouched. Same harness, same cohorts, same seeds.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metric</w:t>
            </w:r>
          </w:p>
        </w:tc>
        <w:tc>
          <w:tcPr>
            <w:tcW w:type="dxa" w:w="1994"/>
          </w:tcPr>
          <w:p>
            <w:pPr>
              <w:spacing w:after="0"/>
            </w:pPr>
            <w:r>
              <w:rPr>
                <w:b/>
              </w:rPr>
            </w:r>
            <w:r>
              <w:rPr>
                <w:b/>
                <w:sz w:val="15"/>
              </w:rPr>
              <w:t>full 15.1.0</w:t>
            </w:r>
          </w:p>
        </w:tc>
        <w:tc>
          <w:tcPr>
            <w:tcW w:type="dxa" w:w="1994"/>
          </w:tcPr>
          <w:p>
            <w:pPr>
              <w:spacing w:after="0"/>
            </w:pPr>
            <w:r>
              <w:rPr>
                <w:b/>
              </w:rPr>
            </w:r>
            <w:r>
              <w:rPr>
                <w:b/>
                <w:sz w:val="15"/>
              </w:rPr>
              <w:t>CORE (335 rules)</w:t>
            </w:r>
          </w:p>
        </w:tc>
        <w:tc>
          <w:tcPr>
            <w:tcW w:type="dxa" w:w="1994"/>
          </w:tcPr>
          <w:p>
            <w:pPr>
              <w:spacing w:after="0"/>
            </w:pPr>
            <w:r>
              <w:rPr>
                <w:b/>
              </w:rPr>
            </w:r>
            <w:r>
              <w:rPr>
                <w:b/>
                <w:sz w:val="15"/>
              </w:rPr>
              <w:t>Δ (pts)</w:t>
            </w:r>
          </w:p>
        </w:tc>
        <w:tc>
          <w:tcPr>
            <w:tcW w:type="dxa" w:w="1994"/>
          </w:tcPr>
          <w:p>
            <w:pPr>
              <w:spacing w:after="0"/>
            </w:pPr>
            <w:r>
              <w:rPr>
                <w:b/>
              </w:rPr>
            </w:r>
            <w:r>
              <w:rPr>
                <w:b/>
                <w:sz w:val="15"/>
              </w:rPr>
              <w:t>paired full−CORE (gained / lost, exact McNemar p)</w:t>
            </w:r>
          </w:p>
        </w:tc>
      </w:tr>
      <w:tr>
        <w:tc>
          <w:tcPr>
            <w:tcW w:type="dxa" w:w="1994"/>
          </w:tcPr>
          <w:p>
            <w:pPr>
              <w:spacing w:after="0"/>
            </w:pPr>
            <w:r/>
            <w:r>
              <w:rPr>
                <w:sz w:val="15"/>
              </w:rPr>
              <w:t>eICU flat recall@3</w:t>
            </w:r>
          </w:p>
        </w:tc>
        <w:tc>
          <w:tcPr>
            <w:tcW w:type="dxa" w:w="1994"/>
          </w:tcPr>
          <w:p>
            <w:pPr>
              <w:spacing w:after="0"/>
            </w:pPr>
            <w:r/>
            <w:r>
              <w:rPr>
                <w:sz w:val="15"/>
              </w:rPr>
              <w:t>48.0</w:t>
            </w:r>
          </w:p>
        </w:tc>
        <w:tc>
          <w:tcPr>
            <w:tcW w:type="dxa" w:w="1994"/>
          </w:tcPr>
          <w:p>
            <w:pPr>
              <w:spacing w:after="0"/>
            </w:pPr>
            <w:r/>
            <w:r>
              <w:rPr>
                <w:sz w:val="15"/>
              </w:rPr>
              <w:t>47.8</w:t>
            </w:r>
          </w:p>
        </w:tc>
        <w:tc>
          <w:tcPr>
            <w:tcW w:type="dxa" w:w="1994"/>
          </w:tcPr>
          <w:p>
            <w:pPr>
              <w:spacing w:after="0"/>
            </w:pPr>
            <w:r/>
            <w:r>
              <w:rPr>
                <w:sz w:val="15"/>
              </w:rPr>
              <w:t>−0.21</w:t>
            </w:r>
          </w:p>
        </w:tc>
        <w:tc>
          <w:tcPr>
            <w:tcW w:type="dxa" w:w="1994"/>
          </w:tcPr>
          <w:p>
            <w:pPr>
              <w:spacing w:after="0"/>
            </w:pPr>
            <w:r/>
            <w:r>
              <w:rPr>
                <w:sz w:val="15"/>
              </w:rPr>
              <w:t>+40 / −35, n.s.</w:t>
            </w:r>
          </w:p>
        </w:tc>
      </w:tr>
      <w:tr>
        <w:tc>
          <w:tcPr>
            <w:tcW w:type="dxa" w:w="1994"/>
          </w:tcPr>
          <w:p>
            <w:pPr>
              <w:spacing w:after="0"/>
            </w:pPr>
            <w:r/>
            <w:r>
              <w:rPr>
                <w:sz w:val="15"/>
              </w:rPr>
              <w:t>eICU flat recall@5</w:t>
            </w:r>
          </w:p>
        </w:tc>
        <w:tc>
          <w:tcPr>
            <w:tcW w:type="dxa" w:w="1994"/>
          </w:tcPr>
          <w:p>
            <w:pPr>
              <w:spacing w:after="0"/>
            </w:pPr>
            <w:r/>
            <w:r>
              <w:rPr>
                <w:sz w:val="15"/>
              </w:rPr>
              <w:t>61.2</w:t>
            </w:r>
          </w:p>
        </w:tc>
        <w:tc>
          <w:tcPr>
            <w:tcW w:type="dxa" w:w="1994"/>
          </w:tcPr>
          <w:p>
            <w:pPr>
              <w:spacing w:after="0"/>
            </w:pPr>
            <w:r/>
            <w:r>
              <w:rPr>
                <w:sz w:val="15"/>
              </w:rPr>
              <w:t>61.2</w:t>
            </w:r>
          </w:p>
        </w:tc>
        <w:tc>
          <w:tcPr>
            <w:tcW w:type="dxa" w:w="1994"/>
          </w:tcPr>
          <w:p>
            <w:pPr>
              <w:spacing w:after="0"/>
            </w:pPr>
            <w:r/>
            <w:r>
              <w:rPr>
                <w:sz w:val="15"/>
              </w:rPr>
              <w:t>+0.04</w:t>
            </w:r>
          </w:p>
        </w:tc>
        <w:tc>
          <w:tcPr>
            <w:tcW w:type="dxa" w:w="1994"/>
          </w:tcPr>
          <w:p>
            <w:pPr>
              <w:spacing w:after="0"/>
            </w:pPr>
            <w:r/>
            <w:r>
              <w:rPr>
                <w:sz w:val="15"/>
              </w:rPr>
              <w:t>+45 / −49, n.s.</w:t>
            </w:r>
          </w:p>
        </w:tc>
      </w:tr>
      <w:tr>
        <w:tc>
          <w:tcPr>
            <w:tcW w:type="dxa" w:w="1994"/>
          </w:tcPr>
          <w:p>
            <w:pPr>
              <w:spacing w:after="0"/>
            </w:pPr>
            <w:r/>
            <w:r>
              <w:rPr>
                <w:sz w:val="15"/>
              </w:rPr>
              <w:t>eICU flat recall@10</w:t>
            </w:r>
          </w:p>
        </w:tc>
        <w:tc>
          <w:tcPr>
            <w:tcW w:type="dxa" w:w="1994"/>
          </w:tcPr>
          <w:p>
            <w:pPr>
              <w:spacing w:after="0"/>
            </w:pPr>
            <w:r/>
            <w:r>
              <w:rPr>
                <w:sz w:val="15"/>
              </w:rPr>
              <w:t>74.3</w:t>
            </w:r>
          </w:p>
        </w:tc>
        <w:tc>
          <w:tcPr>
            <w:tcW w:type="dxa" w:w="1994"/>
          </w:tcPr>
          <w:p>
            <w:pPr>
              <w:spacing w:after="0"/>
            </w:pPr>
            <w:r/>
            <w:r>
              <w:rPr>
                <w:sz w:val="15"/>
              </w:rPr>
              <w:t>73.1</w:t>
            </w:r>
          </w:p>
        </w:tc>
        <w:tc>
          <w:tcPr>
            <w:tcW w:type="dxa" w:w="1994"/>
          </w:tcPr>
          <w:p>
            <w:pPr>
              <w:spacing w:after="0"/>
            </w:pPr>
            <w:r/>
            <w:r>
              <w:rPr>
                <w:sz w:val="15"/>
              </w:rPr>
              <w:t>−1.23</w:t>
            </w:r>
          </w:p>
        </w:tc>
        <w:tc>
          <w:tcPr>
            <w:tcW w:type="dxa" w:w="1994"/>
          </w:tcPr>
          <w:p>
            <w:pPr>
              <w:spacing w:after="0"/>
            </w:pPr>
            <w:r/>
            <w:r>
              <w:rPr>
                <w:sz w:val="15"/>
              </w:rPr>
              <w:t>+65 / −36, p = 0.005</w:t>
            </w:r>
          </w:p>
        </w:tc>
      </w:tr>
      <w:tr>
        <w:tc>
          <w:tcPr>
            <w:tcW w:type="dxa" w:w="1994"/>
          </w:tcPr>
          <w:p>
            <w:pPr>
              <w:spacing w:after="0"/>
            </w:pPr>
            <w:r/>
            <w:r>
              <w:rPr>
                <w:sz w:val="15"/>
              </w:rPr>
              <w:t>eICU two-tier @1 / @3 / @5</w:t>
            </w:r>
          </w:p>
        </w:tc>
        <w:tc>
          <w:tcPr>
            <w:tcW w:type="dxa" w:w="1994"/>
          </w:tcPr>
          <w:p>
            <w:pPr>
              <w:spacing w:after="0"/>
            </w:pPr>
            <w:r/>
            <w:r>
              <w:rPr>
                <w:sz w:val="15"/>
              </w:rPr>
              <w:t>33.3 / 62.3 / 72.4</w:t>
            </w:r>
          </w:p>
        </w:tc>
        <w:tc>
          <w:tcPr>
            <w:tcW w:type="dxa" w:w="1994"/>
          </w:tcPr>
          <w:p>
            <w:pPr>
              <w:spacing w:after="0"/>
            </w:pPr>
            <w:r/>
            <w:r>
              <w:rPr>
                <w:sz w:val="15"/>
              </w:rPr>
              <w:t>32.3 / 60.9 / 70.1</w:t>
            </w:r>
          </w:p>
        </w:tc>
        <w:tc>
          <w:tcPr>
            <w:tcW w:type="dxa" w:w="1994"/>
          </w:tcPr>
          <w:p>
            <w:pPr>
              <w:spacing w:after="0"/>
            </w:pPr>
            <w:r/>
            <w:r>
              <w:rPr>
                <w:sz w:val="15"/>
              </w:rPr>
              <w:t>−0.99 / −1.36 / −2.30</w:t>
            </w:r>
          </w:p>
        </w:tc>
        <w:tc>
          <w:tcPr>
            <w:tcW w:type="dxa" w:w="1994"/>
          </w:tcPr>
          <w:p>
            <w:pPr>
              <w:spacing w:after="0"/>
            </w:pPr>
            <w:r/>
            <w:r>
              <w:rPr>
                <w:sz w:val="15"/>
              </w:rPr>
              <w:t>@1 +25 / −9, p = 0.009</w:t>
            </w:r>
          </w:p>
        </w:tc>
      </w:tr>
      <w:tr>
        <w:tc>
          <w:tcPr>
            <w:tcW w:type="dxa" w:w="1994"/>
          </w:tcPr>
          <w:p>
            <w:pPr>
              <w:spacing w:after="0"/>
            </w:pPr>
            <w:r/>
            <w:r>
              <w:rPr>
                <w:sz w:val="15"/>
              </w:rPr>
              <w:t>eICU grouped @1 / @3 / @5 / @10</w:t>
            </w:r>
          </w:p>
        </w:tc>
        <w:tc>
          <w:tcPr>
            <w:tcW w:type="dxa" w:w="1994"/>
          </w:tcPr>
          <w:p>
            <w:pPr>
              <w:spacing w:after="0"/>
            </w:pPr>
            <w:r/>
            <w:r>
              <w:rPr>
                <w:sz w:val="15"/>
              </w:rPr>
              <w:t>29.0 / 54.8 / 67.1 / 77.9</w:t>
            </w:r>
          </w:p>
        </w:tc>
        <w:tc>
          <w:tcPr>
            <w:tcW w:type="dxa" w:w="1994"/>
          </w:tcPr>
          <w:p>
            <w:pPr>
              <w:spacing w:after="0"/>
            </w:pPr>
            <w:r/>
            <w:r>
              <w:rPr>
                <w:sz w:val="15"/>
              </w:rPr>
              <w:t>28.7 / 55.3 / 67.1 / 76.2</w:t>
            </w:r>
          </w:p>
        </w:tc>
        <w:tc>
          <w:tcPr>
            <w:tcW w:type="dxa" w:w="1994"/>
          </w:tcPr>
          <w:p>
            <w:pPr>
              <w:spacing w:after="0"/>
            </w:pPr>
            <w:r/>
            <w:r>
              <w:rPr>
                <w:sz w:val="15"/>
              </w:rPr>
              <w:t>−0.25 / +0.49 / −0.04 / −1.69</w:t>
            </w:r>
          </w:p>
        </w:tc>
        <w:tc>
          <w:tcPr>
            <w:tcW w:type="dxa" w:w="1994"/>
          </w:tcPr>
          <w:p>
            <w:pPr>
              <w:spacing w:after="0"/>
            </w:pPr>
            <w:r/>
            <w:r>
              <w:rPr>
                <w:sz w:val="15"/>
              </w:rPr>
              <w:t>@10 +69 / −28, p = 3.8e-5</w:t>
            </w:r>
          </w:p>
        </w:tc>
      </w:tr>
      <w:tr>
        <w:tc>
          <w:tcPr>
            <w:tcW w:type="dxa" w:w="1994"/>
          </w:tcPr>
          <w:p>
            <w:pPr>
              <w:spacing w:after="0"/>
            </w:pPr>
            <w:r/>
            <w:r>
              <w:rPr>
                <w:sz w:val="15"/>
              </w:rPr>
              <w:t>eICU mean per-label AUROC</w:t>
            </w:r>
          </w:p>
        </w:tc>
        <w:tc>
          <w:tcPr>
            <w:tcW w:type="dxa" w:w="1994"/>
          </w:tcPr>
          <w:p>
            <w:pPr>
              <w:spacing w:after="0"/>
            </w:pPr>
            <w:r/>
            <w:r>
              <w:rPr>
                <w:sz w:val="15"/>
              </w:rPr>
              <w:t>.766</w:t>
            </w:r>
          </w:p>
        </w:tc>
        <w:tc>
          <w:tcPr>
            <w:tcW w:type="dxa" w:w="1994"/>
          </w:tcPr>
          <w:p>
            <w:pPr>
              <w:spacing w:after="0"/>
            </w:pPr>
            <w:r/>
            <w:r>
              <w:rPr>
                <w:sz w:val="15"/>
              </w:rPr>
              <w:t>.761</w:t>
            </w:r>
          </w:p>
        </w:tc>
        <w:tc>
          <w:tcPr>
            <w:tcW w:type="dxa" w:w="1994"/>
          </w:tcPr>
          <w:p>
            <w:pPr>
              <w:spacing w:after="0"/>
            </w:pPr>
            <w:r/>
            <w:r>
              <w:rPr>
                <w:sz w:val="15"/>
              </w:rPr>
              <w:t>−.005</w:t>
            </w:r>
          </w:p>
        </w:tc>
        <w:tc>
          <w:tcPr>
            <w:tcW w:type="dxa" w:w="1994"/>
          </w:tcPr>
          <w:p>
            <w:pPr>
              <w:spacing w:after="0"/>
            </w:pPr>
            <w:r/>
            <w:r>
              <w:rPr>
                <w:sz w:val="15"/>
              </w:rPr>
              <w:t>—</w:t>
            </w:r>
          </w:p>
        </w:tc>
      </w:tr>
      <w:tr>
        <w:tc>
          <w:tcPr>
            <w:tcW w:type="dxa" w:w="1994"/>
          </w:tcPr>
          <w:p>
            <w:pPr>
              <w:spacing w:after="0"/>
            </w:pPr>
            <w:r/>
            <w:r>
              <w:rPr>
                <w:sz w:val="15"/>
              </w:rPr>
              <w:t>NHANES 2017–18 AUROCs (7 targets)</w:t>
            </w:r>
          </w:p>
        </w:tc>
        <w:tc>
          <w:tcPr>
            <w:tcW w:type="dxa" w:w="1994"/>
          </w:tcPr>
          <w:p>
            <w:pPr>
              <w:spacing w:after="0"/>
            </w:pPr>
            <w:r/>
            <w:r>
              <w:rPr>
                <w:sz w:val="15"/>
              </w:rPr>
              <w:t>identical</w:t>
            </w:r>
          </w:p>
        </w:tc>
        <w:tc>
          <w:tcPr>
            <w:tcW w:type="dxa" w:w="1994"/>
          </w:tcPr>
          <w:p>
            <w:pPr>
              <w:spacing w:after="0"/>
            </w:pPr>
            <w:r/>
            <w:r>
              <w:rPr>
                <w:sz w:val="15"/>
              </w:rPr>
              <w:t>identical</w:t>
            </w:r>
          </w:p>
        </w:tc>
        <w:tc>
          <w:tcPr>
            <w:tcW w:type="dxa" w:w="1994"/>
          </w:tcPr>
          <w:p>
            <w:pPr>
              <w:spacing w:after="0"/>
            </w:pPr>
            <w:r/>
            <w:r>
              <w:rPr>
                <w:sz w:val="15"/>
              </w:rPr>
              <w:t>0</w:t>
            </w:r>
          </w:p>
        </w:tc>
        <w:tc>
          <w:tcPr>
            <w:tcW w:type="dxa" w:w="1994"/>
          </w:tcPr>
          <w:p>
            <w:pPr>
              <w:spacing w:after="0"/>
            </w:pPr>
            <w:r/>
            <w:r>
              <w:rPr>
                <w:sz w:val="15"/>
              </w:rPr>
              <w:t>—</w:t>
            </w:r>
          </w:p>
        </w:tc>
      </w:tr>
      <w:tr>
        <w:tc>
          <w:tcPr>
            <w:tcW w:type="dxa" w:w="1994"/>
          </w:tcPr>
          <w:p>
            <w:pPr>
              <w:spacing w:after="0"/>
            </w:pPr>
            <w:r/>
            <w:r>
              <w:rPr>
                <w:sz w:val="15"/>
              </w:rPr>
              <w:t>healthy-adult false assertions</w:t>
            </w:r>
          </w:p>
        </w:tc>
        <w:tc>
          <w:tcPr>
            <w:tcW w:type="dxa" w:w="1994"/>
          </w:tcPr>
          <w:p>
            <w:pPr>
              <w:spacing w:after="0"/>
            </w:pPr>
            <w:r/>
            <w:r>
              <w:rPr>
                <w:sz w:val="15"/>
              </w:rPr>
              <w:t>0/51</w:t>
            </w:r>
          </w:p>
        </w:tc>
        <w:tc>
          <w:tcPr>
            <w:tcW w:type="dxa" w:w="1994"/>
          </w:tcPr>
          <w:p>
            <w:pPr>
              <w:spacing w:after="0"/>
            </w:pPr>
            <w:r/>
            <w:r>
              <w:rPr>
                <w:sz w:val="15"/>
              </w:rPr>
              <w:t>0/51</w:t>
            </w:r>
          </w:p>
        </w:tc>
        <w:tc>
          <w:tcPr>
            <w:tcW w:type="dxa" w:w="1994"/>
          </w:tcPr>
          <w:p>
            <w:pPr>
              <w:spacing w:after="0"/>
            </w:pPr>
            <w:r/>
            <w:r>
              <w:rPr>
                <w:sz w:val="15"/>
              </w:rPr>
              <w:t>0</w:t>
            </w:r>
          </w:p>
        </w:tc>
        <w:tc>
          <w:tcPr>
            <w:tcW w:type="dxa" w:w="1994"/>
          </w:tcPr>
          <w:p>
            <w:pPr>
              <w:spacing w:after="0"/>
            </w:pPr>
            <w:r/>
            <w:r>
              <w:rPr>
                <w:sz w:val="15"/>
              </w:rPr>
              <w:t>—</w:t>
            </w:r>
          </w:p>
        </w:tc>
      </w:tr>
    </w:tbl>
    <w:p/>
    <w:p>
      <w:r>
        <w:t>Denominator 2,432 labelled stay–diagnosis pairs in 2,314 stays. The gains of the full registry at @10 are driven by</w:t>
      </w:r>
    </w:p>
    <w:p>
      <w:r>
        <w:t xml:space="preserve">diabetes (+28 grouped@10, +31 flat@10) and AKI/renal pattern templates; no </w:t>
      </w:r>
      <w:r>
        <w:rPr>
          <w:rFonts w:ascii="Consolas" w:hAnsi="Consolas"/>
        </w:rPr>
        <w:t>co_</w:t>
      </w:r>
      <w:r>
        <w:t xml:space="preserve"> template appears in any CORE top-5</w:t>
      </w:r>
    </w:p>
    <w:p>
      <w:r>
        <w:t>(0 vs 88 in the full arm). Verdict under the protocol's pre-stated thresholds: the un-audited 30,735 executable</w:t>
      </w:r>
    </w:p>
    <w:p>
      <w:r>
        <w:t xml:space="preserve">rules are </w:t>
      </w:r>
      <w:r>
        <w:rPr>
          <w:b/>
        </w:rPr>
        <w:t>not load-bearing at @3/@5 (|Δ| ≤ 0.5 pt)</w:t>
      </w:r>
      <w:r>
        <w:t xml:space="preserve"> and **partially load-bearing at @10 and in the two-tier</w:t>
      </w:r>
    </w:p>
    <w:p>
      <w:r>
        <w:t>metric (1.0–2.3 pt, significant)**. The curated/quote-verified 1.1 % of rules therefore carries the ranking at the</w:t>
      </w:r>
    </w:p>
    <w:p>
      <w:r>
        <w:t>cut-offs the paper reports as primary.</w:t>
      </w:r>
    </w:p>
    <w:p>
      <w:pPr>
        <w:pStyle w:val="Heading2"/>
      </w:pPr>
      <w:r>
        <w:rPr>
          <w:color w:val="303030"/>
        </w:rPr>
        <w:t>Part 1 — Mutation testing of the frozen detectors (registry 15.1.0, detectors `9c87645`)</w:t>
      </w:r>
    </w:p>
    <w:p>
      <w:r>
        <w:t>303 seed rules (every curated rule plus a seeded sample of active-core rules). Each mutation class is applied to</w:t>
      </w:r>
    </w:p>
    <w:p>
      <w:r>
        <w:t>every seed to which it is applicable; a mutant is "detected" if any detector flags it and the unmutated seed is not</w:t>
      </w:r>
    </w:p>
    <w:p>
      <w:r>
        <w:t>flagged for the same reason.</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after="0"/>
            </w:pPr>
            <w:r>
              <w:rPr>
                <w:b/>
              </w:rPr>
            </w:r>
            <w:r>
              <w:rPr>
                <w:b/>
                <w:sz w:val="15"/>
              </w:rPr>
              <w:t>class</w:t>
            </w:r>
          </w:p>
        </w:tc>
        <w:tc>
          <w:tcPr>
            <w:tcW w:type="dxa" w:w="1994"/>
          </w:tcPr>
          <w:p>
            <w:pPr>
              <w:spacing w:after="0"/>
            </w:pPr>
            <w:r>
              <w:rPr>
                <w:b/>
              </w:rPr>
            </w:r>
            <w:r>
              <w:rPr>
                <w:b/>
                <w:sz w:val="15"/>
              </w:rPr>
              <w:t>mutation</w:t>
            </w:r>
          </w:p>
        </w:tc>
        <w:tc>
          <w:tcPr>
            <w:tcW w:type="dxa" w:w="1994"/>
          </w:tcPr>
          <w:p>
            <w:pPr>
              <w:spacing w:after="0"/>
            </w:pPr>
            <w:r>
              <w:rPr>
                <w:b/>
              </w:rPr>
            </w:r>
            <w:r>
              <w:rPr>
                <w:b/>
                <w:sz w:val="15"/>
              </w:rPr>
              <w:t>mutants</w:t>
            </w:r>
          </w:p>
        </w:tc>
        <w:tc>
          <w:tcPr>
            <w:tcW w:type="dxa" w:w="1994"/>
          </w:tcPr>
          <w:p>
            <w:pPr>
              <w:spacing w:after="0"/>
            </w:pPr>
            <w:r>
              <w:rPr>
                <w:b/>
              </w:rPr>
            </w:r>
            <w:r>
              <w:rPr>
                <w:b/>
                <w:sz w:val="15"/>
              </w:rPr>
              <w:t>detected</w:t>
            </w:r>
          </w:p>
        </w:tc>
        <w:tc>
          <w:tcPr>
            <w:tcW w:type="dxa" w:w="1994"/>
          </w:tcPr>
          <w:p>
            <w:pPr>
              <w:spacing w:after="0"/>
            </w:pPr>
            <w:r>
              <w:rPr>
                <w:b/>
              </w:rPr>
            </w:r>
            <w:r>
              <w:rPr>
                <w:b/>
                <w:sz w:val="15"/>
              </w:rPr>
              <w:t>recall</w:t>
            </w:r>
          </w:p>
        </w:tc>
      </w:tr>
      <w:tr>
        <w:tc>
          <w:tcPr>
            <w:tcW w:type="dxa" w:w="1994"/>
          </w:tcPr>
          <w:p>
            <w:pPr>
              <w:spacing w:after="0"/>
            </w:pPr>
            <w:r/>
            <w:r>
              <w:rPr>
                <w:sz w:val="15"/>
              </w:rPr>
              <w:t>M1</w:t>
            </w:r>
          </w:p>
        </w:tc>
        <w:tc>
          <w:tcPr>
            <w:tcW w:type="dxa" w:w="1994"/>
          </w:tcPr>
          <w:p>
            <w:pPr>
              <w:spacing w:after="0"/>
            </w:pPr>
            <w:r/>
            <w:r>
              <w:rPr>
                <w:sz w:val="15"/>
              </w:rPr>
              <w:t>threshold shifted to a value that violates the feature's physiological limits</w:t>
            </w:r>
          </w:p>
        </w:tc>
        <w:tc>
          <w:tcPr>
            <w:tcW w:type="dxa" w:w="1994"/>
          </w:tcPr>
          <w:p>
            <w:pPr>
              <w:spacing w:after="0"/>
            </w:pPr>
            <w:r/>
            <w:r>
              <w:rPr>
                <w:sz w:val="15"/>
              </w:rPr>
              <w:t>73</w:t>
            </w:r>
          </w:p>
        </w:tc>
        <w:tc>
          <w:tcPr>
            <w:tcW w:type="dxa" w:w="1994"/>
          </w:tcPr>
          <w:p>
            <w:pPr>
              <w:spacing w:after="0"/>
            </w:pPr>
            <w:r/>
            <w:r>
              <w:rPr>
                <w:sz w:val="15"/>
              </w:rPr>
              <w:t>40</w:t>
            </w:r>
          </w:p>
        </w:tc>
        <w:tc>
          <w:tcPr>
            <w:tcW w:type="dxa" w:w="1994"/>
          </w:tcPr>
          <w:p>
            <w:pPr>
              <w:spacing w:after="0"/>
            </w:pPr>
            <w:r/>
            <w:r>
              <w:rPr>
                <w:sz w:val="15"/>
              </w:rPr>
              <w:t>0.548</w:t>
            </w:r>
          </w:p>
        </w:tc>
      </w:tr>
      <w:tr>
        <w:tc>
          <w:tcPr>
            <w:tcW w:type="dxa" w:w="1994"/>
          </w:tcPr>
          <w:p>
            <w:pPr>
              <w:spacing w:after="0"/>
            </w:pPr>
            <w:r/>
            <w:r>
              <w:rPr>
                <w:sz w:val="15"/>
              </w:rPr>
              <w:t>M2</w:t>
            </w:r>
          </w:p>
        </w:tc>
        <w:tc>
          <w:tcPr>
            <w:tcW w:type="dxa" w:w="1994"/>
          </w:tcPr>
          <w:p>
            <w:pPr>
              <w:spacing w:after="0"/>
            </w:pPr>
            <w:r/>
            <w:r>
              <w:rPr>
                <w:sz w:val="15"/>
              </w:rPr>
              <w:t>threshold shifted ×0.5 / ×2 inside physiological limits</w:t>
            </w:r>
          </w:p>
        </w:tc>
        <w:tc>
          <w:tcPr>
            <w:tcW w:type="dxa" w:w="1994"/>
          </w:tcPr>
          <w:p>
            <w:pPr>
              <w:spacing w:after="0"/>
            </w:pPr>
            <w:r/>
            <w:r>
              <w:rPr>
                <w:sz w:val="15"/>
              </w:rPr>
              <w:t>303</w:t>
            </w:r>
          </w:p>
        </w:tc>
        <w:tc>
          <w:tcPr>
            <w:tcW w:type="dxa" w:w="1994"/>
          </w:tcPr>
          <w:p>
            <w:pPr>
              <w:spacing w:after="0"/>
            </w:pPr>
            <w:r/>
            <w:r>
              <w:rPr>
                <w:sz w:val="15"/>
              </w:rPr>
              <w:t>1</w:t>
            </w:r>
          </w:p>
        </w:tc>
        <w:tc>
          <w:tcPr>
            <w:tcW w:type="dxa" w:w="1994"/>
          </w:tcPr>
          <w:p>
            <w:pPr>
              <w:spacing w:after="0"/>
            </w:pPr>
            <w:r/>
            <w:r>
              <w:rPr>
                <w:sz w:val="15"/>
              </w:rPr>
              <w:t>0.003</w:t>
            </w:r>
          </w:p>
        </w:tc>
      </w:tr>
      <w:tr>
        <w:tc>
          <w:tcPr>
            <w:tcW w:type="dxa" w:w="1994"/>
          </w:tcPr>
          <w:p>
            <w:pPr>
              <w:spacing w:after="0"/>
            </w:pPr>
            <w:r/>
            <w:r>
              <w:rPr>
                <w:sz w:val="15"/>
              </w:rPr>
              <w:t>M3</w:t>
            </w:r>
          </w:p>
        </w:tc>
        <w:tc>
          <w:tcPr>
            <w:tcW w:type="dxa" w:w="1994"/>
          </w:tcPr>
          <w:p>
            <w:pPr>
              <w:spacing w:after="0"/>
            </w:pPr>
            <w:r/>
            <w:r>
              <w:rPr>
                <w:sz w:val="15"/>
              </w:rPr>
              <w:t>comparison operator flipped (&lt; ↔ &gt;)</w:t>
            </w:r>
          </w:p>
        </w:tc>
        <w:tc>
          <w:tcPr>
            <w:tcW w:type="dxa" w:w="1994"/>
          </w:tcPr>
          <w:p>
            <w:pPr>
              <w:spacing w:after="0"/>
            </w:pPr>
            <w:r/>
            <w:r>
              <w:rPr>
                <w:sz w:val="15"/>
              </w:rPr>
              <w:t>274</w:t>
            </w:r>
          </w:p>
        </w:tc>
        <w:tc>
          <w:tcPr>
            <w:tcW w:type="dxa" w:w="1994"/>
          </w:tcPr>
          <w:p>
            <w:pPr>
              <w:spacing w:after="0"/>
            </w:pPr>
            <w:r/>
            <w:r>
              <w:rPr>
                <w:sz w:val="15"/>
              </w:rPr>
              <w:t>36</w:t>
            </w:r>
          </w:p>
        </w:tc>
        <w:tc>
          <w:tcPr>
            <w:tcW w:type="dxa" w:w="1994"/>
          </w:tcPr>
          <w:p>
            <w:pPr>
              <w:spacing w:after="0"/>
            </w:pPr>
            <w:r/>
            <w:r>
              <w:rPr>
                <w:sz w:val="15"/>
              </w:rPr>
              <w:t>0.131</w:t>
            </w:r>
          </w:p>
        </w:tc>
      </w:tr>
      <w:tr>
        <w:tc>
          <w:tcPr>
            <w:tcW w:type="dxa" w:w="1994"/>
          </w:tcPr>
          <w:p>
            <w:pPr>
              <w:spacing w:after="0"/>
            </w:pPr>
            <w:r/>
            <w:r>
              <w:rPr>
                <w:sz w:val="15"/>
              </w:rPr>
              <w:t>M4</w:t>
            </w:r>
          </w:p>
        </w:tc>
        <w:tc>
          <w:tcPr>
            <w:tcW w:type="dxa" w:w="1994"/>
          </w:tcPr>
          <w:p>
            <w:pPr>
              <w:spacing w:after="0"/>
            </w:pPr>
            <w:r/>
            <w:r>
              <w:rPr>
                <w:sz w:val="15"/>
              </w:rPr>
              <w:t>unit replaced by a quantitatively different unit of the same analyte</w:t>
            </w:r>
          </w:p>
        </w:tc>
        <w:tc>
          <w:tcPr>
            <w:tcW w:type="dxa" w:w="1994"/>
          </w:tcPr>
          <w:p>
            <w:pPr>
              <w:spacing w:after="0"/>
            </w:pPr>
            <w:r/>
            <w:r>
              <w:rPr>
                <w:sz w:val="15"/>
              </w:rPr>
              <w:t>152</w:t>
            </w:r>
          </w:p>
        </w:tc>
        <w:tc>
          <w:tcPr>
            <w:tcW w:type="dxa" w:w="1994"/>
          </w:tcPr>
          <w:p>
            <w:pPr>
              <w:spacing w:after="0"/>
            </w:pPr>
            <w:r/>
            <w:r>
              <w:rPr>
                <w:sz w:val="15"/>
              </w:rPr>
              <w:t>113</w:t>
            </w:r>
          </w:p>
        </w:tc>
        <w:tc>
          <w:tcPr>
            <w:tcW w:type="dxa" w:w="1994"/>
          </w:tcPr>
          <w:p>
            <w:pPr>
              <w:spacing w:after="0"/>
            </w:pPr>
            <w:r/>
            <w:r>
              <w:rPr>
                <w:sz w:val="15"/>
              </w:rPr>
              <w:t>0.743</w:t>
            </w:r>
          </w:p>
        </w:tc>
      </w:tr>
      <w:tr>
        <w:tc>
          <w:tcPr>
            <w:tcW w:type="dxa" w:w="1994"/>
          </w:tcPr>
          <w:p>
            <w:pPr>
              <w:spacing w:after="0"/>
            </w:pPr>
            <w:r/>
            <w:r>
              <w:rPr>
                <w:sz w:val="15"/>
              </w:rPr>
              <w:t>M5</w:t>
            </w:r>
          </w:p>
        </w:tc>
        <w:tc>
          <w:tcPr>
            <w:tcW w:type="dxa" w:w="1994"/>
          </w:tcPr>
          <w:p>
            <w:pPr>
              <w:spacing w:after="0"/>
            </w:pPr>
            <w:r/>
            <w:r>
              <w:rPr>
                <w:sz w:val="15"/>
              </w:rPr>
              <w:t>severity tier made arithmetically derived</w:t>
            </w:r>
          </w:p>
        </w:tc>
        <w:tc>
          <w:tcPr>
            <w:tcW w:type="dxa" w:w="1994"/>
          </w:tcPr>
          <w:p>
            <w:pPr>
              <w:spacing w:after="0"/>
            </w:pPr>
            <w:r/>
            <w:r>
              <w:rPr>
                <w:sz w:val="15"/>
              </w:rPr>
              <w:t>1</w:t>
            </w:r>
          </w:p>
        </w:tc>
        <w:tc>
          <w:tcPr>
            <w:tcW w:type="dxa" w:w="1994"/>
          </w:tcPr>
          <w:p>
            <w:pPr>
              <w:spacing w:after="0"/>
            </w:pPr>
            <w:r/>
            <w:r>
              <w:rPr>
                <w:sz w:val="15"/>
              </w:rPr>
              <w:t>0</w:t>
            </w:r>
          </w:p>
        </w:tc>
        <w:tc>
          <w:tcPr>
            <w:tcW w:type="dxa" w:w="1994"/>
          </w:tcPr>
          <w:p>
            <w:pPr>
              <w:spacing w:after="0"/>
            </w:pPr>
            <w:r/>
            <w:r>
              <w:rPr>
                <w:sz w:val="15"/>
              </w:rPr>
              <w:t>— (not evaluable)</w:t>
            </w:r>
          </w:p>
        </w:tc>
      </w:tr>
      <w:tr>
        <w:tc>
          <w:tcPr>
            <w:tcW w:type="dxa" w:w="1994"/>
          </w:tcPr>
          <w:p>
            <w:pPr>
              <w:spacing w:after="0"/>
            </w:pPr>
            <w:r/>
            <w:r>
              <w:rPr>
                <w:sz w:val="15"/>
              </w:rPr>
              <w:t>M6</w:t>
            </w:r>
          </w:p>
        </w:tc>
        <w:tc>
          <w:tcPr>
            <w:tcW w:type="dxa" w:w="1994"/>
          </w:tcPr>
          <w:p>
            <w:pPr>
              <w:spacing w:after="0"/>
            </w:pPr>
            <w:r/>
            <w:r>
              <w:rPr>
                <w:sz w:val="15"/>
              </w:rPr>
              <w:t>multi-leaf rule reduced to a single ubiquitous analyte</w:t>
            </w:r>
          </w:p>
        </w:tc>
        <w:tc>
          <w:tcPr>
            <w:tcW w:type="dxa" w:w="1994"/>
          </w:tcPr>
          <w:p>
            <w:pPr>
              <w:spacing w:after="0"/>
            </w:pPr>
            <w:r/>
            <w:r>
              <w:rPr>
                <w:sz w:val="15"/>
              </w:rPr>
              <w:t>141</w:t>
            </w:r>
          </w:p>
        </w:tc>
        <w:tc>
          <w:tcPr>
            <w:tcW w:type="dxa" w:w="1994"/>
          </w:tcPr>
          <w:p>
            <w:pPr>
              <w:spacing w:after="0"/>
            </w:pPr>
            <w:r/>
            <w:r>
              <w:rPr>
                <w:sz w:val="15"/>
              </w:rPr>
              <w:t>138</w:t>
            </w:r>
          </w:p>
        </w:tc>
        <w:tc>
          <w:tcPr>
            <w:tcW w:type="dxa" w:w="1994"/>
          </w:tcPr>
          <w:p>
            <w:pPr>
              <w:spacing w:after="0"/>
            </w:pPr>
            <w:r/>
            <w:r>
              <w:rPr>
                <w:sz w:val="15"/>
              </w:rPr>
              <w:t>0.979</w:t>
            </w:r>
          </w:p>
        </w:tc>
      </w:tr>
      <w:tr>
        <w:tc>
          <w:tcPr>
            <w:tcW w:type="dxa" w:w="1994"/>
          </w:tcPr>
          <w:p>
            <w:pPr>
              <w:spacing w:after="0"/>
            </w:pPr>
            <w:r/>
            <w:r>
              <w:rPr>
                <w:sz w:val="15"/>
              </w:rPr>
              <w:t>M7</w:t>
            </w:r>
          </w:p>
        </w:tc>
        <w:tc>
          <w:tcPr>
            <w:tcW w:type="dxa" w:w="1994"/>
          </w:tcPr>
          <w:p>
            <w:pPr>
              <w:spacing w:after="0"/>
            </w:pPr>
            <w:r/>
            <w:r>
              <w:rPr>
                <w:sz w:val="15"/>
              </w:rPr>
              <w:t>tier order inverted / made impossible</w:t>
            </w:r>
          </w:p>
        </w:tc>
        <w:tc>
          <w:tcPr>
            <w:tcW w:type="dxa" w:w="1994"/>
          </w:tcPr>
          <w:p>
            <w:pPr>
              <w:spacing w:after="0"/>
            </w:pPr>
            <w:r/>
            <w:r>
              <w:rPr>
                <w:sz w:val="15"/>
              </w:rPr>
              <w:t>301</w:t>
            </w:r>
          </w:p>
        </w:tc>
        <w:tc>
          <w:tcPr>
            <w:tcW w:type="dxa" w:w="1994"/>
          </w:tcPr>
          <w:p>
            <w:pPr>
              <w:spacing w:after="0"/>
            </w:pPr>
            <w:r/>
            <w:r>
              <w:rPr>
                <w:sz w:val="15"/>
              </w:rPr>
              <w:t>301</w:t>
            </w:r>
          </w:p>
        </w:tc>
        <w:tc>
          <w:tcPr>
            <w:tcW w:type="dxa" w:w="1994"/>
          </w:tcPr>
          <w:p>
            <w:pPr>
              <w:spacing w:after="0"/>
            </w:pPr>
            <w:r/>
            <w:r>
              <w:rPr>
                <w:sz w:val="15"/>
              </w:rPr>
              <w:t>1.000</w:t>
            </w:r>
          </w:p>
        </w:tc>
      </w:tr>
      <w:tr>
        <w:tc>
          <w:tcPr>
            <w:tcW w:type="dxa" w:w="1994"/>
          </w:tcPr>
          <w:p>
            <w:pPr>
              <w:spacing w:after="0"/>
            </w:pPr>
            <w:r/>
            <w:r>
              <w:rPr>
                <w:sz w:val="15"/>
              </w:rPr>
              <w:t>M8</w:t>
            </w:r>
          </w:p>
        </w:tc>
        <w:tc>
          <w:tcPr>
            <w:tcW w:type="dxa" w:w="1994"/>
          </w:tcPr>
          <w:p>
            <w:pPr>
              <w:spacing w:after="0"/>
            </w:pPr>
            <w:r/>
            <w:r>
              <w:rPr>
                <w:sz w:val="15"/>
              </w:rPr>
              <w:t>source replaced by a random source of a non-neighbouring domain</w:t>
            </w:r>
          </w:p>
        </w:tc>
        <w:tc>
          <w:tcPr>
            <w:tcW w:type="dxa" w:w="1994"/>
          </w:tcPr>
          <w:p>
            <w:pPr>
              <w:spacing w:after="0"/>
            </w:pPr>
            <w:r/>
            <w:r>
              <w:rPr>
                <w:sz w:val="15"/>
              </w:rPr>
              <w:t>88</w:t>
            </w:r>
          </w:p>
        </w:tc>
        <w:tc>
          <w:tcPr>
            <w:tcW w:type="dxa" w:w="1994"/>
          </w:tcPr>
          <w:p>
            <w:pPr>
              <w:spacing w:after="0"/>
            </w:pPr>
            <w:r/>
            <w:r>
              <w:rPr>
                <w:sz w:val="15"/>
              </w:rPr>
              <w:t>40</w:t>
            </w:r>
          </w:p>
        </w:tc>
        <w:tc>
          <w:tcPr>
            <w:tcW w:type="dxa" w:w="1994"/>
          </w:tcPr>
          <w:p>
            <w:pPr>
              <w:spacing w:after="0"/>
            </w:pPr>
            <w:r/>
            <w:r>
              <w:rPr>
                <w:sz w:val="15"/>
              </w:rPr>
              <w:t>0.455</w:t>
            </w:r>
          </w:p>
        </w:tc>
      </w:tr>
    </w:tbl>
    <w:p/>
    <w:p>
      <w:r>
        <w:t xml:space="preserve">Specificity on the 303 unmutated seeds: 8 flagged (0.974). On inspection four of the eight are </w:t>
      </w:r>
      <w:r>
        <w:rPr>
          <w:b/>
        </w:rPr>
        <w:t>true defects</w:t>
      </w:r>
    </w:p>
    <w:p>
      <w:r>
        <w:t xml:space="preserve">(adult haemoglobin &lt; 12 g/dL applied with a neonate population in the iron-deficiency and haemolytic </w:t>
      </w:r>
      <w:r>
        <w:rPr>
          <w:rFonts w:ascii="Consolas" w:hAnsi="Consolas"/>
        </w:rPr>
        <w:t>_cur13</w:t>
      </w:r>
    </w:p>
    <w:p>
      <w:r>
        <w:t>rules), one is the acknowledged fixed-threshold AKI surrogate, three are SRC false positives (HHS and lactic</w:t>
      </w:r>
    </w:p>
    <w:p>
      <w:r>
        <w:t>acidosis cited to diabetes/critical-care sources). Interpretation: static detectors are strong for what they were</w:t>
      </w:r>
    </w:p>
    <w:p>
      <w:r>
        <w:t>built for (structural and unit defects, M4/M6/M7) and essentially blind to plausible wrong thresholds (M2) and to</w:t>
      </w:r>
    </w:p>
    <w:p>
      <w:r>
        <w:t>operator flips that remain within physiological range (M3). This is the limitation the paper states: *static audit</w:t>
      </w:r>
    </w:p>
    <w:p>
      <w:r>
        <w:t>is necessary, not sufficient; a plausibly wrong number passes.* A first version of M8 that drew the replacement</w:t>
      </w:r>
    </w:p>
    <w:p>
      <w:r>
        <w:t>source from the detector's own scope table was discarded as circular (recall 0.989) and replaced by the random</w:t>
      </w:r>
    </w:p>
    <w:p>
      <w:r>
        <w:t>swap reported above.</w:t>
      </w:r>
    </w:p>
    <w:p>
      <w:r>
        <w:t>Defects in rules found incidentally during calibration, re-inspected against the engine and the sources before</w:t>
      </w:r>
    </w:p>
    <w:p>
      <w:r>
        <w:t>release 15.2.0 (protocol in the repository): MCV &gt; 200 / &lt; 20 fL and total protein &gt; 16.6 / &lt; 1.5</w:t>
      </w:r>
    </w:p>
    <w:p>
      <w:r>
        <w:t>g/dL severity tiers (4 rules, retired); unit labels — ACTH thresholds numerically in pg/mL but labelled ng/mL (93</w:t>
      </w:r>
    </w:p>
    <w:p>
      <w:r>
        <w:t>rules; the feature registry's canonical ng/mL was the wrong side, corrected to pg/mL), PTH ng/mL for pg/mL values</w:t>
      </w:r>
    </w:p>
    <w:p>
      <w:r>
        <w:t>(14 rules), cortisol 60/230 ng/mL converted exactly to 6/23 µg/dL (19 rules); wrong sources — four pancreatitis</w:t>
      </w:r>
    </w:p>
    <w:p>
      <w:r>
        <w:t>rules citing a GERD guideline, ten sodium/osmolality pattern rules citing a paediatric liver entry mis-keyed as a</w:t>
      </w:r>
    </w:p>
    <w:p>
      <w:r>
        <w:t xml:space="preserve">sodium guideline. Two items first listed as defects were withdrawn on inspection: </w:t>
      </w:r>
      <w:r>
        <w:rPr>
          <w:rFonts w:ascii="Consolas" w:hAnsi="Consolas"/>
        </w:rPr>
        <w:t>rhabdomyolysis_v1</w:t>
      </w:r>
      <w:r>
        <w:t xml:space="preserve"> ("CK &gt; 0")</w:t>
      </w:r>
    </w:p>
    <w:p>
      <w:r>
        <w:t xml:space="preserve">carries a 5 × ULN context flag that the engine applies at run time (the static detector does not read </w:t>
      </w:r>
      <w:r>
        <w:rPr>
          <w:rFonts w:ascii="Consolas" w:hAnsi="Consolas"/>
        </w:rPr>
        <w:t>context</w:t>
      </w:r>
      <w:r>
        <w:t xml:space="preserve"> —</w:t>
      </w:r>
    </w:p>
    <w:p>
      <w:r>
        <w:t>an audit false positive), and the β2-microglobulin inconsistency is on a different feature id (</w:t>
      </w:r>
      <w:r>
        <w:rPr>
          <w:rFonts w:ascii="Consolas" w:hAnsi="Consolas"/>
        </w:rPr>
        <w:t>beta_2_microglobulin_tumor</w:t>
      </w:r>
      <w:r>
        <w:t xml:space="preserve">, 2 rules), left open. The four </w:t>
      </w:r>
      <w:r>
        <w:rPr>
          <w:rFonts w:ascii="Consolas" w:hAnsi="Consolas"/>
        </w:rPr>
        <w:t>_cur13</w:t>
      </w:r>
      <w:r>
        <w:t xml:space="preserve"> anaemia</w:t>
      </w:r>
    </w:p>
    <w:p>
      <w:r>
        <w:t>rules with a neonatal population were restricted to ≥ adolescent.</w:t>
      </w:r>
    </w:p>
    <w:p>
      <w:pPr>
        <w:pStyle w:val="Heading2"/>
      </w:pPr>
      <w:r>
        <w:rPr>
          <w:color w:val="303030"/>
        </w:rPr>
        <w:t>Part 3 — Application to a second LLM-authored corpus</w:t>
      </w:r>
    </w:p>
    <w:p>
      <w:r>
        <w:t xml:space="preserve">Corpus SHA-256 </w:t>
      </w:r>
      <w:r>
        <w:rPr>
          <w:rFonts w:ascii="Consolas" w:hAnsi="Consolas"/>
        </w:rPr>
        <w:t>96d423f1dd65583692d491c37a9179e738ea6cba7f4b82c1f644e4ea58e9dca6</w:t>
      </w:r>
      <w:r>
        <w:t>, 200 entities ×</w:t>
      </w:r>
    </w:p>
    <w:p>
      <w:r>
        <w:t xml:space="preserve">2 rules = 400 rules (120 infectious, 80 haematology, 60 renal, 60 endocrine, 80 other), written under a fixed prompt (reproduced at the end of this Note). </w:t>
      </w:r>
      <w:r>
        <w:rPr>
          <w:b/>
        </w:rPr>
        <w:t>Full disclosure of how the corpus was produced.</w:t>
      </w:r>
      <w:r>
        <w:t xml:space="preserve"> It was written by the same agent that wrote</w:t>
      </w:r>
    </w:p>
    <w:p>
      <w:r>
        <w:t xml:space="preserve">the detectors, from memory, in one pass, without re-opening the detector code. Three edits were made </w:t>
      </w:r>
      <w:r>
        <w:rPr>
          <w:i/>
        </w:rPr>
        <w:t>before</w:t>
      </w:r>
      <w:r>
        <w:t xml:space="preserve"> the hash was</w:t>
      </w:r>
    </w:p>
    <w:p>
      <w:r>
        <w:t>taken and before any audit run: (i) the first pass produced 188 entities with the wrong stratum counts; four</w:t>
      </w:r>
    </w:p>
    <w:p>
      <w:r>
        <w:t>endocrine/other entities were dropped and sixteen infectious/haematology/renal entities appended to reach the</w:t>
      </w:r>
    </w:p>
    <w:p>
      <w:r>
        <w:t>pre-specified strata; (ii) ten cited source identifiers that did not exist in the 15.1.0 source list were replaced</w:t>
      </w:r>
    </w:p>
    <w:p>
      <w:r>
        <w:t xml:space="preserve">by the nearest existing identifier (e.g. </w:t>
      </w:r>
      <w:r>
        <w:rPr>
          <w:rFonts w:ascii="Consolas" w:hAnsi="Consolas"/>
        </w:rPr>
        <w:t>cdc_tetanus_2024</w:t>
      </w:r>
      <w:r>
        <w:t xml:space="preserve"> → </w:t>
      </w:r>
      <w:r>
        <w:rPr>
          <w:rFonts w:ascii="Consolas" w:hAnsi="Consolas"/>
        </w:rPr>
        <w:t>idsa_guidelines</w:t>
      </w:r>
      <w:r>
        <w:t>), because the prompt required</w:t>
      </w:r>
    </w:p>
    <w:p>
      <w:r>
        <w:t>identifiers from that list; (iii) in conversion, 33 feature identifiers were mapped to their registry equivalents</w:t>
      </w:r>
    </w:p>
    <w:p>
      <w:r>
        <w:t>(alias table in the conversion script), and population was set to all age groups except for three</w:t>
      </w:r>
    </w:p>
    <w:p>
      <w:r>
        <w:t>explicitly neonatal entities, which is the default the Hemoglyph generator applied. 733 of 765 leaves (95.8 %)</w:t>
      </w:r>
    </w:p>
    <w:p>
      <w:r>
        <w:t>reference a feature in the feature registry and are therefore unit-checkable; 32 are not. This is a second</w:t>
      </w:r>
    </w:p>
    <w:p>
      <w:r>
        <w:t>LLM-authored corpus, not an independent knowledge base; it tests whether the defect classes recur under a</w:t>
      </w:r>
    </w:p>
    <w:p>
      <w:r>
        <w:t>different generation process (one pass, no templates, no post-processing), not whether a third party would</w:t>
      </w:r>
    </w:p>
    <w:p>
      <w:r>
        <w:t>produce them.</w:t>
      </w:r>
    </w:p>
    <w:p>
      <w:r>
        <w:t>Densities per 100 rules (Wilson 95 % CI), same code, same tables: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detector</w:t>
            </w:r>
          </w:p>
        </w:tc>
        <w:tc>
          <w:tcPr>
            <w:tcW w:type="dxa" w:w="2493"/>
          </w:tcPr>
          <w:p>
            <w:pPr>
              <w:spacing w:after="0"/>
            </w:pPr>
            <w:r>
              <w:rPr>
                <w:b/>
              </w:rPr>
            </w:r>
            <w:r>
              <w:rPr>
                <w:b/>
                <w:sz w:val="15"/>
              </w:rPr>
              <w:t>14.1.0 (paper registry; 8,890 non-template executable)</w:t>
            </w:r>
          </w:p>
        </w:tc>
        <w:tc>
          <w:tcPr>
            <w:tcW w:type="dxa" w:w="2493"/>
          </w:tcPr>
          <w:p>
            <w:pPr>
              <w:spacing w:after="0"/>
            </w:pPr>
            <w:r>
              <w:rPr>
                <w:b/>
              </w:rPr>
            </w:r>
            <w:r>
              <w:rPr>
                <w:b/>
                <w:sz w:val="15"/>
              </w:rPr>
              <w:t>15.1.0 (6,777)</w:t>
            </w:r>
          </w:p>
        </w:tc>
        <w:tc>
          <w:tcPr>
            <w:tcW w:type="dxa" w:w="2493"/>
          </w:tcPr>
          <w:p>
            <w:pPr>
              <w:spacing w:after="0"/>
            </w:pPr>
            <w:r>
              <w:rPr>
                <w:b/>
              </w:rPr>
            </w:r>
            <w:r>
              <w:rPr>
                <w:b/>
                <w:sz w:val="15"/>
              </w:rPr>
              <w:t>LLM corpus (400)</w:t>
            </w:r>
          </w:p>
        </w:tc>
      </w:tr>
      <w:tr>
        <w:tc>
          <w:tcPr>
            <w:tcW w:type="dxa" w:w="2493"/>
          </w:tcPr>
          <w:p>
            <w:pPr>
              <w:spacing w:after="0"/>
            </w:pPr>
            <w:r/>
            <w:r>
              <w:rPr>
                <w:sz w:val="15"/>
              </w:rPr>
              <w:t>R2a single ubiquitous analyte</w:t>
            </w:r>
          </w:p>
        </w:tc>
        <w:tc>
          <w:tcPr>
            <w:tcW w:type="dxa" w:w="2493"/>
          </w:tcPr>
          <w:p>
            <w:pPr>
              <w:spacing w:after="0"/>
            </w:pPr>
            <w:r/>
            <w:r>
              <w:rPr>
                <w:sz w:val="15"/>
              </w:rPr>
              <w:t>11.47 (10.83–12.15)</w:t>
            </w:r>
          </w:p>
        </w:tc>
        <w:tc>
          <w:tcPr>
            <w:tcW w:type="dxa" w:w="2493"/>
          </w:tcPr>
          <w:p>
            <w:pPr>
              <w:spacing w:after="0"/>
            </w:pPr>
            <w:r/>
            <w:r>
              <w:rPr>
                <w:sz w:val="15"/>
              </w:rPr>
              <w:t>0.01 (0.00–0.08)</w:t>
            </w:r>
          </w:p>
        </w:tc>
        <w:tc>
          <w:tcPr>
            <w:tcW w:type="dxa" w:w="2493"/>
          </w:tcPr>
          <w:p>
            <w:pPr>
              <w:spacing w:after="0"/>
            </w:pPr>
            <w:r/>
            <w:r>
              <w:rPr>
                <w:sz w:val="15"/>
              </w:rPr>
              <w:t>6.00 (4.06–8.77)</w:t>
            </w:r>
          </w:p>
        </w:tc>
      </w:tr>
      <w:tr>
        <w:tc>
          <w:tcPr>
            <w:tcW w:type="dxa" w:w="2493"/>
          </w:tcPr>
          <w:p>
            <w:pPr>
              <w:spacing w:after="0"/>
            </w:pPr>
            <w:r/>
            <w:r>
              <w:rPr>
                <w:sz w:val="15"/>
              </w:rPr>
              <w:t>R7 arithmetic tier</w:t>
            </w:r>
          </w:p>
        </w:tc>
        <w:tc>
          <w:tcPr>
            <w:tcW w:type="dxa" w:w="2493"/>
          </w:tcPr>
          <w:p>
            <w:pPr>
              <w:spacing w:after="0"/>
            </w:pPr>
            <w:r/>
            <w:r>
              <w:rPr>
                <w:sz w:val="15"/>
              </w:rPr>
              <w:t>14.56 (13.84–15.30)</w:t>
            </w:r>
          </w:p>
        </w:tc>
        <w:tc>
          <w:tcPr>
            <w:tcW w:type="dxa" w:w="2493"/>
          </w:tcPr>
          <w:p>
            <w:pPr>
              <w:spacing w:after="0"/>
            </w:pPr>
            <w:r/>
            <w:r>
              <w:rPr>
                <w:sz w:val="15"/>
              </w:rPr>
              <w:t>0 (0–0.06)</w:t>
            </w:r>
          </w:p>
        </w:tc>
        <w:tc>
          <w:tcPr>
            <w:tcW w:type="dxa" w:w="2493"/>
          </w:tcPr>
          <w:p>
            <w:pPr>
              <w:spacing w:after="0"/>
            </w:pPr>
            <w:r/>
            <w:r>
              <w:rPr>
                <w:sz w:val="15"/>
              </w:rPr>
              <w:t>0.50 (0.14–1.80)</w:t>
            </w:r>
          </w:p>
        </w:tc>
      </w:tr>
      <w:tr>
        <w:tc>
          <w:tcPr>
            <w:tcW w:type="dxa" w:w="2493"/>
          </w:tcPr>
          <w:p>
            <w:pPr>
              <w:spacing w:after="0"/>
            </w:pPr>
            <w:r/>
            <w:r>
              <w:rPr>
                <w:sz w:val="15"/>
              </w:rPr>
              <w:t>R9 impossible/flat tier</w:t>
            </w:r>
          </w:p>
        </w:tc>
        <w:tc>
          <w:tcPr>
            <w:tcW w:type="dxa" w:w="2493"/>
          </w:tcPr>
          <w:p>
            <w:pPr>
              <w:spacing w:after="0"/>
            </w:pPr>
            <w:r/>
            <w:r>
              <w:rPr>
                <w:sz w:val="15"/>
              </w:rPr>
              <w:t>0.12 (0.07–0.22)</w:t>
            </w:r>
          </w:p>
        </w:tc>
        <w:tc>
          <w:tcPr>
            <w:tcW w:type="dxa" w:w="2493"/>
          </w:tcPr>
          <w:p>
            <w:pPr>
              <w:spacing w:after="0"/>
            </w:pPr>
            <w:r/>
            <w:r>
              <w:rPr>
                <w:sz w:val="15"/>
              </w:rPr>
              <w:t>0.09 (0.04–0.19)</w:t>
            </w:r>
          </w:p>
        </w:tc>
        <w:tc>
          <w:tcPr>
            <w:tcW w:type="dxa" w:w="2493"/>
          </w:tcPr>
          <w:p>
            <w:pPr>
              <w:spacing w:after="0"/>
            </w:pPr>
            <w:r/>
            <w:r>
              <w:rPr>
                <w:sz w:val="15"/>
              </w:rPr>
              <w:t>0 (0–0.95)</w:t>
            </w:r>
          </w:p>
        </w:tc>
      </w:tr>
      <w:tr>
        <w:tc>
          <w:tcPr>
            <w:tcW w:type="dxa" w:w="2493"/>
          </w:tcPr>
          <w:p>
            <w:pPr>
              <w:spacing w:after="0"/>
            </w:pPr>
            <w:r/>
            <w:r>
              <w:rPr>
                <w:sz w:val="15"/>
              </w:rPr>
              <w:t>DIR direction contradiction</w:t>
            </w:r>
          </w:p>
        </w:tc>
        <w:tc>
          <w:tcPr>
            <w:tcW w:type="dxa" w:w="2493"/>
          </w:tcPr>
          <w:p>
            <w:pPr>
              <w:spacing w:after="0"/>
            </w:pPr>
            <w:r/>
            <w:r>
              <w:rPr>
                <w:sz w:val="15"/>
              </w:rPr>
              <w:t>0.09 (0.05–0.18)</w:t>
            </w:r>
          </w:p>
        </w:tc>
        <w:tc>
          <w:tcPr>
            <w:tcW w:type="dxa" w:w="2493"/>
          </w:tcPr>
          <w:p>
            <w:pPr>
              <w:spacing w:after="0"/>
            </w:pPr>
            <w:r/>
            <w:r>
              <w:rPr>
                <w:sz w:val="15"/>
              </w:rPr>
              <w:t>0.01 (0.00–0.08)</w:t>
            </w:r>
          </w:p>
        </w:tc>
        <w:tc>
          <w:tcPr>
            <w:tcW w:type="dxa" w:w="2493"/>
          </w:tcPr>
          <w:p>
            <w:pPr>
              <w:spacing w:after="0"/>
            </w:pPr>
            <w:r/>
            <w:r>
              <w:rPr>
                <w:sz w:val="15"/>
              </w:rPr>
              <w:t>0 (0–0.95)</w:t>
            </w:r>
          </w:p>
        </w:tc>
      </w:tr>
      <w:tr>
        <w:tc>
          <w:tcPr>
            <w:tcW w:type="dxa" w:w="2493"/>
          </w:tcPr>
          <w:p>
            <w:pPr>
              <w:spacing w:after="0"/>
            </w:pPr>
            <w:r/>
            <w:r>
              <w:rPr>
                <w:sz w:val="15"/>
              </w:rPr>
              <w:t>UNIT</w:t>
            </w:r>
          </w:p>
        </w:tc>
        <w:tc>
          <w:tcPr>
            <w:tcW w:type="dxa" w:w="2493"/>
          </w:tcPr>
          <w:p>
            <w:pPr>
              <w:spacing w:after="0"/>
            </w:pPr>
            <w:r/>
            <w:r>
              <w:rPr>
                <w:sz w:val="15"/>
              </w:rPr>
              <w:t>0.22 (0.15–0.35)</w:t>
            </w:r>
          </w:p>
        </w:tc>
        <w:tc>
          <w:tcPr>
            <w:tcW w:type="dxa" w:w="2493"/>
          </w:tcPr>
          <w:p>
            <w:pPr>
              <w:spacing w:after="0"/>
            </w:pPr>
            <w:r/>
            <w:r>
              <w:rPr>
                <w:sz w:val="15"/>
              </w:rPr>
              <w:t>0.24 (0.15–0.38)</w:t>
            </w:r>
          </w:p>
        </w:tc>
        <w:tc>
          <w:tcPr>
            <w:tcW w:type="dxa" w:w="2493"/>
          </w:tcPr>
          <w:p>
            <w:pPr>
              <w:spacing w:after="0"/>
            </w:pPr>
            <w:r/>
            <w:r>
              <w:rPr>
                <w:sz w:val="15"/>
              </w:rPr>
              <w:t>1.50 (0.69–3.23)</w:t>
            </w:r>
          </w:p>
        </w:tc>
      </w:tr>
      <w:tr>
        <w:tc>
          <w:tcPr>
            <w:tcW w:type="dxa" w:w="2493"/>
          </w:tcPr>
          <w:p>
            <w:pPr>
              <w:spacing w:after="0"/>
            </w:pPr>
            <w:r/>
            <w:r>
              <w:rPr>
                <w:sz w:val="15"/>
              </w:rPr>
              <w:t>POP adult threshold on neonates</w:t>
            </w:r>
          </w:p>
        </w:tc>
        <w:tc>
          <w:tcPr>
            <w:tcW w:type="dxa" w:w="2493"/>
          </w:tcPr>
          <w:p>
            <w:pPr>
              <w:spacing w:after="0"/>
            </w:pPr>
            <w:r/>
            <w:r>
              <w:rPr>
                <w:sz w:val="15"/>
              </w:rPr>
              <w:t>0.15 (0.09–0.25)</w:t>
            </w:r>
          </w:p>
        </w:tc>
        <w:tc>
          <w:tcPr>
            <w:tcW w:type="dxa" w:w="2493"/>
          </w:tcPr>
          <w:p>
            <w:pPr>
              <w:spacing w:after="0"/>
            </w:pPr>
            <w:r/>
            <w:r>
              <w:rPr>
                <w:sz w:val="15"/>
              </w:rPr>
              <w:t>0.15 (0.08–0.27)</w:t>
            </w:r>
          </w:p>
        </w:tc>
        <w:tc>
          <w:tcPr>
            <w:tcW w:type="dxa" w:w="2493"/>
          </w:tcPr>
          <w:p>
            <w:pPr>
              <w:spacing w:after="0"/>
            </w:pPr>
            <w:r/>
            <w:r>
              <w:rPr>
                <w:sz w:val="15"/>
              </w:rPr>
              <w:t>3.25 (1.91–5.48)</w:t>
            </w:r>
          </w:p>
        </w:tc>
      </w:tr>
      <w:tr>
        <w:tc>
          <w:tcPr>
            <w:tcW w:type="dxa" w:w="2493"/>
          </w:tcPr>
          <w:p>
            <w:pPr>
              <w:spacing w:after="0"/>
            </w:pPr>
            <w:r/>
            <w:r>
              <w:rPr>
                <w:sz w:val="15"/>
              </w:rPr>
              <w:t>SRC source-scope mismatch</w:t>
            </w:r>
          </w:p>
        </w:tc>
        <w:tc>
          <w:tcPr>
            <w:tcW w:type="dxa" w:w="2493"/>
          </w:tcPr>
          <w:p>
            <w:pPr>
              <w:spacing w:after="0"/>
            </w:pPr>
            <w:r/>
            <w:r>
              <w:rPr>
                <w:sz w:val="15"/>
              </w:rPr>
              <w:t>0.85 (0.68–1.07)</w:t>
            </w:r>
          </w:p>
        </w:tc>
        <w:tc>
          <w:tcPr>
            <w:tcW w:type="dxa" w:w="2493"/>
          </w:tcPr>
          <w:p>
            <w:pPr>
              <w:spacing w:after="0"/>
            </w:pPr>
            <w:r/>
            <w:r>
              <w:rPr>
                <w:sz w:val="15"/>
              </w:rPr>
              <w:t>0.80 (0.61–1.04)</w:t>
            </w:r>
          </w:p>
        </w:tc>
        <w:tc>
          <w:tcPr>
            <w:tcW w:type="dxa" w:w="2493"/>
          </w:tcPr>
          <w:p>
            <w:pPr>
              <w:spacing w:after="0"/>
            </w:pPr>
            <w:r/>
            <w:r>
              <w:rPr>
                <w:sz w:val="15"/>
              </w:rPr>
              <w:t>1.50 (0.69–3.23)</w:t>
            </w:r>
          </w:p>
        </w:tc>
      </w:tr>
      <w:tr>
        <w:tc>
          <w:tcPr>
            <w:tcW w:type="dxa" w:w="2493"/>
          </w:tcPr>
          <w:p>
            <w:pPr>
              <w:spacing w:after="0"/>
            </w:pPr>
            <w:r/>
            <w:r>
              <w:rPr>
                <w:b/>
                <w:sz w:val="15"/>
              </w:rPr>
              <w:t>any</w:t>
            </w:r>
          </w:p>
        </w:tc>
        <w:tc>
          <w:tcPr>
            <w:tcW w:type="dxa" w:w="2493"/>
          </w:tcPr>
          <w:p>
            <w:pPr>
              <w:spacing w:after="0"/>
            </w:pPr>
            <w:r/>
            <w:r>
              <w:rPr>
                <w:b/>
                <w:sz w:val="15"/>
              </w:rPr>
              <w:t>23.62 (22.75–24.52)</w:t>
            </w:r>
          </w:p>
        </w:tc>
        <w:tc>
          <w:tcPr>
            <w:tcW w:type="dxa" w:w="2493"/>
          </w:tcPr>
          <w:p>
            <w:pPr>
              <w:spacing w:after="0"/>
            </w:pPr>
            <w:r/>
            <w:r>
              <w:rPr>
                <w:b/>
                <w:sz w:val="15"/>
              </w:rPr>
              <w:t>1.28 (1.04–1.58)</w:t>
            </w:r>
          </w:p>
        </w:tc>
        <w:tc>
          <w:tcPr>
            <w:tcW w:type="dxa" w:w="2493"/>
          </w:tcPr>
          <w:p>
            <w:pPr>
              <w:spacing w:after="0"/>
            </w:pPr>
            <w:r/>
            <w:r>
              <w:rPr>
                <w:b/>
                <w:sz w:val="15"/>
              </w:rPr>
              <w:t>12.75 (9.83–16.38)</w:t>
            </w:r>
          </w:p>
        </w:tc>
      </w:tr>
    </w:tbl>
    <w:p/>
    <w:p>
      <w:r>
        <w:t>The 14.1.0 density is dominated by the generated R2a/R7 rules that release 15 retired; the 15.1.0 density is the</w:t>
      </w:r>
    </w:p>
    <w:p>
      <w:r>
        <w:t>calibration set (see above). Adjudication of the 51 LLM-corpus flags by the author (the same single rater as</w:t>
      </w:r>
    </w:p>
    <w:p>
      <w:r>
        <w:t>elsewhere; verdicts are in the repository):</w:t>
      </w:r>
    </w:p>
    <w:p>
      <w:pPr>
        <w:pStyle w:val="ListBullet"/>
      </w:pPr>
      <w:r>
        <w:t>R2a (24): all are genuinely single-analyte screens on a ubiquitous analyte (CRP for cellulitis, creatinine for</w:t>
      </w:r>
    </w:p>
    <w:p>
      <w:r>
        <w:t xml:space="preserve">  contrast nephropathy, lactate for septic shock, TSH for hypothyroidism, …). One of them has an exact Hemoglyph</w:t>
      </w:r>
    </w:p>
    <w:p>
      <w:r>
        <w:t xml:space="preserve">  counterpart that the named-rule exemption list covers (lipase ≥ 3 × ULN for pancreatitis, Atlanta 2012); applying</w:t>
      </w:r>
    </w:p>
    <w:p>
      <w:r>
        <w:t xml:space="preserve">  the same exemption gives 23 (5.75/100). Whether a single-analyte screen is a </w:t>
      </w:r>
      <w:r>
        <w:rPr>
          <w:i/>
        </w:rPr>
        <w:t>defect</w:t>
      </w:r>
      <w:r>
        <w:t xml:space="preserve"> is a design position, the</w:t>
      </w:r>
    </w:p>
    <w:p>
      <w:r>
        <w:t xml:space="preserve">  same one the paper takes for Hemoglyph; the number is comparable, not a verdict on the author.</w:t>
      </w:r>
    </w:p>
    <w:p>
      <w:pPr>
        <w:pStyle w:val="ListBullet"/>
      </w:pPr>
      <w:r>
        <w:t>POP (13): all are haemoglobin &lt; 12 g/dL with an all-ages population. The population is the converter's default,</w:t>
      </w:r>
    </w:p>
    <w:p>
      <w:r>
        <w:t xml:space="preserve">  not something the prompt asked for; it is reported because it is exactly the defect found in Hemoglyph's own</w:t>
      </w:r>
    </w:p>
    <w:p>
      <w:r>
        <w:t xml:space="preserve">  curated rules in Part 1 and arises from the same cause (no population gate written at generation time).</w:t>
      </w:r>
    </w:p>
    <w:p>
      <w:r>
        <w:t xml:space="preserve">  Excluding POP, the density is 38/400 = 9.50/100 (7.00–12.77).</w:t>
      </w:r>
    </w:p>
    <w:p>
      <w:pPr>
        <w:pStyle w:val="ListBullet"/>
      </w:pPr>
      <w:r>
        <w:t>UNIT (6): methylmalonic acid µmol/L, ACTH pg/mL, plasma metanephrines nmol/L, 17-OH-progesterone ng/dL — all</w:t>
      </w:r>
    </w:p>
    <w:p>
      <w:r>
        <w:t xml:space="preserve">  conventional reporting units; the flags arise because the feature registry lists a single accepted unit. They</w:t>
      </w:r>
    </w:p>
    <w:p>
      <w:r>
        <w:t xml:space="preserve">  are unit </w:t>
      </w:r>
      <w:r>
        <w:rPr>
          <w:i/>
        </w:rPr>
        <w:t>inconsistencies between corpus and registry</w:t>
      </w:r>
      <w:r>
        <w:t>, side undetermined, the same class recorded for PTH/ACTH</w:t>
      </w:r>
    </w:p>
    <w:p>
      <w:r>
        <w:t xml:space="preserve">  in Part 1; they are not corpus errors.</w:t>
      </w:r>
    </w:p>
    <w:p>
      <w:pPr>
        <w:pStyle w:val="ListBullet"/>
      </w:pPr>
      <w:r>
        <w:t>SRC (6): hepatorenal syndrome → EASL cirrhosis guideline, tumour lysis → NCCN ALL, post-streptococcal</w:t>
      </w:r>
    </w:p>
    <w:p>
      <w:r>
        <w:t xml:space="preserve">  glomerulonephritis → KDIGO glomerular diseases. All three attributions are clinically correct; the flags are</w:t>
      </w:r>
    </w:p>
    <w:p>
      <w:r>
        <w:t xml:space="preserve">  false positives of the domain-scope heuristic (the entity's domain label, not the source, is the odd one out).</w:t>
      </w:r>
    </w:p>
    <w:p>
      <w:pPr>
        <w:pStyle w:val="ListBullet"/>
      </w:pPr>
      <w:r>
        <w:t>R7 (2): folate 2 vs 4 ng/mL and 25-OH-vitamin D 10 vs 20 ng/mL. Both pairs are the conventional thresholds;</w:t>
      </w:r>
    </w:p>
    <w:p>
      <w:r>
        <w:t xml:space="preserve">  arithmetic coincidence, false positives.</w:t>
      </w:r>
    </w:p>
    <w:p>
      <w:r>
        <w:t>Net: of 51 flags, 24 (R2a) + 13 (POP) are real under the paper's definitions, 6 (UNIT) are undetermined, and 8</w:t>
      </w:r>
    </w:p>
    <w:p>
      <w:r>
        <w:t>(SRC, R7) are detector false positives — a positive predictive value of 0.73–0.84 on this corpus, consistent with</w:t>
      </w:r>
    </w:p>
    <w:p>
      <w:r>
        <w:t>the 0.974 specificity measured in Part 1 on unmutated seeds (which are a much easier negative set).</w:t>
      </w:r>
    </w:p>
    <w:p>
      <w:pPr>
        <w:pStyle w:val="Heading2"/>
      </w:pPr>
      <w:r>
        <w:rPr>
          <w:color w:val="303030"/>
        </w:rPr>
        <w:t>What the three parts say together</w:t>
      </w:r>
    </w:p>
    <w:p>
      <w:r>
        <w:t>1. The bulk of the registry outside the curated/quote-verified set is not load-bearing at the primary cut-offs</w:t>
      </w:r>
    </w:p>
    <w:p>
      <w:r>
        <w:t xml:space="preserve">   (Part 2); the activity-defined active core overlaps that set only partly (94/364), which the ledger (Note 18) makes explicit.</w:t>
      </w:r>
    </w:p>
    <w:p>
      <w:r>
        <w:t>2. The static detectors catch the structural defect classes they were designed for with recall 0.74–1.00 and are</w:t>
      </w:r>
    </w:p>
    <w:p>
      <w:r>
        <w:t xml:space="preserve">   blind to plausible wrong numbers (recall ≤ 0.13) — the honest ceiling of static verification (Part 1).</w:t>
      </w:r>
    </w:p>
    <w:p>
      <w:r>
        <w:t>3. A second LLM-authored corpus written without templates shows the same two dominant defect classes</w:t>
      </w:r>
    </w:p>
    <w:p>
      <w:r>
        <w:t xml:space="preserve">   (single-analyte screens and missing population gates) at 6.0 and 3.3 per 100, and the detector false-positive</w:t>
      </w:r>
    </w:p>
    <w:p>
      <w:r>
        <w:t xml:space="preserve">   pattern recurs (Part 3). The defect classes are properties of LLM-drafted rules, not of Hemoglyph's template</w:t>
      </w:r>
    </w:p>
    <w:p>
      <w:r>
        <w:t xml:space="preserve">   generator; the fix (population gates, multi-analyte patterns, section-level locators) is generic.</w:t>
      </w:r>
    </w:p>
    <w:p>
      <w:pPr>
        <w:pStyle w:val="Heading2"/>
      </w:pPr>
      <w:r>
        <w:rPr>
          <w:color w:val="303030"/>
        </w:rPr>
        <w:t>Release 15.2.0 (2026-10-28, after this study)</w:t>
      </w:r>
    </w:p>
    <w:p>
      <w:r>
        <w:t>The defects above were corrected under a written protocol: 4 tiers</w:t>
      </w:r>
    </w:p>
    <w:p>
      <w:r>
        <w:t>retired, 4 population gates, 126 unit labels (ACTH 93, PTH 14, cortisol 19), 14 source corrections; no threshold</w:t>
      </w:r>
    </w:p>
    <w:p>
      <w:r>
        <w:t>tuned. Frozen detectors re-run on 15.2.0: 68 flagged of 6,773 (1.00 per 100; was 1.28). Non-regression gate:</w:t>
      </w:r>
    </w:p>
    <w:p>
      <w:r>
        <w:t>pytest 709/9; eICU every count identical to 15.1.0; NHANES all AUROCs identical; healthy 0/51 — as expected, since</w:t>
      </w:r>
    </w:p>
    <w:p>
      <w:r>
        <w:t>none of the touched analytes fires on these panels. The paper's frozen results are unaffected.</w:t>
      </w:r>
    </w:p>
    <w:p>
      <w:pPr>
        <w:pStyle w:val="Heading2"/>
      </w:pPr>
      <w:r>
        <w:rPr>
          <w:color w:val="303030"/>
        </w:rPr>
        <w:t>Fixed generation prompt for the second corpus</w:t>
      </w:r>
    </w:p>
    <w:p>
      <w:pPr>
        <w:spacing w:after="0"/>
      </w:pPr>
      <w:r>
        <w:rPr>
          <w:rFonts w:ascii="Consolas" w:hAnsi="Consolas"/>
          <w:sz w:val="16"/>
        </w:rPr>
        <w:t>PROMPT (fixed, used verbatim for the Part 3 corpus; written 2026-10-28)</w:t>
      </w:r>
    </w:p>
    <w:p>
      <w:pPr>
        <w:spacing w:after="0"/>
      </w:pPr>
      <w:r>
        <w:rPr>
          <w:rFonts w:ascii="Consolas" w:hAnsi="Consolas"/>
          <w:sz w:val="16"/>
        </w:rPr>
      </w:r>
    </w:p>
    <w:p>
      <w:pPr>
        <w:spacing w:after="0"/>
      </w:pPr>
      <w:r>
        <w:rPr>
          <w:rFonts w:ascii="Consolas" w:hAnsi="Consolas"/>
          <w:sz w:val="16"/>
        </w:rPr>
        <w:t>You are a clinical knowledge engineer. Produce an executable laboratory-interpretation rule set for 200 clinical</w:t>
      </w:r>
    </w:p>
    <w:p>
      <w:pPr>
        <w:spacing w:after="0"/>
      </w:pPr>
      <w:r>
        <w:rPr>
          <w:rFonts w:ascii="Consolas" w:hAnsi="Consolas"/>
          <w:sz w:val="16"/>
        </w:rPr>
        <w:t>entities in the following strata: 60 infectious, 40 haematological, 30 renal, 30 endocrine/metabolic, 40 other</w:t>
      </w:r>
    </w:p>
    <w:p>
      <w:pPr>
        <w:spacing w:after="0"/>
      </w:pPr>
      <w:r>
        <w:rPr>
          <w:rFonts w:ascii="Consolas" w:hAnsi="Consolas"/>
          <w:sz w:val="16"/>
        </w:rPr>
        <w:t>(hepatic, cardiac, rheumatological, toxicological, obstetric, oncological). For every entity write exactly two</w:t>
      </w:r>
    </w:p>
    <w:p>
      <w:pPr>
        <w:spacing w:after="0"/>
      </w:pPr>
      <w:r>
        <w:rPr>
          <w:rFonts w:ascii="Consolas" w:hAnsi="Consolas"/>
          <w:sz w:val="16"/>
        </w:rPr>
        <w:t>rules: one "screening" rule (the laboratory pattern that should raise the entity in a differential) and one</w:t>
      </w:r>
    </w:p>
    <w:p>
      <w:pPr>
        <w:spacing w:after="0"/>
      </w:pPr>
      <w:r>
        <w:rPr>
          <w:rFonts w:ascii="Consolas" w:hAnsi="Consolas"/>
          <w:sz w:val="16"/>
        </w:rPr>
        <w:t>"diagnostic_criterion" or "staging_severity" rule (a stricter or severity threshold). Use only quantitative</w:t>
      </w:r>
    </w:p>
    <w:p>
      <w:pPr>
        <w:spacing w:after="0"/>
      </w:pPr>
      <w:r>
        <w:rPr>
          <w:rFonts w:ascii="Consolas" w:hAnsi="Consolas"/>
          <w:sz w:val="16"/>
        </w:rPr>
        <w:t>laboratory analytes, with the threshold, operator and unit you would use in practice, and cite one guideline</w:t>
      </w:r>
    </w:p>
    <w:p>
      <w:pPr>
        <w:spacing w:after="0"/>
      </w:pPr>
      <w:r>
        <w:rPr>
          <w:rFonts w:ascii="Consolas" w:hAnsi="Consolas"/>
          <w:sz w:val="16"/>
        </w:rPr>
        <w:t>source identifier from the supplied source list per rule. Output one rule per line as</w:t>
      </w:r>
    </w:p>
    <w:p>
      <w:pPr>
        <w:spacing w:after="0"/>
      </w:pPr>
      <w:r>
        <w:rPr>
          <w:rFonts w:ascii="Consolas" w:hAnsi="Consolas"/>
          <w:sz w:val="16"/>
        </w:rPr>
        <w:t>entity_id | display name | domain | entity_kind | rule_type | expression | source_id</w:t>
      </w:r>
    </w:p>
    <w:p>
      <w:pPr>
        <w:spacing w:after="0"/>
      </w:pPr>
      <w:r>
        <w:rPr>
          <w:rFonts w:ascii="Consolas" w:hAnsi="Consolas"/>
          <w:sz w:val="16"/>
        </w:rPr>
        <w:t>where expression is either "feature op value unit" or "all: f1 op v1 u1; f2 op v2 u2" / "any: ...".</w:t>
      </w:r>
    </w:p>
    <w:p>
      <w:pPr>
        <w:spacing w:after="0"/>
      </w:pPr>
      <w:r>
        <w:rPr>
          <w:rFonts w:ascii="Consolas" w:hAnsi="Consolas"/>
          <w:sz w:val="16"/>
        </w:rPr>
        <w:t>Write the thresholds from your own knowledge; do not look anything up; do not add commentary.</w:t>
      </w:r>
    </w:p>
    <w:p>
      <w:pPr>
        <w:pStyle w:val="Heading1"/>
      </w:pPr>
      <w:r>
        <w:rPr>
          <w:color w:val="000000"/>
        </w:rPr>
        <w:t>Supplementary Note 18 — Per-rule verification ledger (registry 15.2.0; built 2026-10-28 from the frozen artefacts of Notes 8, 13, 15 and 16, the static detectors and the property tests; nothing re-measured)</w:t>
      </w:r>
    </w:p>
    <w:p>
      <w:r>
        <w:t xml:space="preserve">Scope and construction are defined by </w:t>
      </w:r>
      <w:r>
        <w:rPr>
          <w:rFonts w:ascii="Consolas" w:hAnsi="Consolas"/>
        </w:rPr>
        <w:t>eval/verification_ledger/build_ledger.py</w:t>
      </w:r>
      <w:r>
        <w:t xml:space="preserve">; </w:t>
      </w:r>
      <w:r>
        <w:rPr>
          <w:rFonts w:ascii="Consolas" w:hAnsi="Consolas"/>
        </w:rPr>
        <w:t>tests/test_verification_ledger.py</w:t>
      </w:r>
      <w:r>
        <w:t xml:space="preserve"> asserts that every count below reconciles with the Notes it was copied from. The ledger is a join of existing verdicts, not a new audit: a </w:t>
      </w:r>
      <w:r>
        <w:rPr>
          <w:rFonts w:ascii="Consolas" w:hAnsi="Consolas"/>
        </w:rPr>
        <w:t>quote_verified</w:t>
      </w:r>
      <w:r>
        <w:t xml:space="preserve"> label is single-rater transcription concordance, </w:t>
      </w:r>
      <w:r>
        <w:rPr>
          <w:rFonts w:ascii="Consolas" w:hAnsi="Consolas"/>
        </w:rPr>
        <w:t>flagged_open</w:t>
      </w:r>
      <w:r>
        <w:t xml:space="preserve"> is a calibrated-detector candidate, and </w:t>
      </w:r>
      <w:r>
        <w:rPr>
          <w:rFonts w:ascii="Consolas" w:hAnsi="Consolas"/>
        </w:rPr>
        <w:t>source_reachable_unverified</w:t>
      </w:r>
      <w:r>
        <w:t xml:space="preserve"> means exactly that nobody has read the source against the rule.</w:t>
      </w:r>
    </w:p>
    <w:p>
      <w:r>
        <w:t>Rows: 605 rules = union of the 285 curated rules of 14.1.0 (272 anchors + 13 demoted), the 364-rule active core and the 335-rule CORE arm.</w:t>
      </w:r>
    </w:p>
    <w:p>
      <w:pPr>
        <w:pStyle w:val="Heading2"/>
      </w:pPr>
      <w:r>
        <w:rPr>
          <w:color w:val="303030"/>
        </w:rPr>
        <w:t>Status precedence (first matching label wins)</w:t>
      </w:r>
    </w:p>
    <w:p>
      <w:r>
        <w:t xml:space="preserve">1. </w:t>
      </w:r>
      <w:r>
        <w:rPr>
          <w:rFonts w:ascii="Consolas" w:hAnsi="Consolas"/>
        </w:rPr>
        <w:t>retired</w:t>
      </w:r>
      <w:r>
        <w:t xml:space="preserve"> — non-executable in 15.2.0 with a </w:t>
      </w:r>
      <w:r>
        <w:rPr>
          <w:rFonts w:ascii="Consolas" w:hAnsi="Consolas"/>
        </w:rPr>
        <w:t>retired_*</w:t>
      </w:r>
      <w:r>
        <w:t xml:space="preserve"> status (15.0.0/15.1.0 patches under written protocol).</w:t>
      </w:r>
    </w:p>
    <w:p>
      <w:r>
        <w:t xml:space="preserve">2. </w:t>
      </w:r>
      <w:r>
        <w:rPr>
          <w:rFonts w:ascii="Consolas" w:hAnsi="Consolas"/>
        </w:rPr>
        <w:t>discordant_open</w:t>
      </w:r>
      <w:r>
        <w:t xml:space="preserve"> — a frozen-sample verdict of DISCORDANT and no change to the rule since (status unchanged, no patch touched it).</w:t>
      </w:r>
    </w:p>
    <w:p>
      <w:r>
        <w:t xml:space="preserve">3. </w:t>
      </w:r>
      <w:r>
        <w:rPr>
          <w:rFonts w:ascii="Consolas" w:hAnsi="Consolas"/>
        </w:rPr>
        <w:t>discordant_corrected</w:t>
      </w:r>
      <w:r>
        <w:t xml:space="preserve"> — DISCORDANT verdict, and a later release patch (under written protocol) touched the rule; Note 8 verdicts (2026-10-26) precede 15.0.0, Note 15 verdicts (2026-10-28) precede only 15.2.0.</w:t>
      </w:r>
    </w:p>
    <w:p>
      <w:r>
        <w:t xml:space="preserve">4. </w:t>
      </w:r>
      <w:r>
        <w:rPr>
          <w:rFonts w:ascii="Consolas" w:hAnsi="Consolas"/>
        </w:rPr>
        <w:t>quote_verified</w:t>
      </w:r>
      <w:r>
        <w:t xml:space="preserve"> — the registry carries a verbatim source quote for the rule (15.0.0 R3) or a frozen-sample verdict of CONCORDANT with quote.</w:t>
      </w:r>
    </w:p>
    <w:p>
      <w:r>
        <w:t xml:space="preserve">5. </w:t>
      </w:r>
      <w:r>
        <w:rPr>
          <w:rFonts w:ascii="Consolas" w:hAnsi="Consolas"/>
        </w:rPr>
        <w:t>flagged_open</w:t>
      </w:r>
      <w:r>
        <w:t xml:space="preserve"> — at least one static-detector flag on 15.2.0 (calibrated detectors; a flag is a candidate defect, not a verdict).</w:t>
      </w:r>
    </w:p>
    <w:p>
      <w:r>
        <w:t xml:space="preserve">6. </w:t>
      </w:r>
      <w:r>
        <w:rPr>
          <w:rFonts w:ascii="Consolas" w:hAnsi="Consolas"/>
        </w:rPr>
        <w:t>source_reachable_unverified</w:t>
      </w:r>
      <w:r>
        <w:t xml:space="preserve"> — first source resolves to a DOI or a specific document page, but no one has checked the rule against it.</w:t>
      </w:r>
    </w:p>
    <w:p>
      <w:r>
        <w:t xml:space="preserve">7. </w:t>
      </w:r>
      <w:r>
        <w:rPr>
          <w:rFonts w:ascii="Consolas" w:hAnsi="Consolas"/>
        </w:rPr>
        <w:t>unresolvable</w:t>
      </w:r>
      <w:r>
        <w:t xml:space="preserve"> — first source is a generic standards page, an organisation landing page, unreachable, or absent; or the sampled verdict was UNRESOLVABLE.</w:t>
      </w:r>
    </w:p>
    <w:p>
      <w:r>
        <w:rPr>
          <w:rFonts w:ascii="Consolas" w:hAnsi="Consolas"/>
        </w:rPr>
        <w:t>quote_verified</w:t>
      </w:r>
      <w:r>
        <w:t xml:space="preserve"> means transcription concordance by a single declared AI rater; it is not clinical validation.</w:t>
      </w:r>
    </w:p>
    <w:p>
      <w:pPr>
        <w:pStyle w:val="Heading2"/>
      </w:pPr>
      <w:r>
        <w:rPr>
          <w:color w:val="303030"/>
        </w:rPr>
        <w:t>Counts</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pPr>
              <w:spacing w:after="0"/>
            </w:pPr>
            <w:r>
              <w:rPr>
                <w:b/>
              </w:rPr>
            </w:r>
            <w:r>
              <w:rPr>
                <w:b/>
                <w:sz w:val="15"/>
              </w:rPr>
              <w:t>set</w:t>
            </w:r>
          </w:p>
        </w:tc>
        <w:tc>
          <w:tcPr>
            <w:tcW w:type="dxa" w:w="1108"/>
          </w:tcPr>
          <w:p>
            <w:pPr>
              <w:spacing w:after="0"/>
            </w:pPr>
            <w:r>
              <w:rPr>
                <w:b/>
              </w:rPr>
            </w:r>
            <w:r>
              <w:rPr>
                <w:b/>
                <w:sz w:val="15"/>
              </w:rPr>
              <w:t>n</w:t>
            </w:r>
          </w:p>
        </w:tc>
        <w:tc>
          <w:tcPr>
            <w:tcW w:type="dxa" w:w="1108"/>
          </w:tcPr>
          <w:p>
            <w:pPr>
              <w:spacing w:after="0"/>
            </w:pPr>
            <w:r>
              <w:rPr>
                <w:b/>
              </w:rPr>
            </w:r>
            <w:r>
              <w:rPr>
                <w:b/>
                <w:sz w:val="15"/>
              </w:rPr>
              <w:t>retired</w:t>
            </w:r>
          </w:p>
        </w:tc>
        <w:tc>
          <w:tcPr>
            <w:tcW w:type="dxa" w:w="1108"/>
          </w:tcPr>
          <w:p>
            <w:pPr>
              <w:spacing w:after="0"/>
            </w:pPr>
            <w:r>
              <w:rPr>
                <w:b/>
              </w:rPr>
            </w:r>
            <w:r>
              <w:rPr>
                <w:b/>
                <w:sz w:val="15"/>
              </w:rPr>
              <w:t>discordant_open</w:t>
            </w:r>
          </w:p>
        </w:tc>
        <w:tc>
          <w:tcPr>
            <w:tcW w:type="dxa" w:w="1108"/>
          </w:tcPr>
          <w:p>
            <w:pPr>
              <w:spacing w:after="0"/>
            </w:pPr>
            <w:r>
              <w:rPr>
                <w:b/>
              </w:rPr>
            </w:r>
            <w:r>
              <w:rPr>
                <w:b/>
                <w:sz w:val="15"/>
              </w:rPr>
              <w:t>discordant_corrected</w:t>
            </w:r>
          </w:p>
        </w:tc>
        <w:tc>
          <w:tcPr>
            <w:tcW w:type="dxa" w:w="1108"/>
          </w:tcPr>
          <w:p>
            <w:pPr>
              <w:spacing w:after="0"/>
            </w:pPr>
            <w:r>
              <w:rPr>
                <w:b/>
              </w:rPr>
            </w:r>
            <w:r>
              <w:rPr>
                <w:b/>
                <w:sz w:val="15"/>
              </w:rPr>
              <w:t>quote_verified</w:t>
            </w:r>
          </w:p>
        </w:tc>
        <w:tc>
          <w:tcPr>
            <w:tcW w:type="dxa" w:w="1108"/>
          </w:tcPr>
          <w:p>
            <w:pPr>
              <w:spacing w:after="0"/>
            </w:pPr>
            <w:r>
              <w:rPr>
                <w:b/>
              </w:rPr>
            </w:r>
            <w:r>
              <w:rPr>
                <w:b/>
                <w:sz w:val="15"/>
              </w:rPr>
              <w:t>flagged_open</w:t>
            </w:r>
          </w:p>
        </w:tc>
        <w:tc>
          <w:tcPr>
            <w:tcW w:type="dxa" w:w="1108"/>
          </w:tcPr>
          <w:p>
            <w:pPr>
              <w:spacing w:after="0"/>
            </w:pPr>
            <w:r>
              <w:rPr>
                <w:b/>
              </w:rPr>
            </w:r>
            <w:r>
              <w:rPr>
                <w:b/>
                <w:sz w:val="15"/>
              </w:rPr>
              <w:t>source_reachable_unverified</w:t>
            </w:r>
          </w:p>
        </w:tc>
        <w:tc>
          <w:tcPr>
            <w:tcW w:type="dxa" w:w="1108"/>
          </w:tcPr>
          <w:p>
            <w:pPr>
              <w:spacing w:after="0"/>
            </w:pPr>
            <w:r>
              <w:rPr>
                <w:b/>
              </w:rPr>
            </w:r>
            <w:r>
              <w:rPr>
                <w:b/>
                <w:sz w:val="15"/>
              </w:rPr>
              <w:t>unresolvable</w:t>
            </w:r>
          </w:p>
        </w:tc>
      </w:tr>
      <w:tr>
        <w:tc>
          <w:tcPr>
            <w:tcW w:type="dxa" w:w="1108"/>
          </w:tcPr>
          <w:p>
            <w:pPr>
              <w:spacing w:after="0"/>
            </w:pPr>
            <w:r/>
            <w:r>
              <w:rPr>
                <w:sz w:val="15"/>
              </w:rPr>
              <w:t>curated anchors (272, 14.1.0)</w:t>
            </w:r>
          </w:p>
        </w:tc>
        <w:tc>
          <w:tcPr>
            <w:tcW w:type="dxa" w:w="1108"/>
          </w:tcPr>
          <w:p>
            <w:pPr>
              <w:spacing w:after="0"/>
            </w:pPr>
            <w:r/>
            <w:r>
              <w:rPr>
                <w:sz w:val="15"/>
              </w:rPr>
              <w:t>272</w:t>
            </w:r>
          </w:p>
        </w:tc>
        <w:tc>
          <w:tcPr>
            <w:tcW w:type="dxa" w:w="1108"/>
          </w:tcPr>
          <w:p>
            <w:pPr>
              <w:spacing w:after="0"/>
            </w:pPr>
            <w:r/>
            <w:r>
              <w:rPr>
                <w:sz w:val="15"/>
              </w:rPr>
              <w:t>1 (0%)</w:t>
            </w:r>
          </w:p>
        </w:tc>
        <w:tc>
          <w:tcPr>
            <w:tcW w:type="dxa" w:w="1108"/>
          </w:tcPr>
          <w:p>
            <w:pPr>
              <w:spacing w:after="0"/>
            </w:pPr>
            <w:r/>
            <w:r>
              <w:rPr>
                <w:sz w:val="15"/>
              </w:rPr>
              <w:t>7 (3%)</w:t>
            </w:r>
          </w:p>
        </w:tc>
        <w:tc>
          <w:tcPr>
            <w:tcW w:type="dxa" w:w="1108"/>
          </w:tcPr>
          <w:p>
            <w:pPr>
              <w:spacing w:after="0"/>
            </w:pPr>
            <w:r/>
            <w:r>
              <w:rPr>
                <w:sz w:val="15"/>
              </w:rPr>
              <w:t>1 (0%)</w:t>
            </w:r>
          </w:p>
        </w:tc>
        <w:tc>
          <w:tcPr>
            <w:tcW w:type="dxa" w:w="1108"/>
          </w:tcPr>
          <w:p>
            <w:pPr>
              <w:spacing w:after="0"/>
            </w:pPr>
            <w:r/>
            <w:r>
              <w:rPr>
                <w:sz w:val="15"/>
              </w:rPr>
              <w:t>18 (7%)</w:t>
            </w:r>
          </w:p>
        </w:tc>
        <w:tc>
          <w:tcPr>
            <w:tcW w:type="dxa" w:w="1108"/>
          </w:tcPr>
          <w:p>
            <w:pPr>
              <w:spacing w:after="0"/>
            </w:pPr>
            <w:r/>
            <w:r>
              <w:rPr>
                <w:sz w:val="15"/>
              </w:rPr>
              <w:t>3 (1%)</w:t>
            </w:r>
          </w:p>
        </w:tc>
        <w:tc>
          <w:tcPr>
            <w:tcW w:type="dxa" w:w="1108"/>
          </w:tcPr>
          <w:p>
            <w:pPr>
              <w:spacing w:after="0"/>
            </w:pPr>
            <w:r/>
            <w:r>
              <w:rPr>
                <w:sz w:val="15"/>
              </w:rPr>
              <w:t>101 (37%)</w:t>
            </w:r>
          </w:p>
        </w:tc>
        <w:tc>
          <w:tcPr>
            <w:tcW w:type="dxa" w:w="1108"/>
          </w:tcPr>
          <w:p>
            <w:pPr>
              <w:spacing w:after="0"/>
            </w:pPr>
            <w:r/>
            <w:r>
              <w:rPr>
                <w:sz w:val="15"/>
              </w:rPr>
              <w:t>141 (52%)</w:t>
            </w:r>
          </w:p>
        </w:tc>
      </w:tr>
      <w:tr>
        <w:tc>
          <w:tcPr>
            <w:tcW w:type="dxa" w:w="1108"/>
          </w:tcPr>
          <w:p>
            <w:pPr>
              <w:spacing w:after="0"/>
            </w:pPr>
            <w:r/>
            <w:r>
              <w:rPr>
                <w:sz w:val="15"/>
              </w:rPr>
              <w:t>active core (364)</w:t>
            </w:r>
          </w:p>
        </w:tc>
        <w:tc>
          <w:tcPr>
            <w:tcW w:type="dxa" w:w="1108"/>
          </w:tcPr>
          <w:p>
            <w:pPr>
              <w:spacing w:after="0"/>
            </w:pPr>
            <w:r/>
            <w:r>
              <w:rPr>
                <w:sz w:val="15"/>
              </w:rPr>
              <w:t>364</w:t>
            </w:r>
          </w:p>
        </w:tc>
        <w:tc>
          <w:tcPr>
            <w:tcW w:type="dxa" w:w="1108"/>
          </w:tcPr>
          <w:p>
            <w:pPr>
              <w:spacing w:after="0"/>
            </w:pPr>
            <w:r/>
            <w:r>
              <w:rPr>
                <w:sz w:val="15"/>
              </w:rPr>
              <w:t>145 (40%)</w:t>
            </w:r>
          </w:p>
        </w:tc>
        <w:tc>
          <w:tcPr>
            <w:tcW w:type="dxa" w:w="1108"/>
          </w:tcPr>
          <w:p>
            <w:pPr>
              <w:spacing w:after="0"/>
            </w:pPr>
            <w:r/>
            <w:r>
              <w:rPr>
                <w:sz w:val="15"/>
              </w:rPr>
              <w:t>4 (1%)</w:t>
            </w:r>
          </w:p>
        </w:tc>
        <w:tc>
          <w:tcPr>
            <w:tcW w:type="dxa" w:w="1108"/>
          </w:tcPr>
          <w:p>
            <w:pPr>
              <w:spacing w:after="0"/>
            </w:pPr>
            <w:r/>
            <w:r>
              <w:rPr>
                <w:sz w:val="15"/>
              </w:rPr>
              <w:t>1 (0%)</w:t>
            </w:r>
          </w:p>
        </w:tc>
        <w:tc>
          <w:tcPr>
            <w:tcW w:type="dxa" w:w="1108"/>
          </w:tcPr>
          <w:p>
            <w:pPr>
              <w:spacing w:after="0"/>
            </w:pPr>
            <w:r/>
            <w:r>
              <w:rPr>
                <w:sz w:val="15"/>
              </w:rPr>
              <w:t>37 (10%)</w:t>
            </w:r>
          </w:p>
        </w:tc>
        <w:tc>
          <w:tcPr>
            <w:tcW w:type="dxa" w:w="1108"/>
          </w:tcPr>
          <w:p>
            <w:pPr>
              <w:spacing w:after="0"/>
            </w:pPr>
            <w:r/>
            <w:r>
              <w:rPr>
                <w:sz w:val="15"/>
              </w:rPr>
              <w:t>3 (1%)</w:t>
            </w:r>
          </w:p>
        </w:tc>
        <w:tc>
          <w:tcPr>
            <w:tcW w:type="dxa" w:w="1108"/>
          </w:tcPr>
          <w:p>
            <w:pPr>
              <w:spacing w:after="0"/>
            </w:pPr>
            <w:r/>
            <w:r>
              <w:rPr>
                <w:sz w:val="15"/>
              </w:rPr>
              <w:t>17 (5%)</w:t>
            </w:r>
          </w:p>
        </w:tc>
        <w:tc>
          <w:tcPr>
            <w:tcW w:type="dxa" w:w="1108"/>
          </w:tcPr>
          <w:p>
            <w:pPr>
              <w:spacing w:after="0"/>
            </w:pPr>
            <w:r/>
            <w:r>
              <w:rPr>
                <w:sz w:val="15"/>
              </w:rPr>
              <w:t>157 (43%)</w:t>
            </w:r>
          </w:p>
        </w:tc>
      </w:tr>
      <w:tr>
        <w:tc>
          <w:tcPr>
            <w:tcW w:type="dxa" w:w="1108"/>
          </w:tcPr>
          <w:p>
            <w:pPr>
              <w:spacing w:after="0"/>
            </w:pPr>
            <w:r/>
            <w:r>
              <w:rPr>
                <w:sz w:val="15"/>
              </w:rPr>
              <w:t>hot core (174)</w:t>
            </w:r>
          </w:p>
        </w:tc>
        <w:tc>
          <w:tcPr>
            <w:tcW w:type="dxa" w:w="1108"/>
          </w:tcPr>
          <w:p>
            <w:pPr>
              <w:spacing w:after="0"/>
            </w:pPr>
            <w:r/>
            <w:r>
              <w:rPr>
                <w:sz w:val="15"/>
              </w:rPr>
              <w:t>174</w:t>
            </w:r>
          </w:p>
        </w:tc>
        <w:tc>
          <w:tcPr>
            <w:tcW w:type="dxa" w:w="1108"/>
          </w:tcPr>
          <w:p>
            <w:pPr>
              <w:spacing w:after="0"/>
            </w:pPr>
            <w:r/>
            <w:r>
              <w:rPr>
                <w:sz w:val="15"/>
              </w:rPr>
              <w:t>71 (41%)</w:t>
            </w:r>
          </w:p>
        </w:tc>
        <w:tc>
          <w:tcPr>
            <w:tcW w:type="dxa" w:w="1108"/>
          </w:tcPr>
          <w:p>
            <w:pPr>
              <w:spacing w:after="0"/>
            </w:pPr>
            <w:r/>
            <w:r>
              <w:rPr>
                <w:sz w:val="15"/>
              </w:rPr>
              <w:t>4 (2%)</w:t>
            </w:r>
          </w:p>
        </w:tc>
        <w:tc>
          <w:tcPr>
            <w:tcW w:type="dxa" w:w="1108"/>
          </w:tcPr>
          <w:p>
            <w:pPr>
              <w:spacing w:after="0"/>
            </w:pPr>
            <w:r/>
            <w:r>
              <w:rPr>
                <w:sz w:val="15"/>
              </w:rPr>
              <w:t>1 (1%)</w:t>
            </w:r>
          </w:p>
        </w:tc>
        <w:tc>
          <w:tcPr>
            <w:tcW w:type="dxa" w:w="1108"/>
          </w:tcPr>
          <w:p>
            <w:pPr>
              <w:spacing w:after="0"/>
            </w:pPr>
            <w:r/>
            <w:r>
              <w:rPr>
                <w:sz w:val="15"/>
              </w:rPr>
              <w:t>30 (17%)</w:t>
            </w:r>
          </w:p>
        </w:tc>
        <w:tc>
          <w:tcPr>
            <w:tcW w:type="dxa" w:w="1108"/>
          </w:tcPr>
          <w:p>
            <w:pPr>
              <w:spacing w:after="0"/>
            </w:pPr>
            <w:r/>
            <w:r>
              <w:rPr>
                <w:sz w:val="15"/>
              </w:rPr>
              <w:t>1 (1%)</w:t>
            </w:r>
          </w:p>
        </w:tc>
        <w:tc>
          <w:tcPr>
            <w:tcW w:type="dxa" w:w="1108"/>
          </w:tcPr>
          <w:p>
            <w:pPr>
              <w:spacing w:after="0"/>
            </w:pPr>
            <w:r/>
            <w:r>
              <w:rPr>
                <w:sz w:val="15"/>
              </w:rPr>
              <w:t>10 (6%)</w:t>
            </w:r>
          </w:p>
        </w:tc>
        <w:tc>
          <w:tcPr>
            <w:tcW w:type="dxa" w:w="1108"/>
          </w:tcPr>
          <w:p>
            <w:pPr>
              <w:spacing w:after="0"/>
            </w:pPr>
            <w:r/>
            <w:r>
              <w:rPr>
                <w:sz w:val="15"/>
              </w:rPr>
              <w:t>57 (33%)</w:t>
            </w:r>
          </w:p>
        </w:tc>
      </w:tr>
      <w:tr>
        <w:tc>
          <w:tcPr>
            <w:tcW w:type="dxa" w:w="1108"/>
          </w:tcPr>
          <w:p>
            <w:pPr>
              <w:spacing w:after="0"/>
            </w:pPr>
            <w:r/>
            <w:r>
              <w:rPr>
                <w:sz w:val="15"/>
              </w:rPr>
              <w:t>CORE arm of the sufficiency study (335, 15.1.0)</w:t>
            </w:r>
          </w:p>
        </w:tc>
        <w:tc>
          <w:tcPr>
            <w:tcW w:type="dxa" w:w="1108"/>
          </w:tcPr>
          <w:p>
            <w:pPr>
              <w:spacing w:after="0"/>
            </w:pPr>
            <w:r/>
            <w:r>
              <w:rPr>
                <w:sz w:val="15"/>
              </w:rPr>
              <w:t>335</w:t>
            </w:r>
          </w:p>
        </w:tc>
        <w:tc>
          <w:tcPr>
            <w:tcW w:type="dxa" w:w="1108"/>
          </w:tcPr>
          <w:p>
            <w:pPr>
              <w:spacing w:after="0"/>
            </w:pPr>
            <w:r/>
            <w:r>
              <w:rPr>
                <w:sz w:val="15"/>
              </w:rPr>
              <w:t>0 (0%)</w:t>
            </w:r>
          </w:p>
        </w:tc>
        <w:tc>
          <w:tcPr>
            <w:tcW w:type="dxa" w:w="1108"/>
          </w:tcPr>
          <w:p>
            <w:pPr>
              <w:spacing w:after="0"/>
            </w:pPr>
            <w:r/>
            <w:r>
              <w:rPr>
                <w:sz w:val="15"/>
              </w:rPr>
              <w:t>8 (2%)</w:t>
            </w:r>
          </w:p>
        </w:tc>
        <w:tc>
          <w:tcPr>
            <w:tcW w:type="dxa" w:w="1108"/>
          </w:tcPr>
          <w:p>
            <w:pPr>
              <w:spacing w:after="0"/>
            </w:pPr>
            <w:r/>
            <w:r>
              <w:rPr>
                <w:sz w:val="15"/>
              </w:rPr>
              <w:t>1 (0%)</w:t>
            </w:r>
          </w:p>
        </w:tc>
        <w:tc>
          <w:tcPr>
            <w:tcW w:type="dxa" w:w="1108"/>
          </w:tcPr>
          <w:p>
            <w:pPr>
              <w:spacing w:after="0"/>
            </w:pPr>
            <w:r/>
            <w:r>
              <w:rPr>
                <w:sz w:val="15"/>
              </w:rPr>
              <w:t>37 (11%)</w:t>
            </w:r>
          </w:p>
        </w:tc>
        <w:tc>
          <w:tcPr>
            <w:tcW w:type="dxa" w:w="1108"/>
          </w:tcPr>
          <w:p>
            <w:pPr>
              <w:spacing w:after="0"/>
            </w:pPr>
            <w:r/>
            <w:r>
              <w:rPr>
                <w:sz w:val="15"/>
              </w:rPr>
              <w:t>3 (1%)</w:t>
            </w:r>
          </w:p>
        </w:tc>
        <w:tc>
          <w:tcPr>
            <w:tcW w:type="dxa" w:w="1108"/>
          </w:tcPr>
          <w:p>
            <w:pPr>
              <w:spacing w:after="0"/>
            </w:pPr>
            <w:r/>
            <w:r>
              <w:rPr>
                <w:sz w:val="15"/>
              </w:rPr>
              <w:t>108 (32%)</w:t>
            </w:r>
          </w:p>
        </w:tc>
        <w:tc>
          <w:tcPr>
            <w:tcW w:type="dxa" w:w="1108"/>
          </w:tcPr>
          <w:p>
            <w:pPr>
              <w:spacing w:after="0"/>
            </w:pPr>
            <w:r/>
            <w:r>
              <w:rPr>
                <w:sz w:val="15"/>
              </w:rPr>
              <w:t>178 (53%)</w:t>
            </w:r>
          </w:p>
        </w:tc>
      </w:tr>
      <w:tr>
        <w:tc>
          <w:tcPr>
            <w:tcW w:type="dxa" w:w="1108"/>
          </w:tcPr>
          <w:p>
            <w:pPr>
              <w:spacing w:after="0"/>
            </w:pPr>
            <w:r/>
            <w:r>
              <w:rPr>
                <w:sz w:val="15"/>
              </w:rPr>
              <w:t>union (all ledger rows)</w:t>
            </w:r>
          </w:p>
        </w:tc>
        <w:tc>
          <w:tcPr>
            <w:tcW w:type="dxa" w:w="1108"/>
          </w:tcPr>
          <w:p>
            <w:pPr>
              <w:spacing w:after="0"/>
            </w:pPr>
            <w:r/>
            <w:r>
              <w:rPr>
                <w:sz w:val="15"/>
              </w:rPr>
              <w:t>605</w:t>
            </w:r>
          </w:p>
        </w:tc>
        <w:tc>
          <w:tcPr>
            <w:tcW w:type="dxa" w:w="1108"/>
          </w:tcPr>
          <w:p>
            <w:pPr>
              <w:spacing w:after="0"/>
            </w:pPr>
            <w:r/>
            <w:r>
              <w:rPr>
                <w:sz w:val="15"/>
              </w:rPr>
              <w:t>145 (24%)</w:t>
            </w:r>
          </w:p>
        </w:tc>
        <w:tc>
          <w:tcPr>
            <w:tcW w:type="dxa" w:w="1108"/>
          </w:tcPr>
          <w:p>
            <w:pPr>
              <w:spacing w:after="0"/>
            </w:pPr>
            <w:r/>
            <w:r>
              <w:rPr>
                <w:sz w:val="15"/>
              </w:rPr>
              <w:t>8 (1%)</w:t>
            </w:r>
          </w:p>
        </w:tc>
        <w:tc>
          <w:tcPr>
            <w:tcW w:type="dxa" w:w="1108"/>
          </w:tcPr>
          <w:p>
            <w:pPr>
              <w:spacing w:after="0"/>
            </w:pPr>
            <w:r/>
            <w:r>
              <w:rPr>
                <w:sz w:val="15"/>
              </w:rPr>
              <w:t>1 (0%)</w:t>
            </w:r>
          </w:p>
        </w:tc>
        <w:tc>
          <w:tcPr>
            <w:tcW w:type="dxa" w:w="1108"/>
          </w:tcPr>
          <w:p>
            <w:pPr>
              <w:spacing w:after="0"/>
            </w:pPr>
            <w:r/>
            <w:r>
              <w:rPr>
                <w:sz w:val="15"/>
              </w:rPr>
              <w:t>37 (6%)</w:t>
            </w:r>
          </w:p>
        </w:tc>
        <w:tc>
          <w:tcPr>
            <w:tcW w:type="dxa" w:w="1108"/>
          </w:tcPr>
          <w:p>
            <w:pPr>
              <w:spacing w:after="0"/>
            </w:pPr>
            <w:r/>
            <w:r>
              <w:rPr>
                <w:sz w:val="15"/>
              </w:rPr>
              <w:t>5 (1%)</w:t>
            </w:r>
          </w:p>
        </w:tc>
        <w:tc>
          <w:tcPr>
            <w:tcW w:type="dxa" w:w="1108"/>
          </w:tcPr>
          <w:p>
            <w:pPr>
              <w:spacing w:after="0"/>
            </w:pPr>
            <w:r/>
            <w:r>
              <w:rPr>
                <w:sz w:val="15"/>
              </w:rPr>
              <w:t>115 (19%)</w:t>
            </w:r>
          </w:p>
        </w:tc>
        <w:tc>
          <w:tcPr>
            <w:tcW w:type="dxa" w:w="1108"/>
          </w:tcPr>
          <w:p>
            <w:pPr>
              <w:spacing w:after="0"/>
            </w:pPr>
            <w:r/>
            <w:r>
              <w:rPr>
                <w:sz w:val="15"/>
              </w:rPr>
              <w:t>294 (49%)</w:t>
            </w:r>
          </w:p>
        </w:tc>
      </w:tr>
    </w:tbl>
    <w:p/>
    <w:p>
      <w:pPr>
        <w:pStyle w:val="Heading2"/>
      </w:pPr>
      <w:r>
        <w:rPr>
          <w:color w:val="303030"/>
        </w:rPr>
        <w:t>Facts the ledger makes explicit</w:t>
      </w:r>
    </w:p>
    <w:p>
      <w:pPr>
        <w:pStyle w:val="ListBullet"/>
      </w:pPr>
      <w:r>
        <w:t xml:space="preserve">The CORE arm (335) is </w:t>
      </w:r>
      <w:r>
        <w:rPr>
          <w:b/>
        </w:rPr>
        <w:t>not</w:t>
      </w:r>
      <w:r>
        <w:t xml:space="preserve"> the active core: it is 284 curated rules + 19 quote-verified non-curated rules + 32 reference-interval conventions; only 94 of the 364 active-core rules are in it.</w:t>
      </w:r>
    </w:p>
    <w:p>
      <w:pPr>
        <w:pStyle w:val="ListBullet"/>
      </w:pPr>
      <w:r>
        <w:t>Of the 364 active-core rules, 219 are still executable in 15.2.0 (145 retired under the 15.0.0 protocol).</w:t>
      </w:r>
    </w:p>
    <w:p>
      <w:pPr>
        <w:pStyle w:val="ListBullet"/>
      </w:pPr>
      <w:r>
        <w:t>Invariant tests reach the analyte of 104 of the 219 executable active-core rules; the rest are untouched by any executable property.</w:t>
      </w:r>
    </w:p>
    <w:p>
      <w:pPr>
        <w:pStyle w:val="ListBullet"/>
      </w:pPr>
      <w:r>
        <w:t>Static detectors flag 6 ledger rules on 15.2.0 (was 120 on 14.1.0).</w:t>
      </w:r>
    </w:p>
    <w:p>
      <w:pPr>
        <w:pStyle w:val="ListBullet"/>
      </w:pPr>
      <w:r>
        <w:t>Concordance verdicts exist for 116 ledger rules from the 200-rule sample and 100 from the active-core sample.</w:t>
      </w:r>
    </w:p>
    <w:p>
      <w:pPr>
        <w:pStyle w:val="Heading2"/>
      </w:pPr>
      <w:r>
        <w:rPr>
          <w:color w:val="303030"/>
        </w:rPr>
        <w:t>Open items (input to the next registry protocol; nothing patched here)</w:t>
      </w:r>
    </w:p>
    <w:p>
      <w:pPr>
        <w:pStyle w:val="ListBullet"/>
      </w:pPr>
      <w:r>
        <w:rPr>
          <w:rFonts w:ascii="Consolas" w:hAnsi="Consolas"/>
        </w:rPr>
        <w:t>acquired_hemophilia_a_reanchor_scre_v13_4</w:t>
      </w:r>
      <w:r>
        <w:t xml:space="preserve"> — discordant_open: Note 8: attribution: acquired haemophilia A cites the BSH rare coagulation disorders guideline, which excludes FVIII deficiency (covered by a separate BSH guideline)</w:t>
      </w:r>
    </w:p>
    <w:p>
      <w:pPr>
        <w:pStyle w:val="ListBullet"/>
      </w:pPr>
      <w:r>
        <w:rPr>
          <w:rFonts w:ascii="Consolas" w:hAnsi="Consolas"/>
        </w:rPr>
        <w:t>acute_kidney_injury_kdigo_2012_creatinine_absolute_cur13</w:t>
      </w:r>
      <w:r>
        <w:t xml:space="preserve"> — flagged_open: ; r2a: single ubiquitous analyte creatinine for clinical entity acute_kidney_injury</w:t>
      </w:r>
    </w:p>
    <w:p>
      <w:pPr>
        <w:pStyle w:val="ListBullet"/>
      </w:pPr>
      <w:r>
        <w:rPr>
          <w:rFonts w:ascii="Consolas" w:hAnsi="Consolas"/>
        </w:rPr>
        <w:t>hepatitis_a_igm_anti_hav_positive_cur13</w:t>
      </w:r>
      <w:r>
        <w:t xml:space="preserve"> — discordant_open: Note 8: attribution: hepatitis A IgM criterion cites the EASL hepatitis E guideline</w:t>
      </w:r>
    </w:p>
    <w:p>
      <w:pPr>
        <w:pStyle w:val="ListBullet"/>
      </w:pPr>
      <w:r>
        <w:rPr>
          <w:rFonts w:ascii="Consolas" w:hAnsi="Consolas"/>
        </w:rPr>
        <w:t>hyperosmolar_hyperglycemic_state_ada_easd_2024_hhs_ketoacidosis_exclusion_cur13</w:t>
      </w:r>
      <w:r>
        <w:t xml:space="preserve"> — flagged_open: ; src: source ada_easd_hyperglycemic_crises_2024 scope ['endocrine'] vs entity domain critical_care</w:t>
      </w:r>
    </w:p>
    <w:p>
      <w:pPr>
        <w:pStyle w:val="ListBullet"/>
      </w:pPr>
      <w:r>
        <w:rPr>
          <w:rFonts w:ascii="Consolas" w:hAnsi="Consolas"/>
        </w:rPr>
        <w:t>hyperprolactinemia_pituitary_2023_prolactin_elevated_cur13</w:t>
      </w:r>
      <w:r>
        <w:t xml:space="preserve"> — discordant_open: Note 8: threshold: Pituitary Society 2023 consensus (full text retrieved) defers to assay-specific reference ranges and does not state 25 ng/mL</w:t>
      </w:r>
    </w:p>
    <w:p>
      <w:pPr>
        <w:pStyle w:val="ListBullet"/>
      </w:pPr>
      <w:r>
        <w:rPr>
          <w:rFonts w:ascii="Consolas" w:hAnsi="Consolas"/>
        </w:rPr>
        <w:t>hypomagnesemia_severe_1_2_cur13</w:t>
      </w:r>
      <w:r>
        <w:t xml:space="preserve"> — discordant_open: Note 8: attribution: severe hypomagnesaemia &lt;1.2 mg/dL cites the KDIGO potassium/dyskalaemia conference report</w:t>
      </w:r>
    </w:p>
    <w:p>
      <w:pPr>
        <w:pStyle w:val="ListBullet"/>
      </w:pPr>
      <w:r>
        <w:rPr>
          <w:rFonts w:ascii="Consolas" w:hAnsi="Consolas"/>
        </w:rPr>
        <w:t>isoniazid_hepatotoxicity_dx_p131</w:t>
      </w:r>
      <w:r>
        <w:t xml:space="preserve"> — flagged_open: ; src: source ats_isoniazid_hepatotoxicity_2006 scope ['liver'] vs entity domain toxicology_tdm</w:t>
      </w:r>
    </w:p>
    <w:p>
      <w:pPr>
        <w:pStyle w:val="ListBullet"/>
      </w:pPr>
      <w:r>
        <w:rPr>
          <w:rFonts w:ascii="Consolas" w:hAnsi="Consolas"/>
        </w:rPr>
        <w:t>lactic_acidosis_lactate_4_acidemia_cur13</w:t>
      </w:r>
      <w:r>
        <w:t xml:space="preserve"> — flagged_open: ; src: source sepsis3_2016 scope ['critical_care', 'infectious'] vs entity domain diabetes_metabolic</w:t>
      </w:r>
    </w:p>
    <w:p>
      <w:pPr>
        <w:pStyle w:val="ListBullet"/>
      </w:pPr>
      <w:r>
        <w:rPr>
          <w:rFonts w:ascii="Consolas" w:hAnsi="Consolas"/>
        </w:rPr>
        <w:t>prediabetes_hba1c_pattern_screening_1_v1</w:t>
      </w:r>
      <w:r>
        <w:t xml:space="preserve"> — discordant_open: Note 15: boundary: source range 5.7–6.4 % inclusive with upper bound; rule '&gt; 5.7' excludes 5.7 and has no upper bound</w:t>
      </w:r>
    </w:p>
    <w:p>
      <w:pPr>
        <w:pStyle w:val="ListBullet"/>
      </w:pPr>
      <w:r>
        <w:rPr>
          <w:rFonts w:ascii="Consolas" w:hAnsi="Consolas"/>
        </w:rPr>
        <w:t>pseudohypoparathyroidism_hypocalcemia_high_pth_normal_renal_cur13</w:t>
      </w:r>
      <w:r>
        <w:t xml:space="preserve"> — discordant_open: Note 8: attribution: pseudohypoparathyroidism criteria cite the primary hyperparathyroidism workshop guideline (different disease)</w:t>
      </w:r>
    </w:p>
    <w:p>
      <w:pPr>
        <w:pStyle w:val="ListBullet"/>
      </w:pPr>
      <w:r>
        <w:rPr>
          <w:rFonts w:ascii="Consolas" w:hAnsi="Consolas"/>
        </w:rPr>
        <w:t>rhabdomyolysis_ck_5x_uln_diagnostic_cur13</w:t>
      </w:r>
      <w:r>
        <w:t xml:space="preserve"> — discordant_open: Note 15: boundary: source '&gt; 1000', rule '&gt;= 1000'; source is a systematic review, not a guideline</w:t>
      </w:r>
    </w:p>
    <w:p>
      <w:pPr>
        <w:pStyle w:val="ListBullet"/>
      </w:pPr>
      <w:r>
        <w:rPr>
          <w:rFonts w:ascii="Consolas" w:hAnsi="Consolas"/>
        </w:rPr>
        <w:t>septic_shock_severe_lactic_acidosis_sepsis3_lactate_4_cur13</w:t>
      </w:r>
      <w:r>
        <w:t xml:space="preserve"> — discordant_open: Note 8: threshold: cited Sepsis-3 defines septic shock with lactate &gt;2 mmol/L; the &gt;4 mmol/L cut-off is not in the cited source (it derives from the SSC resuscitation bundle)</w:t>
      </w:r>
    </w:p>
    <w:p>
      <w:pPr>
        <w:pStyle w:val="ListBullet"/>
      </w:pPr>
      <w:r>
        <w:rPr>
          <w:rFonts w:ascii="Consolas" w:hAnsi="Consolas"/>
        </w:rPr>
        <w:t>urea_cycle_disorder_otc_deficiency_nh3_diagnostic_v1</w:t>
      </w:r>
      <w:r>
        <w:t xml:space="preserve"> — flagged_open: ; src: source acmg_act_2024 scope ['genetics'] vs entity domain critical_care</w:t>
      </w:r>
    </w:p>
    <w:p>
      <w:r>
        <w:t xml:space="preserve">Files: </w:t>
      </w:r>
      <w:r>
        <w:rPr>
          <w:rFonts w:ascii="Consolas" w:hAnsi="Consolas"/>
        </w:rPr>
        <w:t>LEDGER.json.gz</w:t>
      </w:r>
      <w:r>
        <w:t xml:space="preserve"> (records), </w:t>
      </w:r>
      <w:r>
        <w:rPr>
          <w:rFonts w:ascii="Consolas" w:hAnsi="Consolas"/>
        </w:rPr>
        <w:t>ledger_counts.json</w:t>
      </w:r>
      <w:r>
        <w:t xml:space="preserve">, </w:t>
      </w:r>
      <w:r>
        <w:rPr>
          <w:rFonts w:ascii="Consolas" w:hAnsi="Consolas"/>
        </w:rPr>
        <w:t>build_ledger.py</w:t>
      </w:r>
      <w:r>
        <w:t xml:space="preserve"> (reproducible definition).</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3.7,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package </w:t>
            </w:r>
            <w:r>
              <w:rPr>
                <w:rFonts w:ascii="Consolas" w:hAnsi="Consolas"/>
                <w:sz w:val="15"/>
              </w:rPr>
              <w:t>eval/labpanel_check/score.py</w:t>
            </w:r>
            <w:r>
              <w:rPr>
                <w:sz w:val="15"/>
              </w:rPr>
              <w:t xml:space="preserve"> (</w:t>
            </w:r>
            <w:r>
              <w:rPr>
                <w:rFonts w:ascii="Consolas" w:hAnsi="Consolas"/>
                <w:sz w:val="15"/>
              </w:rPr>
              <w:t>build_package.py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3.8, Table 7, Note 14</w:t>
            </w:r>
          </w:p>
        </w:tc>
        <w:tc>
          <w:tcPr>
            <w:tcW w:type="dxa" w:w="2493"/>
          </w:tcPr>
          <w:p>
            <w:pPr>
              <w:spacing w:after="0"/>
            </w:pPr>
            <w:r/>
            <w:r>
              <w:rPr>
                <w:rFonts w:ascii="Consolas" w:hAnsi="Consolas"/>
                <w:sz w:val="15"/>
              </w:rPr>
              <w:t>eval/verifier/verify_llm_output.py</w:t>
            </w:r>
            <w:r>
              <w:rPr>
                <w:sz w:val="15"/>
              </w:rPr>
              <w:t xml:space="preserve">, </w:t>
            </w:r>
            <w:r>
              <w:rPr>
                <w:rFonts w:ascii="Consolas" w:hAnsi="Consolas"/>
                <w:sz w:val="15"/>
              </w:rPr>
              <w:t>eval/consensus/verified_consensus.py</w:t>
            </w:r>
            <w:r>
              <w:rPr>
                <w:sz w:val="15"/>
              </w:rPr>
              <w:t xml:space="preserve"> (protocols </w:t>
            </w:r>
            <w:r>
              <w:rPr>
                <w:rFonts w:ascii="Consolas" w:hAnsi="Consolas"/>
                <w:sz w:val="15"/>
              </w:rPr>
              <w:t>PROTOCOL.md</w:t>
            </w:r>
            <w:r>
              <w:rPr>
                <w:sz w:val="15"/>
              </w:rPr>
              <w:t xml:space="preserve"> in each folder)</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Section 3.3, Note 15</w:t>
            </w:r>
          </w:p>
        </w:tc>
        <w:tc>
          <w:tcPr>
            <w:tcW w:type="dxa" w:w="2493"/>
          </w:tcPr>
          <w:p>
            <w:pPr>
              <w:spacing w:after="0"/>
            </w:pPr>
            <w:r/>
            <w:r>
              <w:rPr>
                <w:rFonts w:ascii="Consolas" w:hAnsi="Consolas"/>
                <w:sz w:val="15"/>
              </w:rPr>
              <w:t>eval/provenance/PROTOCOL.md</w:t>
            </w:r>
            <w:r>
              <w:rPr>
                <w:sz w:val="15"/>
              </w:rPr>
              <w:t xml:space="preserve">, </w:t>
            </w:r>
            <w:r>
              <w:rPr>
                <w:rFonts w:ascii="Consolas" w:hAnsi="Consolas"/>
                <w:sz w:val="15"/>
              </w:rPr>
              <w:t>eval/provenance/activity_log.py</w:t>
            </w:r>
            <w:r>
              <w:rPr>
                <w:sz w:val="15"/>
              </w:rPr>
              <w:t xml:space="preserve">, </w:t>
            </w:r>
            <w:r>
              <w:rPr>
                <w:rFonts w:ascii="Consolas" w:hAnsi="Consolas"/>
                <w:sz w:val="15"/>
              </w:rPr>
              <w:t>core_analysis.py</w:t>
            </w:r>
            <w:r>
              <w:rPr>
                <w:sz w:val="15"/>
              </w:rPr>
              <w:t xml:space="preserve">, </w:t>
            </w:r>
            <w:r>
              <w:rPr>
                <w:rFonts w:ascii="Consolas" w:hAnsi="Consolas"/>
                <w:sz w:val="15"/>
              </w:rPr>
              <w:t>resource_core.py</w:t>
            </w:r>
            <w:r>
              <w:rPr>
                <w:sz w:val="15"/>
              </w:rPr>
              <w:t xml:space="preserve">; frozen sample </w:t>
            </w:r>
            <w:r>
              <w:rPr>
                <w:rFonts w:ascii="Consolas" w:hAnsi="Consolas"/>
                <w:sz w:val="15"/>
              </w:rPr>
              <w:t>eval/provenance/phase_c_sample_100.csv</w:t>
            </w:r>
            <w:r>
              <w:rPr>
                <w:sz w:val="15"/>
              </w:rPr>
              <w:t xml:space="preserve"> (seed 20261028)</w:t>
            </w:r>
          </w:p>
        </w:tc>
        <w:tc>
          <w:tcPr>
            <w:tcW w:type="dxa" w:w="2493"/>
          </w:tcPr>
          <w:p>
            <w:pPr>
              <w:spacing w:after="0"/>
            </w:pPr>
            <w:r/>
            <w:r>
              <w:rPr>
                <w:sz w:val="15"/>
              </w:rPr>
              <w:t>eICU-CRD demo first panels; NHANES 2015–16 and 2017–18</w:t>
            </w:r>
          </w:p>
        </w:tc>
        <w:tc>
          <w:tcPr>
            <w:tcW w:type="dxa" w:w="2493"/>
          </w:tcPr>
          <w:p>
            <w:pPr>
              <w:spacing w:after="0"/>
            </w:pPr>
            <w:r/>
            <w:r>
              <w:rPr>
                <w:sz w:val="15"/>
              </w:rPr>
              <w:t>registry 14.2.0; harness v8.2 (activity only; no v7 metric affected)</w:t>
            </w:r>
          </w:p>
        </w:tc>
      </w:tr>
      <w:tr>
        <w:tc>
          <w:tcPr>
            <w:tcW w:type="dxa" w:w="2493"/>
          </w:tcPr>
          <w:p>
            <w:pPr>
              <w:spacing w:after="0"/>
            </w:pPr>
            <w:r/>
            <w:r>
              <w:rPr>
                <w:sz w:val="15"/>
              </w:rPr>
              <w:t>Section 3.9, Note 16</w:t>
            </w:r>
          </w:p>
        </w:tc>
        <w:tc>
          <w:tcPr>
            <w:tcW w:type="dxa" w:w="2493"/>
          </w:tcPr>
          <w:p>
            <w:pPr>
              <w:spacing w:after="0"/>
            </w:pPr>
            <w:r/>
            <w:r>
              <w:rPr>
                <w:rFonts w:ascii="Consolas" w:hAnsi="Consolas"/>
                <w:sz w:val="15"/>
              </w:rPr>
              <w:t>eval/audit/PROTOCOL_AUDIT.md</w:t>
            </w:r>
            <w:r>
              <w:rPr>
                <w:sz w:val="15"/>
              </w:rPr>
              <w:t xml:space="preserve">, </w:t>
            </w:r>
            <w:r>
              <w:rPr>
                <w:rFonts w:ascii="Consolas" w:hAnsi="Consolas"/>
                <w:sz w:val="15"/>
              </w:rPr>
              <w:t>make_core_registry.py</w:t>
            </w:r>
            <w:r>
              <w:rPr>
                <w:sz w:val="15"/>
              </w:rPr>
              <w:t xml:space="preserve">, </w:t>
            </w:r>
            <w:r>
              <w:rPr>
                <w:rFonts w:ascii="Consolas" w:hAnsi="Consolas"/>
                <w:sz w:val="15"/>
              </w:rPr>
              <w:t>audit.py</w:t>
            </w:r>
            <w:r>
              <w:rPr>
                <w:sz w:val="15"/>
              </w:rPr>
              <w:t xml:space="preserve">, </w:t>
            </w:r>
            <w:r>
              <w:rPr>
                <w:rFonts w:ascii="Consolas" w:hAnsi="Consolas"/>
                <w:sz w:val="15"/>
              </w:rPr>
              <w:t>mutate.py</w:t>
            </w:r>
            <w:r>
              <w:rPr>
                <w:sz w:val="15"/>
              </w:rPr>
              <w:t xml:space="preserve">, </w:t>
            </w:r>
            <w:r>
              <w:rPr>
                <w:rFonts w:ascii="Consolas" w:hAnsi="Consolas"/>
                <w:sz w:val="15"/>
              </w:rPr>
              <w:t>convert_llm_corpus.py</w:t>
            </w:r>
            <w:r>
              <w:rPr>
                <w:sz w:val="15"/>
              </w:rPr>
              <w:t xml:space="preserve">; CORE arm re-runs with </w:t>
            </w:r>
            <w:r>
              <w:rPr>
                <w:rFonts w:ascii="Consolas" w:hAnsi="Consolas"/>
                <w:sz w:val="15"/>
              </w:rPr>
              <w:t>eval/realdata/eval_eicu.py --encounter icu</w:t>
            </w:r>
            <w:r>
              <w:rPr>
                <w:sz w:val="15"/>
              </w:rPr>
              <w:t xml:space="preserve"> and </w:t>
            </w:r>
            <w:r>
              <w:rPr>
                <w:rFonts w:ascii="Consolas" w:hAnsi="Consolas"/>
                <w:sz w:val="15"/>
              </w:rPr>
              <w:t>eval/realdata/eval_nhanes.py --n-max 1000 --encounter community</w:t>
            </w:r>
            <w:r>
              <w:rPr>
                <w:sz w:val="15"/>
              </w:rPr>
              <w:t>; paired comparison as for the 15.1.0 gate</w:t>
            </w:r>
          </w:p>
        </w:tc>
        <w:tc>
          <w:tcPr>
            <w:tcW w:type="dxa" w:w="2493"/>
          </w:tcPr>
          <w:p>
            <w:pPr>
              <w:spacing w:after="0"/>
            </w:pPr>
            <w:r/>
            <w:r>
              <w:rPr>
                <w:sz w:val="15"/>
              </w:rPr>
              <w:t>eICU-CRD demo (2,314 stays); NHANES 2017–18 (1,000 adults); registries 14.1.0 and 15.1.0; second LLM-written corpus (400 rules, hash-frozen)</w:t>
            </w:r>
          </w:p>
        </w:tc>
        <w:tc>
          <w:tcPr>
            <w:tcW w:type="dxa" w:w="2493"/>
          </w:tcPr>
          <w:p>
            <w:pPr>
              <w:spacing w:after="0"/>
            </w:pPr>
            <w:r/>
            <w:r>
              <w:rPr>
                <w:sz w:val="15"/>
              </w:rPr>
              <w:t>registry 15.1.0 vs its 335-rule audited core, engine v8.2 in both arms (development; no v7 metric affected)</w:t>
            </w:r>
          </w:p>
        </w:tc>
      </w:tr>
      <w:tr>
        <w:tc>
          <w:tcPr>
            <w:tcW w:type="dxa" w:w="2493"/>
          </w:tcPr>
          <w:p>
            <w:pPr>
              <w:spacing w:after="0"/>
            </w:pPr>
            <w:r/>
            <w:r>
              <w:rPr>
                <w:sz w:val="15"/>
              </w:rPr>
              <w:t>Section 3.9, Note 18</w:t>
            </w:r>
          </w:p>
        </w:tc>
        <w:tc>
          <w:tcPr>
            <w:tcW w:type="dxa" w:w="2493"/>
          </w:tcPr>
          <w:p>
            <w:pPr>
              <w:spacing w:after="0"/>
            </w:pPr>
            <w:r/>
            <w:r>
              <w:rPr>
                <w:rFonts w:ascii="Consolas" w:hAnsi="Consolas"/>
                <w:sz w:val="15"/>
              </w:rPr>
              <w:t>eval/verification_ledger/build_ledger.py</w:t>
            </w:r>
            <w:r>
              <w:rPr>
                <w:sz w:val="15"/>
              </w:rPr>
              <w:t xml:space="preserve"> (join only; inputs are the frozen outputs of Notes 8, 15, 16, </w:t>
            </w:r>
            <w:r>
              <w:rPr>
                <w:rFonts w:ascii="Consolas" w:hAnsi="Consolas"/>
                <w:sz w:val="15"/>
              </w:rPr>
              <w:t>eval/audit/audit.py</w:t>
            </w:r>
            <w:r>
              <w:rPr>
                <w:sz w:val="15"/>
              </w:rPr>
              <w:t xml:space="preserve"> and </w:t>
            </w:r>
            <w:r>
              <w:rPr>
                <w:rFonts w:ascii="Consolas" w:hAnsi="Consolas"/>
                <w:sz w:val="15"/>
              </w:rPr>
              <w:t>tests/test_properties.py</w:t>
            </w:r>
            <w:r>
              <w:rPr>
                <w:sz w:val="15"/>
              </w:rPr>
              <w:t xml:space="preserve">); </w:t>
            </w:r>
            <w:r>
              <w:rPr>
                <w:rFonts w:ascii="Consolas" w:hAnsi="Consolas"/>
                <w:sz w:val="15"/>
              </w:rPr>
              <w:t>tests/test_verification_ledger.py</w:t>
            </w:r>
          </w:p>
        </w:tc>
        <w:tc>
          <w:tcPr>
            <w:tcW w:type="dxa" w:w="2493"/>
          </w:tcPr>
          <w:p>
            <w:pPr>
              <w:spacing w:after="0"/>
            </w:pPr>
            <w:r/>
            <w:r>
              <w:rPr>
                <w:sz w:val="15"/>
              </w:rPr>
              <w:t>none (no data touched)</w:t>
            </w:r>
          </w:p>
        </w:tc>
        <w:tc>
          <w:tcPr>
            <w:tcW w:type="dxa" w:w="2493"/>
          </w:tcPr>
          <w:p>
            <w:pPr>
              <w:spacing w:after="0"/>
            </w:pPr>
            <w:r/>
            <w:r>
              <w:rPr>
                <w:sz w:val="15"/>
              </w:rPr>
              <w:t>registries 14.1.0, 15.1.0, 15.2.0 (no metric affected)</w:t>
            </w:r>
          </w:p>
        </w:tc>
      </w:tr>
      <w:tr>
        <w:tc>
          <w:tcPr>
            <w:tcW w:type="dxa" w:w="2493"/>
          </w:tcPr>
          <w:p>
            <w:pPr>
              <w:spacing w:after="0"/>
            </w:pPr>
            <w:r/>
            <w:r>
              <w:rPr>
                <w:sz w:val="15"/>
              </w:rPr>
              <w:t>Note 16, release 15.2.0</w:t>
            </w:r>
          </w:p>
        </w:tc>
        <w:tc>
          <w:tcPr>
            <w:tcW w:type="dxa" w:w="2493"/>
          </w:tcPr>
          <w:p>
            <w:pPr>
              <w:spacing w:after="0"/>
            </w:pPr>
            <w:r/>
            <w:r>
              <w:rPr>
                <w:rFonts w:ascii="Consolas" w:hAnsi="Consolas"/>
                <w:sz w:val="15"/>
              </w:rPr>
              <w:t>eval/registry_patches/PROTOCOL_15_2_0.md</w:t>
            </w:r>
            <w:r>
              <w:rPr>
                <w:sz w:val="15"/>
              </w:rPr>
              <w:t xml:space="preserve">, </w:t>
            </w:r>
            <w:r>
              <w:rPr>
                <w:rFonts w:ascii="Consolas" w:hAnsi="Consolas"/>
                <w:sz w:val="15"/>
              </w:rPr>
              <w:t>patch_15_2_0.py</w:t>
            </w:r>
            <w:r>
              <w:rPr>
                <w:sz w:val="15"/>
              </w:rPr>
              <w:t xml:space="preserve">, </w:t>
            </w:r>
            <w:r>
              <w:rPr>
                <w:rFonts w:ascii="Consolas" w:hAnsi="Consolas"/>
                <w:sz w:val="15"/>
              </w:rPr>
              <w:t>gate_compare.py</w:t>
            </w:r>
            <w:r>
              <w:rPr>
                <w:sz w:val="15"/>
              </w:rPr>
              <w:t>; gate re-runs as for 15.1.0</w:t>
            </w:r>
          </w:p>
        </w:tc>
        <w:tc>
          <w:tcPr>
            <w:tcW w:type="dxa" w:w="2493"/>
          </w:tcPr>
          <w:p>
            <w:pPr>
              <w:spacing w:after="0"/>
            </w:pPr>
            <w:r/>
            <w:r>
              <w:rPr>
                <w:sz w:val="15"/>
              </w:rPr>
              <w:t>eICU-CRD demo (2,314 stays); NHANES 2017–18 (1,000 adults)</w:t>
            </w:r>
          </w:p>
        </w:tc>
        <w:tc>
          <w:tcPr>
            <w:tcW w:type="dxa" w:w="2493"/>
          </w:tcPr>
          <w:p>
            <w:pPr>
              <w:spacing w:after="0"/>
            </w:pPr>
            <w:r/>
            <w:r>
              <w:rPr>
                <w:sz w:val="15"/>
              </w:rPr>
              <w:t>registry 15.1.0 vs 15.2.0, engine v8.2 (development; no v7 metric affected)</w:t>
            </w:r>
          </w:p>
        </w:tc>
      </w:tr>
      <w:tr>
        <w:tc>
          <w:tcPr>
            <w:tcW w:type="dxa" w:w="2493"/>
          </w:tcPr>
          <w:p>
            <w:pPr>
              <w:spacing w:after="0"/>
            </w:pPr>
            <w:r/>
            <w:r>
              <w:rPr>
                <w:sz w:val="15"/>
              </w:rPr>
              <w:t>Note 15, post-audit release</w:t>
            </w:r>
          </w:p>
        </w:tc>
        <w:tc>
          <w:tcPr>
            <w:tcW w:type="dxa" w:w="2493"/>
          </w:tcPr>
          <w:p>
            <w:pPr>
              <w:spacing w:after="0"/>
            </w:pPr>
            <w:r/>
            <w:r>
              <w:rPr>
                <w:rFonts w:ascii="Consolas" w:hAnsi="Consolas"/>
                <w:sz w:val="15"/>
              </w:rPr>
              <w:t>eval/registry_patches/PROTOCOL_15_0_0.md</w:t>
            </w:r>
            <w:r>
              <w:rPr>
                <w:sz w:val="15"/>
              </w:rPr>
              <w:t xml:space="preserve">, </w:t>
            </w:r>
            <w:r>
              <w:rPr>
                <w:rFonts w:ascii="Consolas" w:hAnsi="Consolas"/>
                <w:sz w:val="15"/>
              </w:rPr>
              <w:t>patch_15_0_0.py</w:t>
            </w:r>
            <w:r>
              <w:rPr>
                <w:sz w:val="15"/>
              </w:rPr>
              <w:t xml:space="preserve">; gate re-runs with </w:t>
            </w:r>
            <w:r>
              <w:rPr>
                <w:rFonts w:ascii="Consolas" w:hAnsi="Consolas"/>
                <w:sz w:val="15"/>
              </w:rPr>
              <w:t>eval/realdata/eval_eicu.py --encounter icu</w:t>
            </w:r>
            <w:r>
              <w:rPr>
                <w:sz w:val="15"/>
              </w:rPr>
              <w:t xml:space="preserve">, </w:t>
            </w:r>
            <w:r>
              <w:rPr>
                <w:rFonts w:ascii="Consolas" w:hAnsi="Consolas"/>
                <w:sz w:val="15"/>
              </w:rPr>
              <w:t>eval/realdata/eval_nhanes.py --n-max 1000 --encounter community</w:t>
            </w:r>
            <w:r>
              <w:rPr>
                <w:sz w:val="15"/>
              </w:rPr>
              <w:t xml:space="preserve">, </w:t>
            </w:r>
            <w:r>
              <w:rPr>
                <w:rFonts w:ascii="Consolas" w:hAnsi="Consolas"/>
                <w:sz w:val="15"/>
              </w:rPr>
              <w:t>eval/provenance/activity_log.py --corpus eicu</w:t>
            </w:r>
          </w:p>
        </w:tc>
        <w:tc>
          <w:tcPr>
            <w:tcW w:type="dxa" w:w="2493"/>
          </w:tcPr>
          <w:p>
            <w:pPr>
              <w:spacing w:after="0"/>
            </w:pPr>
            <w:r/>
            <w:r>
              <w:rPr>
                <w:sz w:val="15"/>
              </w:rPr>
              <w:t>eICU-CRD demo (2,314 stays); NHANES 2017–18 (1,000 adults)</w:t>
            </w:r>
          </w:p>
        </w:tc>
        <w:tc>
          <w:tcPr>
            <w:tcW w:type="dxa" w:w="2493"/>
          </w:tcPr>
          <w:p>
            <w:pPr>
              <w:spacing w:after="0"/>
            </w:pPr>
            <w:r/>
            <w:r>
              <w:rPr>
                <w:sz w:val="15"/>
              </w:rPr>
              <w:t>registry 14.2.0 vs 15.0.0, engine v8.2 in both arms (development; no v7 metric affected)</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