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480"/>
        <w:jc w:val="center"/>
      </w:pPr>
      <w:r>
        <w:rPr>
          <w:rFonts w:ascii="Arial" w:cs="Arial" w:eastAsia="Arial" w:hAnsi="Arial"/>
          <w:b/>
          <w:bCs/>
          <w:color w:val="FFFFFF"/>
          <w:sz w:val="48"/>
          <w:szCs w:val="48"/>
        </w:rPr>
        <w:t xml:space="preserve">BUSINESS INSIGHTS REPORT</w:t>
      </w:r>
    </w:p>
    <w:p>
      <w:pPr>
        <w:spacing w:after="80" w:before="0"/>
        <w:jc w:val="center"/>
      </w:pPr>
      <w:r>
        <w:rPr>
          <w:rFonts w:ascii="Arial" w:cs="Arial" w:eastAsia="Arial" w:hAnsi="Arial"/>
          <w:color w:val="2E75B6"/>
          <w:sz w:val="28"/>
          <w:szCs w:val="28"/>
        </w:rPr>
        <w:t xml:space="preserve">Superstore Sales Dataset Analysis</w:t>
      </w:r>
    </w:p>
    <w:p>
      <w:pPr>
        <w:spacing w:after="480" w:before="0"/>
        <w:jc w:val="center"/>
      </w:pPr>
      <w:r>
        <w:rPr>
          <w:rFonts w:ascii="Arial" w:cs="Arial" w:eastAsia="Arial" w:hAnsi="Arial"/>
          <w:color w:val="888888"/>
          <w:sz w:val="20"/>
          <w:szCs w:val="20"/>
        </w:rPr>
        <w:t xml:space="preserve">Data Analytics &amp; Business Intelligence | Task 1 | Maincrafts Technology</w:t>
      </w:r>
    </w:p>
    <w:p>
      <w:pPr>
        <w:pStyle w:val="Heading1"/>
        <w:pBdr>
          <w:bottom w:val="single" w:color="1F4E79" w:sz="6" w:space="4"/>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presents key business insights derived from the Superstore Sales Dataset containing 9,994 sales transactions across four regions in the United States. The analysis covers sales performance, profitability, customer behavior, and the impact of discounting on profit margins.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Sales Revenue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$2,297,200.86</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Profit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$286,397.02</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Orders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9,994</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Quantity Sold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37,873 units</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Average Order Value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$229.86</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Overall Profit Margin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12.47%</w:t>
            </w:r>
          </w:p>
        </w:tc>
      </w:tr>
    </w:tbl>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2. Sales Performance by Region</w:t>
      </w:r>
    </w:p>
    <w:p>
      <w:pPr>
        <w:spacing w:after="80" w:before="80"/>
      </w:pPr>
      <w:r>
        <w:rPr>
          <w:rFonts w:ascii="Arial" w:cs="Arial" w:eastAsia="Arial" w:hAnsi="Arial"/>
          <w:sz w:val="22"/>
          <w:szCs w:val="22"/>
        </w:rPr>
        <w:t xml:space="preserve">Regional analysis reveals significant variation in sales performance across the four operating regions.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West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$725,457.82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31.6%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$678,781.24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Central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$501,239.89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$391,721.91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Key Insights</w:t>
      </w:r>
    </w:p>
    <w:p>
      <w:pPr>
        <w:pStyle w:val="ListParagraph"/>
        <w:numPr>
          <w:ilvl w:val="0"/>
          <w:numId w:val="2"/>
        </w:numPr>
        <w:spacing w:after="60" w:before="60"/>
      </w:pPr>
      <w:r>
        <w:rPr>
          <w:rFonts w:ascii="Arial" w:cs="Arial" w:eastAsia="Arial" w:hAnsi="Arial"/>
          <w:sz w:val="22"/>
          <w:szCs w:val="22"/>
        </w:rPr>
        <w:t xml:space="preserve">The West region leads in total sales, contributing nearly one-third of all revenue.</w:t>
      </w:r>
    </w:p>
    <w:p>
      <w:pPr>
        <w:pStyle w:val="ListParagraph"/>
        <w:numPr>
          <w:ilvl w:val="0"/>
          <w:numId w:val="2"/>
        </w:numPr>
        <w:spacing w:after="60" w:before="60"/>
      </w:pPr>
      <w:r>
        <w:rPr>
          <w:rFonts w:ascii="Arial" w:cs="Arial" w:eastAsia="Arial" w:hAnsi="Arial"/>
          <w:sz w:val="22"/>
          <w:szCs w:val="22"/>
        </w:rPr>
        <w:t xml:space="preserve">The East region follows closely, showing strong market presence.</w:t>
      </w:r>
    </w:p>
    <w:p>
      <w:pPr>
        <w:pStyle w:val="ListParagraph"/>
        <w:numPr>
          <w:ilvl w:val="0"/>
          <w:numId w:val="2"/>
        </w:numPr>
        <w:spacing w:after="60" w:before="60"/>
      </w:pPr>
      <w:r>
        <w:rPr>
          <w:rFonts w:ascii="Arial" w:cs="Arial" w:eastAsia="Arial" w:hAnsi="Arial"/>
          <w:sz w:val="22"/>
          <w:szCs w:val="22"/>
        </w:rPr>
        <w:t xml:space="preserve">The South region underperforms significantly, generating only 17.1% of total sales.</w:t>
      </w:r>
    </w:p>
    <w:p>
      <w:pPr>
        <w:pStyle w:val="ListParagraph"/>
        <w:numPr>
          <w:ilvl w:val="0"/>
          <w:numId w:val="2"/>
        </w:numPr>
        <w:spacing w:after="60" w:before="60"/>
      </w:pPr>
      <w:r>
        <w:rPr>
          <w:rFonts w:ascii="Arial" w:cs="Arial" w:eastAsia="Arial" w:hAnsi="Arial"/>
          <w:sz w:val="22"/>
          <w:szCs w:val="22"/>
        </w:rPr>
        <w:t xml:space="preserve">Combined, West and East account for over 61% of total revenue.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Recommendation</w:t>
      </w:r>
    </w:p>
    <w:p>
      <w:pPr>
        <w:spacing w:after="80" w:before="80"/>
      </w:pPr>
      <w:r>
        <w:rPr>
          <w:rFonts w:ascii="Arial" w:cs="Arial" w:eastAsia="Arial" w:hAnsi="Arial"/>
          <w:color w:val="1F4E79"/>
          <w:sz w:val="22"/>
          <w:szCs w:val="22"/>
        </w:rPr>
        <w:t xml:space="preserve">Management should investigate growth opportunities in the South and Central regions. Marketing campaigns and targeted promotions could help improve performance in these underperforming areas.</w:t>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3. Profitability by Product Category</w:t>
      </w:r>
    </w:p>
    <w:p>
      <w:pPr>
        <w:spacing w:after="80" w:before="80"/>
      </w:pPr>
      <w:r>
        <w:rPr>
          <w:rFonts w:ascii="Arial" w:cs="Arial" w:eastAsia="Arial" w:hAnsi="Arial"/>
          <w:sz w:val="22"/>
          <w:szCs w:val="22"/>
        </w:rPr>
        <w:t xml:space="preserve">Category-level profit analysis identifies which product lines drive the most value for the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Profit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 Profit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Technology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$145,454.95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50.8%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 Performer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Office Supplies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$122,490.80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Strong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Furniture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$18,451.27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Underperforming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Key Insights</w:t>
      </w:r>
    </w:p>
    <w:p>
      <w:pPr>
        <w:pStyle w:val="ListParagraph"/>
        <w:numPr>
          <w:ilvl w:val="0"/>
          <w:numId w:val="2"/>
        </w:numPr>
        <w:spacing w:after="60" w:before="60"/>
      </w:pPr>
      <w:r>
        <w:rPr>
          <w:rFonts w:ascii="Arial" w:cs="Arial" w:eastAsia="Arial" w:hAnsi="Arial"/>
          <w:sz w:val="22"/>
          <w:szCs w:val="22"/>
        </w:rPr>
        <w:t xml:space="preserve">Technology is the most profitable category, contributing over 50% of total profits.</w:t>
      </w:r>
    </w:p>
    <w:p>
      <w:pPr>
        <w:pStyle w:val="ListParagraph"/>
        <w:numPr>
          <w:ilvl w:val="0"/>
          <w:numId w:val="2"/>
        </w:numPr>
        <w:spacing w:after="60" w:before="60"/>
      </w:pPr>
      <w:r>
        <w:rPr>
          <w:rFonts w:ascii="Arial" w:cs="Arial" w:eastAsia="Arial" w:hAnsi="Arial"/>
          <w:sz w:val="22"/>
          <w:szCs w:val="22"/>
        </w:rPr>
        <w:t xml:space="preserve">Office Supplies is a reliable profit contributor with consistent margins.</w:t>
      </w:r>
    </w:p>
    <w:p>
      <w:pPr>
        <w:pStyle w:val="ListParagraph"/>
        <w:numPr>
          <w:ilvl w:val="0"/>
          <w:numId w:val="2"/>
        </w:numPr>
        <w:spacing w:after="60" w:before="60"/>
      </w:pPr>
      <w:r>
        <w:rPr>
          <w:rFonts w:ascii="Arial" w:cs="Arial" w:eastAsia="Arial" w:hAnsi="Arial"/>
          <w:sz w:val="22"/>
          <w:szCs w:val="22"/>
        </w:rPr>
        <w:t xml:space="preserve">Furniture generates very low profit despite likely high sales volume — margins are poor.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Recommendation</w:t>
      </w:r>
    </w:p>
    <w:p>
      <w:pPr>
        <w:spacing w:after="80" w:before="80"/>
      </w:pPr>
      <w:r>
        <w:rPr>
          <w:rFonts w:ascii="Arial" w:cs="Arial" w:eastAsia="Arial" w:hAnsi="Arial"/>
          <w:color w:val="1F4E79"/>
          <w:sz w:val="22"/>
          <w:szCs w:val="22"/>
        </w:rPr>
        <w:t xml:space="preserve">The company should review the Furniture category pricing strategy. High discounts or supply chain costs may be eroding margins. Consider reducing discounts on furniture or renegotiating supplier contracts.</w:t>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4. Impact of Discounts on Profit</w:t>
      </w:r>
    </w:p>
    <w:p>
      <w:pPr>
        <w:spacing w:after="80" w:before="80"/>
      </w:pPr>
      <w:r>
        <w:rPr>
          <w:rFonts w:ascii="Arial" w:cs="Arial" w:eastAsia="Arial" w:hAnsi="Arial"/>
          <w:sz w:val="22"/>
          <w:szCs w:val="22"/>
        </w:rPr>
        <w:t xml:space="preserve">One of the most critical findings from the SQL analysis is the strong negative relationship between discount levels and average profit.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 Level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 Profit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Impact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 (No Discount)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$68.11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Highly Profitable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Profitable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15% Discount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$27.29</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Marginal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 Discount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Marginal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30% Discount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-$45.68</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LOSS MAKING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Key Insights</w:t>
      </w:r>
    </w:p>
    <w:p>
      <w:pPr>
        <w:pStyle w:val="ListParagraph"/>
        <w:numPr>
          <w:ilvl w:val="0"/>
          <w:numId w:val="2"/>
        </w:numPr>
        <w:spacing w:after="60" w:before="60"/>
      </w:pPr>
      <w:r>
        <w:rPr>
          <w:rFonts w:ascii="Arial" w:cs="Arial" w:eastAsia="Arial" w:hAnsi="Arial"/>
          <w:sz w:val="22"/>
          <w:szCs w:val="22"/>
        </w:rPr>
        <w:t xml:space="preserve">Orders with no discount generate an average profit of $68 per order.</w:t>
      </w:r>
    </w:p>
    <w:p>
      <w:pPr>
        <w:pStyle w:val="ListParagraph"/>
        <w:numPr>
          <w:ilvl w:val="0"/>
          <w:numId w:val="2"/>
        </w:numPr>
        <w:spacing w:after="60" w:before="60"/>
      </w:pPr>
      <w:r>
        <w:rPr>
          <w:rFonts w:ascii="Arial" w:cs="Arial" w:eastAsia="Arial" w:hAnsi="Arial"/>
          <w:sz w:val="22"/>
          <w:szCs w:val="22"/>
        </w:rPr>
        <w:t xml:space="preserve">At 30% discount, the business is losing an average of $45.68 per order.</w:t>
      </w:r>
    </w:p>
    <w:p>
      <w:pPr>
        <w:pStyle w:val="ListParagraph"/>
        <w:numPr>
          <w:ilvl w:val="0"/>
          <w:numId w:val="2"/>
        </w:numPr>
        <w:spacing w:after="60" w:before="60"/>
      </w:pPr>
      <w:r>
        <w:rPr>
          <w:rFonts w:ascii="Arial" w:cs="Arial" w:eastAsia="Arial" w:hAnsi="Arial"/>
          <w:sz w:val="22"/>
          <w:szCs w:val="22"/>
        </w:rPr>
        <w:t xml:space="preserve">Discounts above 20% consistently result in negative profit margins.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Recommendation</w:t>
      </w:r>
    </w:p>
    <w:p>
      <w:pPr>
        <w:spacing w:after="80" w:before="80"/>
      </w:pPr>
      <w:r>
        <w:rPr>
          <w:rFonts w:ascii="Arial" w:cs="Arial" w:eastAsia="Arial" w:hAnsi="Arial"/>
          <w:color w:val="1F4E79"/>
          <w:sz w:val="22"/>
          <w:szCs w:val="22"/>
        </w:rPr>
        <w:t xml:space="preserve">Discounts above 20% should be strictly limited or eliminated. The business is actively losing money on high-discount orders. A discount cap policy of 15-20% maximum is strongly recommended.</w:t>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5. Monthly Sales Trend</w:t>
      </w:r>
    </w:p>
    <w:p>
      <w:pPr>
        <w:spacing w:after="80" w:before="80"/>
      </w:pPr>
      <w:r>
        <w:rPr>
          <w:rFonts w:ascii="Arial" w:cs="Arial" w:eastAsia="Arial" w:hAnsi="Arial"/>
          <w:sz w:val="22"/>
          <w:szCs w:val="22"/>
        </w:rPr>
        <w:t xml:space="preserve">Sales show a clear seasonal pattern throughout the year, with strong performance in the second half.</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Key Observations</w:t>
      </w:r>
    </w:p>
    <w:p>
      <w:pPr>
        <w:pStyle w:val="ListParagraph"/>
        <w:numPr>
          <w:ilvl w:val="0"/>
          <w:numId w:val="2"/>
        </w:numPr>
        <w:spacing w:after="60" w:before="60"/>
      </w:pPr>
      <w:r>
        <w:rPr>
          <w:rFonts w:ascii="Arial" w:cs="Arial" w:eastAsia="Arial" w:hAnsi="Arial"/>
          <w:sz w:val="22"/>
          <w:szCs w:val="22"/>
        </w:rPr>
        <w:t xml:space="preserve">Sales peak during November and December, driven by the holiday shopping season.</w:t>
      </w:r>
    </w:p>
    <w:p>
      <w:pPr>
        <w:pStyle w:val="ListParagraph"/>
        <w:numPr>
          <w:ilvl w:val="0"/>
          <w:numId w:val="2"/>
        </w:numPr>
        <w:spacing w:after="60" w:before="60"/>
      </w:pPr>
      <w:r>
        <w:rPr>
          <w:rFonts w:ascii="Arial" w:cs="Arial" w:eastAsia="Arial" w:hAnsi="Arial"/>
          <w:sz w:val="22"/>
          <w:szCs w:val="22"/>
        </w:rPr>
        <w:t xml:space="preserve">March and September also show strong performance, suggesting quarterly business cycles.</w:t>
      </w:r>
    </w:p>
    <w:p>
      <w:pPr>
        <w:pStyle w:val="ListParagraph"/>
        <w:numPr>
          <w:ilvl w:val="0"/>
          <w:numId w:val="2"/>
        </w:numPr>
        <w:spacing w:after="60" w:before="60"/>
      </w:pPr>
      <w:r>
        <w:rPr>
          <w:rFonts w:ascii="Arial" w:cs="Arial" w:eastAsia="Arial" w:hAnsi="Arial"/>
          <w:sz w:val="22"/>
          <w:szCs w:val="22"/>
        </w:rPr>
        <w:t xml:space="preserve">January and February consistently show the lowest sales — typical post-holiday slowdown.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Recommendation</w:t>
      </w:r>
    </w:p>
    <w:p>
      <w:pPr>
        <w:spacing w:after="80" w:before="80"/>
      </w:pPr>
      <w:r>
        <w:rPr>
          <w:rFonts w:ascii="Arial" w:cs="Arial" w:eastAsia="Arial" w:hAnsi="Arial"/>
          <w:color w:val="1F4E79"/>
          <w:sz w:val="22"/>
          <w:szCs w:val="22"/>
        </w:rPr>
        <w:t xml:space="preserve">Plan inventory and staffing levels to match seasonal demand. Launch promotions in slow months (January, February) to boost revenue during off-peak periods.</w:t>
      </w:r>
    </w:p>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6. Key Recommendations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Discounting Policy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Cap discounts at 20% maximum to prevent loss-making orders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Furniture Category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Review pricing and supplier costs to improve thin margins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South Region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Launch targeted campaigns to grow the weakest performing region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Seasonal Planning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Prepare for Q4 demand surge; run promotions in Q1 slow months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Technology Focus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Continue investing in the Technology category as the top profit driver</w:t>
            </w:r>
          </w:p>
        </w:tc>
      </w:tr>
    </w:tbl>
    <w:p>
      <w:pPr>
        <w:spacing w:after="80" w:before="80"/>
      </w:pPr>
      <w:r>
        <w:t xml:space="preserve"/>
      </w:r>
    </w:p>
    <w:p>
      <w:pPr>
        <w:pStyle w:val="Heading1"/>
        <w:pBdr>
          <w:bottom w:val="single" w:color="1F4E79" w:sz="6" w:space="4"/>
        </w:pBdr>
        <w:spacing w:after="160" w:before="320"/>
      </w:pPr>
      <w:r>
        <w:rPr>
          <w:rFonts w:ascii="Arial" w:cs="Arial" w:eastAsia="Arial" w:hAnsi="Arial"/>
          <w:b/>
          <w:bCs/>
          <w:color w:val="1F4E79"/>
          <w:sz w:val="32"/>
          <w:szCs w:val="32"/>
        </w:rPr>
        <w:t xml:space="preserve">7. Conclusion</w:t>
      </w:r>
    </w:p>
    <w:p>
      <w:pPr>
        <w:spacing w:after="80" w:before="80"/>
      </w:pPr>
      <w:r>
        <w:rPr>
          <w:rFonts w:ascii="Arial" w:cs="Arial" w:eastAsia="Arial" w:hAnsi="Arial"/>
          <w:sz w:val="22"/>
          <w:szCs w:val="22"/>
        </w:rPr>
        <w:t xml:space="preserve">The Superstore dataset analysis reveals a business with strong overall revenue but with clear opportunities for profit improvement. The key takeaways are: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West and East regions are the primary revenue drivers and should be maintained.</w:t>
      </w:r>
    </w:p>
    <w:p>
      <w:pPr>
        <w:pStyle w:val="ListParagraph"/>
        <w:numPr>
          <w:ilvl w:val="0"/>
          <w:numId w:val="2"/>
        </w:numPr>
        <w:spacing w:after="60" w:before="60"/>
      </w:pPr>
      <w:r>
        <w:rPr>
          <w:rFonts w:ascii="Arial" w:cs="Arial" w:eastAsia="Arial" w:hAnsi="Arial"/>
          <w:sz w:val="22"/>
          <w:szCs w:val="22"/>
        </w:rPr>
        <w:t xml:space="preserve">Technology and Office Supplies are the most profitable categories.</w:t>
      </w:r>
    </w:p>
    <w:p>
      <w:pPr>
        <w:pStyle w:val="ListParagraph"/>
        <w:numPr>
          <w:ilvl w:val="0"/>
          <w:numId w:val="2"/>
        </w:numPr>
        <w:spacing w:after="60" w:before="60"/>
      </w:pPr>
      <w:r>
        <w:rPr>
          <w:rFonts w:ascii="Arial" w:cs="Arial" w:eastAsia="Arial" w:hAnsi="Arial"/>
          <w:sz w:val="22"/>
          <w:szCs w:val="22"/>
        </w:rPr>
        <w:t xml:space="preserve">Excessive discounting is the single biggest threat to profitability.</w:t>
      </w:r>
    </w:p>
    <w:p>
      <w:pPr>
        <w:pStyle w:val="ListParagraph"/>
        <w:numPr>
          <w:ilvl w:val="0"/>
          <w:numId w:val="2"/>
        </w:numPr>
        <w:spacing w:after="60" w:before="60"/>
      </w:pPr>
      <w:r>
        <w:rPr>
          <w:rFonts w:ascii="Arial" w:cs="Arial" w:eastAsia="Arial" w:hAnsi="Arial"/>
          <w:sz w:val="22"/>
          <w:szCs w:val="22"/>
        </w:rPr>
        <w:t xml:space="preserve">Furniture requires urgent strategic review due to its very low profit margins.</w:t>
      </w:r>
    </w:p>
    <w:p>
      <w:pPr>
        <w:spacing w:after="80" w:before="80"/>
      </w:pPr>
      <w:r>
        <w:t xml:space="preserve"/>
      </w:r>
    </w:p>
    <w:p>
      <w:pPr>
        <w:spacing w:after="80" w:before="80"/>
      </w:pPr>
      <w:r>
        <w:rPr>
          <w:rFonts w:ascii="Arial" w:cs="Arial" w:eastAsia="Arial" w:hAnsi="Arial"/>
          <w:sz w:val="22"/>
          <w:szCs w:val="22"/>
        </w:rPr>
        <w:t xml:space="preserve">Implementing the recommendations in this report — particularly around discount management and regional growth — could significantly improve overall business profitability.</w:t>
      </w:r>
    </w:p>
    <w:p>
      <w:pPr>
        <w:spacing w:after="80" w:before="80"/>
      </w:pPr>
      <w:r>
        <w:t xml:space="preserve"/>
      </w:r>
    </w:p>
    <w:p>
      <w:pPr>
        <w:pBdr>
          <w:top w:val="single" w:color="1F4E79" w:sz="4" w:space="4"/>
        </w:pBdr>
        <w:spacing w:after="80" w:before="240"/>
      </w:pPr>
      <w:r>
        <w:rPr>
          <w:rFonts w:ascii="Arial" w:cs="Arial" w:eastAsia="Arial" w:hAnsi="Arial"/>
          <w:i/>
          <w:iCs/>
          <w:color w:val="888888"/>
          <w:sz w:val="18"/>
          <w:szCs w:val="18"/>
        </w:rPr>
        <w:t xml:space="preserve">Report prepared as part of Data Analytics &amp; Business Intelligence Task 1 | Maincrafts Technology Internship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Business Insights Report | Superstore Sales Dataset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2026-06-09T05:31:13.343Z</dcterms:created>
  <dcterms:modified xsi:type="dcterms:W3CDTF">2026-06-09T05:31:13.343Z</dcterms:modified>
</cp:coreProperties>
</file>

<file path=docProps/custom.xml><?xml version="1.0" encoding="utf-8"?>
<Properties xmlns="http://schemas.openxmlformats.org/officeDocument/2006/custom-properties" xmlns:vt="http://schemas.openxmlformats.org/officeDocument/2006/docPropsVTypes"/>
</file>