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15F21" w14:textId="65AF50AE" w:rsidR="00D07705" w:rsidRPr="00D07705" w:rsidRDefault="00D07705" w:rsidP="00D07705">
      <w:pPr>
        <w:pStyle w:val="NormalWeb"/>
        <w:jc w:val="center"/>
        <w:rPr>
          <w:rFonts w:ascii="Arial" w:hAnsi="Arial" w:cs="Arial"/>
          <w:b/>
          <w:bCs/>
        </w:rPr>
      </w:pPr>
      <w:r w:rsidRPr="00D07705">
        <w:rPr>
          <w:rFonts w:ascii="Georgia" w:hAnsi="Georgia" w:cs="Arial"/>
          <w:b/>
          <w:bCs/>
          <w:color w:val="0D0D0D" w:themeColor="text1" w:themeTint="F2"/>
          <w:sz w:val="32"/>
          <w:szCs w:val="32"/>
        </w:rPr>
        <w:t>LOAN DEFAULT RISK ANALYSIS</w:t>
      </w:r>
      <w:r w:rsidRPr="00D07705">
        <w:rPr>
          <w:rFonts w:ascii="Arial" w:hAnsi="Arial" w:cs="Arial"/>
          <w:b/>
          <w:bCs/>
          <w:color w:val="0D0D0D" w:themeColor="text1" w:themeTint="F2"/>
        </w:rPr>
        <w:t xml:space="preserve"> </w:t>
      </w:r>
    </w:p>
    <w:p w14:paraId="2EEFE4F0"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OBJECTIVE</w:t>
      </w:r>
    </w:p>
    <w:p w14:paraId="442E9810" w14:textId="77777777" w:rsidR="00D07705" w:rsidRPr="00D07705" w:rsidRDefault="00D07705" w:rsidP="00D07705">
      <w:pPr>
        <w:pStyle w:val="NormalWeb"/>
        <w:rPr>
          <w:rFonts w:ascii="Arial" w:hAnsi="Arial" w:cs="Arial"/>
        </w:rPr>
      </w:pPr>
      <w:r w:rsidRPr="00D07705">
        <w:rPr>
          <w:rFonts w:ascii="Arial" w:hAnsi="Arial" w:cs="Arial"/>
        </w:rPr>
        <w:t>The objective of this project is to analyze borrower and loan application data to understand the key factors influencing loan default risk. The goal is to identify patterns in borrower behavior, financial health, and loan characteristics that contribute to default probability and provide actionable insights for risk assessment.</w:t>
      </w:r>
    </w:p>
    <w:p w14:paraId="4A8C8596"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TOOLS &amp; LIBRARIES USED</w:t>
      </w:r>
    </w:p>
    <w:p w14:paraId="06C8C96E" w14:textId="77777777" w:rsidR="00D07705" w:rsidRDefault="00D07705" w:rsidP="00D07705">
      <w:pPr>
        <w:pStyle w:val="NormalWeb"/>
        <w:rPr>
          <w:rFonts w:ascii="Arial" w:hAnsi="Arial" w:cs="Arial"/>
        </w:rPr>
      </w:pPr>
      <w:r w:rsidRPr="00D07705">
        <w:rPr>
          <w:rFonts w:ascii="Arial" w:hAnsi="Arial" w:cs="Arial"/>
        </w:rPr>
        <w:t>Python was used for analysis along with the following libraries:</w:t>
      </w:r>
      <w:r>
        <w:rPr>
          <w:rFonts w:ascii="Arial" w:hAnsi="Arial" w:cs="Arial"/>
        </w:rPr>
        <w:t xml:space="preserve"> </w:t>
      </w:r>
    </w:p>
    <w:p w14:paraId="607D4F93" w14:textId="3ED22FAB" w:rsidR="00D07705" w:rsidRPr="00D07705" w:rsidRDefault="00D07705" w:rsidP="00D07705">
      <w:pPr>
        <w:pStyle w:val="NormalWeb"/>
        <w:rPr>
          <w:rFonts w:ascii="Arial" w:hAnsi="Arial" w:cs="Arial"/>
        </w:rPr>
      </w:pPr>
      <w:r w:rsidRPr="00D07705">
        <w:rPr>
          <w:rFonts w:ascii="Arial" w:hAnsi="Arial" w:cs="Arial"/>
          <w:b/>
          <w:bCs/>
        </w:rPr>
        <w:t>Pandas</w:t>
      </w:r>
      <w:r w:rsidRPr="00D07705">
        <w:rPr>
          <w:rFonts w:ascii="Arial" w:hAnsi="Arial" w:cs="Arial"/>
        </w:rPr>
        <w:t xml:space="preserve"> for data handling, </w:t>
      </w:r>
      <w:r w:rsidRPr="00D07705">
        <w:rPr>
          <w:rFonts w:ascii="Arial" w:hAnsi="Arial" w:cs="Arial"/>
          <w:b/>
          <w:bCs/>
        </w:rPr>
        <w:t>NumPy</w:t>
      </w:r>
      <w:r w:rsidRPr="00D07705">
        <w:rPr>
          <w:rFonts w:ascii="Arial" w:hAnsi="Arial" w:cs="Arial"/>
        </w:rPr>
        <w:t xml:space="preserve"> for numerical operations, </w:t>
      </w:r>
      <w:r w:rsidRPr="00D07705">
        <w:rPr>
          <w:rFonts w:ascii="Arial" w:hAnsi="Arial" w:cs="Arial"/>
          <w:b/>
          <w:bCs/>
        </w:rPr>
        <w:t>Matplotlib and Seaborn</w:t>
      </w:r>
      <w:r w:rsidRPr="00D07705">
        <w:rPr>
          <w:rFonts w:ascii="Arial" w:hAnsi="Arial" w:cs="Arial"/>
        </w:rPr>
        <w:t xml:space="preserve"> for visualization, and Warning library to ignore unnecessary alerts.</w:t>
      </w:r>
      <w:r>
        <w:rPr>
          <w:rFonts w:ascii="Arial" w:hAnsi="Arial" w:cs="Arial"/>
        </w:rPr>
        <w:t xml:space="preserve"> </w:t>
      </w:r>
      <w:r w:rsidRPr="00D07705">
        <w:rPr>
          <w:rFonts w:ascii="Arial" w:hAnsi="Arial" w:cs="Arial"/>
        </w:rPr>
        <w:t>Seaborn theme was customized using a dark dashboard style for better visualization clarity.</w:t>
      </w:r>
    </w:p>
    <w:p w14:paraId="4262A9AC"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DATA LOADING AND UNDERSTANDING</w:t>
      </w:r>
    </w:p>
    <w:p w14:paraId="5E13FB35" w14:textId="77777777" w:rsidR="00D07705" w:rsidRPr="00D07705" w:rsidRDefault="00D07705" w:rsidP="00D07705">
      <w:pPr>
        <w:pStyle w:val="NormalWeb"/>
        <w:rPr>
          <w:rFonts w:ascii="Arial" w:hAnsi="Arial" w:cs="Arial"/>
        </w:rPr>
      </w:pPr>
      <w:r w:rsidRPr="00D07705">
        <w:rPr>
          <w:rFonts w:ascii="Arial" w:hAnsi="Arial" w:cs="Arial"/>
        </w:rPr>
        <w:t>Two datasets were loaded:</w:t>
      </w:r>
    </w:p>
    <w:p w14:paraId="3F990449" w14:textId="77777777" w:rsidR="00D07705" w:rsidRPr="00D07705" w:rsidRDefault="00D07705" w:rsidP="00D07705">
      <w:pPr>
        <w:pStyle w:val="NormalWeb"/>
        <w:numPr>
          <w:ilvl w:val="0"/>
          <w:numId w:val="1"/>
        </w:numPr>
        <w:rPr>
          <w:rFonts w:ascii="Arial" w:hAnsi="Arial" w:cs="Arial"/>
        </w:rPr>
      </w:pPr>
      <w:r w:rsidRPr="00D07705">
        <w:rPr>
          <w:rFonts w:ascii="Arial" w:hAnsi="Arial" w:cs="Arial"/>
        </w:rPr>
        <w:t>Borrower Profiles Dataset</w:t>
      </w:r>
    </w:p>
    <w:p w14:paraId="6C462ACD" w14:textId="77777777" w:rsidR="00D07705" w:rsidRPr="00D07705" w:rsidRDefault="00D07705" w:rsidP="00D07705">
      <w:pPr>
        <w:pStyle w:val="NormalWeb"/>
        <w:numPr>
          <w:ilvl w:val="0"/>
          <w:numId w:val="1"/>
        </w:numPr>
        <w:rPr>
          <w:rFonts w:ascii="Arial" w:hAnsi="Arial" w:cs="Arial"/>
        </w:rPr>
      </w:pPr>
      <w:r w:rsidRPr="00D07705">
        <w:rPr>
          <w:rFonts w:ascii="Arial" w:hAnsi="Arial" w:cs="Arial"/>
        </w:rPr>
        <w:t>Loan Applications Dataset</w:t>
      </w:r>
    </w:p>
    <w:p w14:paraId="5AE4E2D9" w14:textId="77777777" w:rsidR="00D07705" w:rsidRPr="00D07705" w:rsidRDefault="00D07705" w:rsidP="00D07705">
      <w:pPr>
        <w:pStyle w:val="NormalWeb"/>
        <w:rPr>
          <w:rFonts w:ascii="Arial" w:hAnsi="Arial" w:cs="Arial"/>
        </w:rPr>
      </w:pPr>
      <w:r w:rsidRPr="00D07705">
        <w:rPr>
          <w:rFonts w:ascii="Arial" w:hAnsi="Arial" w:cs="Arial"/>
        </w:rPr>
        <w:t>Initial inspection included:</w:t>
      </w:r>
    </w:p>
    <w:p w14:paraId="19DF79B9" w14:textId="77777777" w:rsidR="00D07705" w:rsidRPr="00D07705" w:rsidRDefault="00D07705" w:rsidP="00D07705">
      <w:pPr>
        <w:pStyle w:val="NormalWeb"/>
        <w:rPr>
          <w:rFonts w:ascii="Arial" w:hAnsi="Arial" w:cs="Arial"/>
        </w:rPr>
      </w:pPr>
      <w:r w:rsidRPr="00D07705">
        <w:rPr>
          <w:rFonts w:ascii="Arial" w:hAnsi="Arial" w:cs="Arial"/>
        </w:rPr>
        <w:t>Checking dataset shape</w:t>
      </w:r>
    </w:p>
    <w:p w14:paraId="2D4D6E59" w14:textId="77777777" w:rsidR="00D07705" w:rsidRPr="00D07705" w:rsidRDefault="00D07705" w:rsidP="00D07705">
      <w:pPr>
        <w:pStyle w:val="NormalWeb"/>
        <w:rPr>
          <w:rFonts w:ascii="Arial" w:hAnsi="Arial" w:cs="Arial"/>
        </w:rPr>
      </w:pPr>
      <w:r w:rsidRPr="00D07705">
        <w:rPr>
          <w:rFonts w:ascii="Arial" w:hAnsi="Arial" w:cs="Arial"/>
        </w:rPr>
        <w:t>Understanding column types</w:t>
      </w:r>
    </w:p>
    <w:p w14:paraId="0E8F1265" w14:textId="77777777" w:rsidR="00D07705" w:rsidRPr="00D07705" w:rsidRDefault="00D07705" w:rsidP="00D07705">
      <w:pPr>
        <w:pStyle w:val="NormalWeb"/>
        <w:rPr>
          <w:rFonts w:ascii="Arial" w:hAnsi="Arial" w:cs="Arial"/>
        </w:rPr>
      </w:pPr>
      <w:r w:rsidRPr="00D07705">
        <w:rPr>
          <w:rFonts w:ascii="Arial" w:hAnsi="Arial" w:cs="Arial"/>
        </w:rPr>
        <w:t>Identifying unique values in categorical variables</w:t>
      </w:r>
    </w:p>
    <w:p w14:paraId="21C159CD" w14:textId="77777777" w:rsidR="00D07705" w:rsidRPr="00D07705" w:rsidRDefault="00D07705" w:rsidP="00D07705">
      <w:pPr>
        <w:pStyle w:val="NormalWeb"/>
        <w:rPr>
          <w:rFonts w:ascii="Arial" w:hAnsi="Arial" w:cs="Arial"/>
        </w:rPr>
      </w:pPr>
      <w:r w:rsidRPr="00D07705">
        <w:rPr>
          <w:rFonts w:ascii="Arial" w:hAnsi="Arial" w:cs="Arial"/>
        </w:rPr>
        <w:t>Both datasets were found to be clean with no missing values or duplicates.</w:t>
      </w:r>
    </w:p>
    <w:p w14:paraId="119ECE4A"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DATA PREPROCESSING</w:t>
      </w:r>
    </w:p>
    <w:p w14:paraId="145CA4EF" w14:textId="77777777" w:rsidR="00D07705" w:rsidRPr="00D07705" w:rsidRDefault="00D07705" w:rsidP="00D07705">
      <w:pPr>
        <w:pStyle w:val="NormalWeb"/>
        <w:rPr>
          <w:rFonts w:ascii="Arial" w:hAnsi="Arial" w:cs="Arial"/>
          <w:b/>
          <w:bCs/>
        </w:rPr>
      </w:pPr>
      <w:r w:rsidRPr="00D07705">
        <w:rPr>
          <w:rFonts w:ascii="Arial" w:hAnsi="Arial" w:cs="Arial"/>
          <w:b/>
          <w:bCs/>
        </w:rPr>
        <w:t>Data Type Conversion</w:t>
      </w:r>
    </w:p>
    <w:p w14:paraId="41301335" w14:textId="77777777" w:rsidR="00D07705" w:rsidRPr="00D07705" w:rsidRDefault="00D07705" w:rsidP="00D07705">
      <w:pPr>
        <w:pStyle w:val="NormalWeb"/>
        <w:rPr>
          <w:rFonts w:ascii="Arial" w:hAnsi="Arial" w:cs="Arial"/>
        </w:rPr>
      </w:pPr>
      <w:r w:rsidRPr="00D07705">
        <w:rPr>
          <w:rFonts w:ascii="Arial" w:hAnsi="Arial" w:cs="Arial"/>
        </w:rPr>
        <w:t xml:space="preserve">The </w:t>
      </w:r>
      <w:proofErr w:type="spellStart"/>
      <w:r w:rsidRPr="00D07705">
        <w:rPr>
          <w:rFonts w:ascii="Arial" w:hAnsi="Arial" w:cs="Arial"/>
        </w:rPr>
        <w:t>application_date</w:t>
      </w:r>
      <w:proofErr w:type="spellEnd"/>
      <w:r w:rsidRPr="00D07705">
        <w:rPr>
          <w:rFonts w:ascii="Arial" w:hAnsi="Arial" w:cs="Arial"/>
        </w:rPr>
        <w:t xml:space="preserve"> column was converted from object type to datetime format for proper time-based analysis.</w:t>
      </w:r>
    </w:p>
    <w:p w14:paraId="6C5D9C70" w14:textId="77777777" w:rsidR="00D07705" w:rsidRPr="00D07705" w:rsidRDefault="00D07705" w:rsidP="00D07705">
      <w:pPr>
        <w:pStyle w:val="NormalWeb"/>
        <w:rPr>
          <w:rFonts w:ascii="Arial" w:hAnsi="Arial" w:cs="Arial"/>
          <w:b/>
          <w:bCs/>
        </w:rPr>
      </w:pPr>
      <w:r w:rsidRPr="00D07705">
        <w:rPr>
          <w:rFonts w:ascii="Arial" w:hAnsi="Arial" w:cs="Arial"/>
          <w:b/>
          <w:bCs/>
        </w:rPr>
        <w:t>Dataset Merging</w:t>
      </w:r>
    </w:p>
    <w:p w14:paraId="5E4759C4" w14:textId="77777777" w:rsidR="00D07705" w:rsidRPr="00D07705" w:rsidRDefault="00D07705" w:rsidP="00D07705">
      <w:pPr>
        <w:pStyle w:val="NormalWeb"/>
        <w:rPr>
          <w:rFonts w:ascii="Arial" w:hAnsi="Arial" w:cs="Arial"/>
        </w:rPr>
      </w:pPr>
      <w:r w:rsidRPr="00D07705">
        <w:rPr>
          <w:rFonts w:ascii="Arial" w:hAnsi="Arial" w:cs="Arial"/>
        </w:rPr>
        <w:t xml:space="preserve">Both datasets were merged using </w:t>
      </w:r>
      <w:proofErr w:type="spellStart"/>
      <w:r w:rsidRPr="00D07705">
        <w:rPr>
          <w:rFonts w:ascii="Arial" w:hAnsi="Arial" w:cs="Arial"/>
        </w:rPr>
        <w:t>borrower_id</w:t>
      </w:r>
      <w:proofErr w:type="spellEnd"/>
      <w:r w:rsidRPr="00D07705">
        <w:rPr>
          <w:rFonts w:ascii="Arial" w:hAnsi="Arial" w:cs="Arial"/>
        </w:rPr>
        <w:t xml:space="preserve"> using an inner join to create a unified dataset containing both borrower and loan information.</w:t>
      </w:r>
    </w:p>
    <w:p w14:paraId="724B8F63" w14:textId="77777777" w:rsidR="00D07705" w:rsidRPr="00D07705" w:rsidRDefault="00D07705" w:rsidP="00D07705">
      <w:pPr>
        <w:pStyle w:val="NormalWeb"/>
        <w:rPr>
          <w:rFonts w:ascii="Arial" w:hAnsi="Arial" w:cs="Arial"/>
        </w:rPr>
      </w:pPr>
      <w:r w:rsidRPr="00D07705">
        <w:rPr>
          <w:rFonts w:ascii="Arial" w:hAnsi="Arial" w:cs="Arial"/>
        </w:rPr>
        <w:lastRenderedPageBreak/>
        <w:t>Final merged dataset contained:</w:t>
      </w:r>
    </w:p>
    <w:p w14:paraId="57C8CB57" w14:textId="77777777" w:rsidR="00D07705" w:rsidRPr="00D07705" w:rsidRDefault="00D07705" w:rsidP="00D07705">
      <w:pPr>
        <w:pStyle w:val="NormalWeb"/>
        <w:numPr>
          <w:ilvl w:val="0"/>
          <w:numId w:val="2"/>
        </w:numPr>
        <w:rPr>
          <w:rFonts w:ascii="Arial" w:hAnsi="Arial" w:cs="Arial"/>
        </w:rPr>
      </w:pPr>
      <w:r w:rsidRPr="00D07705">
        <w:rPr>
          <w:rFonts w:ascii="Arial" w:hAnsi="Arial" w:cs="Arial"/>
        </w:rPr>
        <w:t>601 rows</w:t>
      </w:r>
    </w:p>
    <w:p w14:paraId="4D2DA48B" w14:textId="77777777" w:rsidR="00D07705" w:rsidRPr="00D07705" w:rsidRDefault="00D07705" w:rsidP="00D07705">
      <w:pPr>
        <w:pStyle w:val="NormalWeb"/>
        <w:numPr>
          <w:ilvl w:val="0"/>
          <w:numId w:val="2"/>
        </w:numPr>
        <w:rPr>
          <w:rFonts w:ascii="Arial" w:hAnsi="Arial" w:cs="Arial"/>
        </w:rPr>
      </w:pPr>
      <w:r w:rsidRPr="00D07705">
        <w:rPr>
          <w:rFonts w:ascii="Arial" w:hAnsi="Arial" w:cs="Arial"/>
        </w:rPr>
        <w:t>24 columns</w:t>
      </w:r>
    </w:p>
    <w:p w14:paraId="6B0E3D76"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FEATURE ENGINEERING</w:t>
      </w:r>
    </w:p>
    <w:p w14:paraId="5FD1C5E4" w14:textId="77777777" w:rsidR="00D07705" w:rsidRDefault="00D07705" w:rsidP="00D07705">
      <w:pPr>
        <w:pStyle w:val="NormalWeb"/>
        <w:rPr>
          <w:rFonts w:ascii="Arial" w:hAnsi="Arial" w:cs="Arial"/>
        </w:rPr>
      </w:pPr>
      <w:r w:rsidRPr="00D07705">
        <w:rPr>
          <w:rFonts w:ascii="Arial" w:hAnsi="Arial" w:cs="Arial"/>
        </w:rPr>
        <w:t>Credit Score Binning</w:t>
      </w:r>
    </w:p>
    <w:p w14:paraId="17493D95" w14:textId="135C87C8" w:rsidR="00D07705" w:rsidRPr="00D07705" w:rsidRDefault="00D07705" w:rsidP="00D07705">
      <w:pPr>
        <w:pStyle w:val="NormalWeb"/>
        <w:rPr>
          <w:rFonts w:ascii="Arial" w:hAnsi="Arial" w:cs="Arial"/>
        </w:rPr>
      </w:pPr>
      <w:r w:rsidRPr="00D07705">
        <w:rPr>
          <w:rFonts w:ascii="Arial" w:hAnsi="Arial" w:cs="Arial"/>
        </w:rPr>
        <w:t>Credit scores were grouped into categories:</w:t>
      </w:r>
    </w:p>
    <w:p w14:paraId="6FCC39F8" w14:textId="77777777" w:rsidR="00D07705" w:rsidRPr="00D07705" w:rsidRDefault="00D07705" w:rsidP="00D07705">
      <w:pPr>
        <w:pStyle w:val="NormalWeb"/>
        <w:numPr>
          <w:ilvl w:val="0"/>
          <w:numId w:val="3"/>
        </w:numPr>
        <w:rPr>
          <w:rFonts w:ascii="Arial" w:hAnsi="Arial" w:cs="Arial"/>
        </w:rPr>
      </w:pPr>
      <w:r w:rsidRPr="00D07705">
        <w:rPr>
          <w:rFonts w:ascii="Arial" w:hAnsi="Arial" w:cs="Arial"/>
        </w:rPr>
        <w:t>520–599</w:t>
      </w:r>
    </w:p>
    <w:p w14:paraId="08D8CBD2" w14:textId="77777777" w:rsidR="00D07705" w:rsidRPr="00D07705" w:rsidRDefault="00D07705" w:rsidP="00D07705">
      <w:pPr>
        <w:pStyle w:val="NormalWeb"/>
        <w:numPr>
          <w:ilvl w:val="0"/>
          <w:numId w:val="3"/>
        </w:numPr>
        <w:rPr>
          <w:rFonts w:ascii="Arial" w:hAnsi="Arial" w:cs="Arial"/>
        </w:rPr>
      </w:pPr>
      <w:r w:rsidRPr="00D07705">
        <w:rPr>
          <w:rFonts w:ascii="Arial" w:hAnsi="Arial" w:cs="Arial"/>
        </w:rPr>
        <w:t>600–649</w:t>
      </w:r>
    </w:p>
    <w:p w14:paraId="000FD9FC" w14:textId="77777777" w:rsidR="00D07705" w:rsidRPr="00D07705" w:rsidRDefault="00D07705" w:rsidP="00D07705">
      <w:pPr>
        <w:pStyle w:val="NormalWeb"/>
        <w:numPr>
          <w:ilvl w:val="0"/>
          <w:numId w:val="3"/>
        </w:numPr>
        <w:rPr>
          <w:rFonts w:ascii="Arial" w:hAnsi="Arial" w:cs="Arial"/>
        </w:rPr>
      </w:pPr>
      <w:r w:rsidRPr="00D07705">
        <w:rPr>
          <w:rFonts w:ascii="Arial" w:hAnsi="Arial" w:cs="Arial"/>
        </w:rPr>
        <w:t>650–699</w:t>
      </w:r>
    </w:p>
    <w:p w14:paraId="7B2A4FD7" w14:textId="77777777" w:rsidR="00D07705" w:rsidRPr="00D07705" w:rsidRDefault="00D07705" w:rsidP="00D07705">
      <w:pPr>
        <w:pStyle w:val="NormalWeb"/>
        <w:numPr>
          <w:ilvl w:val="0"/>
          <w:numId w:val="3"/>
        </w:numPr>
        <w:rPr>
          <w:rFonts w:ascii="Arial" w:hAnsi="Arial" w:cs="Arial"/>
        </w:rPr>
      </w:pPr>
      <w:r w:rsidRPr="00D07705">
        <w:rPr>
          <w:rFonts w:ascii="Arial" w:hAnsi="Arial" w:cs="Arial"/>
        </w:rPr>
        <w:t>700–749</w:t>
      </w:r>
    </w:p>
    <w:p w14:paraId="2145ED42" w14:textId="77777777" w:rsidR="00D07705" w:rsidRPr="00D07705" w:rsidRDefault="00D07705" w:rsidP="00D07705">
      <w:pPr>
        <w:pStyle w:val="NormalWeb"/>
        <w:numPr>
          <w:ilvl w:val="0"/>
          <w:numId w:val="3"/>
        </w:numPr>
        <w:rPr>
          <w:rFonts w:ascii="Arial" w:hAnsi="Arial" w:cs="Arial"/>
        </w:rPr>
      </w:pPr>
      <w:r w:rsidRPr="00D07705">
        <w:rPr>
          <w:rFonts w:ascii="Arial" w:hAnsi="Arial" w:cs="Arial"/>
        </w:rPr>
        <w:t>750+</w:t>
      </w:r>
    </w:p>
    <w:p w14:paraId="12ABD1B9" w14:textId="77777777" w:rsidR="00D07705" w:rsidRPr="00D07705" w:rsidRDefault="00D07705" w:rsidP="00D07705">
      <w:pPr>
        <w:pStyle w:val="NormalWeb"/>
        <w:rPr>
          <w:rFonts w:ascii="Arial" w:hAnsi="Arial" w:cs="Arial"/>
        </w:rPr>
      </w:pPr>
      <w:r w:rsidRPr="00D07705">
        <w:rPr>
          <w:rFonts w:ascii="Arial" w:hAnsi="Arial" w:cs="Arial"/>
        </w:rPr>
        <w:t>This helped in analyzing default risk across credit segments.</w:t>
      </w:r>
    </w:p>
    <w:p w14:paraId="64996A64" w14:textId="77777777" w:rsidR="00D07705" w:rsidRPr="00D07705" w:rsidRDefault="00D07705" w:rsidP="00D07705">
      <w:pPr>
        <w:pStyle w:val="NormalWeb"/>
        <w:rPr>
          <w:rFonts w:ascii="Arial" w:hAnsi="Arial" w:cs="Arial"/>
        </w:rPr>
      </w:pPr>
      <w:r w:rsidRPr="00D07705">
        <w:rPr>
          <w:rFonts w:ascii="Arial" w:hAnsi="Arial" w:cs="Arial"/>
        </w:rPr>
        <w:t>DTI Ratio Binning</w:t>
      </w:r>
    </w:p>
    <w:p w14:paraId="6C936367" w14:textId="77777777" w:rsidR="00D07705" w:rsidRPr="00D07705" w:rsidRDefault="00D07705" w:rsidP="00D07705">
      <w:pPr>
        <w:pStyle w:val="NormalWeb"/>
        <w:rPr>
          <w:rFonts w:ascii="Arial" w:hAnsi="Arial" w:cs="Arial"/>
        </w:rPr>
      </w:pPr>
      <w:r w:rsidRPr="00D07705">
        <w:rPr>
          <w:rFonts w:ascii="Arial" w:hAnsi="Arial" w:cs="Arial"/>
        </w:rPr>
        <w:t>Debt-to-Income (DTI) ratios were grouped into ranges:</w:t>
      </w:r>
    </w:p>
    <w:p w14:paraId="6D5967E4"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5–24</w:t>
      </w:r>
    </w:p>
    <w:p w14:paraId="19F3913D"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25–49</w:t>
      </w:r>
    </w:p>
    <w:p w14:paraId="30178AEE"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50–74</w:t>
      </w:r>
    </w:p>
    <w:p w14:paraId="1239A807"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75–99</w:t>
      </w:r>
    </w:p>
    <w:p w14:paraId="48EFC6AB"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100–124</w:t>
      </w:r>
    </w:p>
    <w:p w14:paraId="31A57BD1"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125–149</w:t>
      </w:r>
    </w:p>
    <w:p w14:paraId="348BD7C5"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150–174</w:t>
      </w:r>
    </w:p>
    <w:p w14:paraId="73E1680C" w14:textId="77777777" w:rsidR="00D07705" w:rsidRPr="00D07705" w:rsidRDefault="00D07705" w:rsidP="00D07705">
      <w:pPr>
        <w:pStyle w:val="NormalWeb"/>
        <w:numPr>
          <w:ilvl w:val="0"/>
          <w:numId w:val="4"/>
        </w:numPr>
        <w:rPr>
          <w:rFonts w:ascii="Arial" w:hAnsi="Arial" w:cs="Arial"/>
        </w:rPr>
      </w:pPr>
      <w:r w:rsidRPr="00D07705">
        <w:rPr>
          <w:rFonts w:ascii="Arial" w:hAnsi="Arial" w:cs="Arial"/>
        </w:rPr>
        <w:t>175+</w:t>
      </w:r>
    </w:p>
    <w:p w14:paraId="29617924" w14:textId="77777777" w:rsidR="00D07705" w:rsidRPr="00D07705" w:rsidRDefault="00D07705" w:rsidP="00D07705">
      <w:pPr>
        <w:pStyle w:val="NormalWeb"/>
        <w:rPr>
          <w:rFonts w:ascii="Arial" w:hAnsi="Arial" w:cs="Arial"/>
        </w:rPr>
      </w:pPr>
      <w:r w:rsidRPr="00D07705">
        <w:rPr>
          <w:rFonts w:ascii="Arial" w:hAnsi="Arial" w:cs="Arial"/>
        </w:rPr>
        <w:t>This allowed segmentation of financial stress levels.</w:t>
      </w:r>
    </w:p>
    <w:p w14:paraId="1B711965"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EXPLORATORY DATA ANALYSIS (EDA)</w:t>
      </w:r>
    </w:p>
    <w:p w14:paraId="5CE7FDD3" w14:textId="77777777" w:rsidR="00D07705" w:rsidRPr="00D07705" w:rsidRDefault="00D07705" w:rsidP="00D07705">
      <w:pPr>
        <w:pStyle w:val="NormalWeb"/>
        <w:rPr>
          <w:rFonts w:ascii="Arial" w:hAnsi="Arial" w:cs="Arial"/>
          <w:b/>
          <w:bCs/>
        </w:rPr>
      </w:pPr>
      <w:r w:rsidRPr="00D07705">
        <w:rPr>
          <w:rFonts w:ascii="Arial" w:hAnsi="Arial" w:cs="Arial"/>
          <w:b/>
          <w:bCs/>
        </w:rPr>
        <w:t>SEGMENT ANALYSIS</w:t>
      </w:r>
    </w:p>
    <w:p w14:paraId="4B016217" w14:textId="77777777" w:rsidR="00D07705" w:rsidRPr="00D07705" w:rsidRDefault="00D07705" w:rsidP="00D07705">
      <w:pPr>
        <w:pStyle w:val="NormalWeb"/>
        <w:rPr>
          <w:rFonts w:ascii="Arial" w:hAnsi="Arial" w:cs="Arial"/>
          <w:b/>
          <w:bCs/>
        </w:rPr>
      </w:pPr>
      <w:r w:rsidRPr="00D07705">
        <w:rPr>
          <w:rFonts w:ascii="Arial" w:hAnsi="Arial" w:cs="Arial"/>
          <w:b/>
          <w:bCs/>
        </w:rPr>
        <w:t>Credit Score Analysis:</w:t>
      </w:r>
    </w:p>
    <w:p w14:paraId="0F1CEF6A" w14:textId="77777777" w:rsidR="00D07705" w:rsidRPr="00D07705" w:rsidRDefault="00D07705" w:rsidP="00D07705">
      <w:pPr>
        <w:pStyle w:val="NormalWeb"/>
        <w:rPr>
          <w:rFonts w:ascii="Arial" w:hAnsi="Arial" w:cs="Arial"/>
        </w:rPr>
      </w:pPr>
      <w:r w:rsidRPr="00D07705">
        <w:rPr>
          <w:rFonts w:ascii="Arial" w:hAnsi="Arial" w:cs="Arial"/>
        </w:rPr>
        <w:t>Credit score shows a strong inverse relationship with default risk. Lower credit scores (520–599) show the highest default rates, while higher credit scores (750+) show the lowest default rates. This confirms credit score as a key risk indicator.</w:t>
      </w:r>
    </w:p>
    <w:p w14:paraId="64196DED" w14:textId="77777777" w:rsidR="00D07705" w:rsidRPr="00D07705" w:rsidRDefault="00D07705" w:rsidP="00D07705">
      <w:pPr>
        <w:pStyle w:val="NormalWeb"/>
        <w:rPr>
          <w:rFonts w:ascii="Arial" w:hAnsi="Arial" w:cs="Arial"/>
          <w:b/>
          <w:bCs/>
        </w:rPr>
      </w:pPr>
      <w:r w:rsidRPr="00D07705">
        <w:rPr>
          <w:rFonts w:ascii="Arial" w:hAnsi="Arial" w:cs="Arial"/>
          <w:b/>
          <w:bCs/>
        </w:rPr>
        <w:t>DTI Analysis:</w:t>
      </w:r>
    </w:p>
    <w:p w14:paraId="3E9B14AF" w14:textId="77777777" w:rsidR="00D07705" w:rsidRPr="00D07705" w:rsidRDefault="00D07705" w:rsidP="00D07705">
      <w:pPr>
        <w:pStyle w:val="NormalWeb"/>
        <w:rPr>
          <w:rFonts w:ascii="Arial" w:hAnsi="Arial" w:cs="Arial"/>
        </w:rPr>
      </w:pPr>
      <w:r w:rsidRPr="00D07705">
        <w:rPr>
          <w:rFonts w:ascii="Arial" w:hAnsi="Arial" w:cs="Arial"/>
        </w:rPr>
        <w:lastRenderedPageBreak/>
        <w:t>DTI ratio shows a strong positive relationship with default risk. As DTI increases, default probability increases significantly. Extremely high DTI groups show the highest risk levels.</w:t>
      </w:r>
    </w:p>
    <w:p w14:paraId="5E755384" w14:textId="77777777" w:rsidR="00D07705" w:rsidRPr="00D07705" w:rsidRDefault="00D07705" w:rsidP="00D07705">
      <w:pPr>
        <w:pStyle w:val="NormalWeb"/>
        <w:rPr>
          <w:rFonts w:ascii="Arial" w:hAnsi="Arial" w:cs="Arial"/>
          <w:b/>
          <w:bCs/>
        </w:rPr>
      </w:pPr>
      <w:r w:rsidRPr="00D07705">
        <w:rPr>
          <w:rFonts w:ascii="Arial" w:hAnsi="Arial" w:cs="Arial"/>
          <w:b/>
          <w:bCs/>
        </w:rPr>
        <w:t>Employment Status Analysis:</w:t>
      </w:r>
    </w:p>
    <w:p w14:paraId="5611D5E7" w14:textId="77777777" w:rsidR="00D07705" w:rsidRPr="00D07705" w:rsidRDefault="00D07705" w:rsidP="00D07705">
      <w:pPr>
        <w:pStyle w:val="NormalWeb"/>
        <w:rPr>
          <w:rFonts w:ascii="Arial" w:hAnsi="Arial" w:cs="Arial"/>
        </w:rPr>
      </w:pPr>
      <w:r w:rsidRPr="00D07705">
        <w:rPr>
          <w:rFonts w:ascii="Arial" w:hAnsi="Arial" w:cs="Arial"/>
        </w:rPr>
        <w:t>Self-employed and part-time workers show slightly higher default rates compared to full-time and contract employees. However, the impact is moderate compared to financial indicators.</w:t>
      </w:r>
    </w:p>
    <w:p w14:paraId="0547EECA" w14:textId="77777777" w:rsidR="00D07705" w:rsidRPr="00D07705" w:rsidRDefault="00D07705" w:rsidP="00D07705">
      <w:pPr>
        <w:pStyle w:val="NormalWeb"/>
        <w:rPr>
          <w:rFonts w:ascii="Arial" w:hAnsi="Arial" w:cs="Arial"/>
          <w:b/>
          <w:bCs/>
        </w:rPr>
      </w:pPr>
      <w:r w:rsidRPr="00D07705">
        <w:rPr>
          <w:rFonts w:ascii="Arial" w:hAnsi="Arial" w:cs="Arial"/>
          <w:b/>
          <w:bCs/>
        </w:rPr>
        <w:t>Loan Purpose Analysis:</w:t>
      </w:r>
    </w:p>
    <w:p w14:paraId="33A07621" w14:textId="77777777" w:rsidR="00D07705" w:rsidRPr="00D07705" w:rsidRDefault="00D07705" w:rsidP="00D07705">
      <w:pPr>
        <w:pStyle w:val="NormalWeb"/>
        <w:rPr>
          <w:rFonts w:ascii="Arial" w:hAnsi="Arial" w:cs="Arial"/>
        </w:rPr>
      </w:pPr>
      <w:r w:rsidRPr="00D07705">
        <w:rPr>
          <w:rFonts w:ascii="Arial" w:hAnsi="Arial" w:cs="Arial"/>
        </w:rPr>
        <w:t>Loan purpose strongly influences default behavior. Wedding and home improvement loans show higher default rates, while medical loans show lower default rates.</w:t>
      </w:r>
    </w:p>
    <w:p w14:paraId="2DE0930D"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CORRELATION ANALYSIS</w:t>
      </w:r>
    </w:p>
    <w:p w14:paraId="1B762301" w14:textId="77777777" w:rsidR="00D07705" w:rsidRPr="00D07705" w:rsidRDefault="00D07705" w:rsidP="00D07705">
      <w:pPr>
        <w:pStyle w:val="NormalWeb"/>
        <w:rPr>
          <w:rFonts w:ascii="Arial" w:hAnsi="Arial" w:cs="Arial"/>
        </w:rPr>
      </w:pPr>
      <w:r w:rsidRPr="00D07705">
        <w:rPr>
          <w:rFonts w:ascii="Arial" w:hAnsi="Arial" w:cs="Arial"/>
        </w:rPr>
        <w:t>Correlation was calculated between numerical variables and default status.</w:t>
      </w:r>
    </w:p>
    <w:p w14:paraId="1E29A991" w14:textId="77777777" w:rsidR="00D07705" w:rsidRPr="00D07705" w:rsidRDefault="00D07705" w:rsidP="00D07705">
      <w:pPr>
        <w:pStyle w:val="NormalWeb"/>
        <w:rPr>
          <w:rFonts w:ascii="Arial" w:hAnsi="Arial" w:cs="Arial"/>
        </w:rPr>
      </w:pPr>
      <w:r w:rsidRPr="00D07705">
        <w:rPr>
          <w:rFonts w:ascii="Arial" w:hAnsi="Arial" w:cs="Arial"/>
        </w:rPr>
        <w:t>Key findings:</w:t>
      </w:r>
    </w:p>
    <w:p w14:paraId="3F5AEF1A" w14:textId="77777777" w:rsidR="00D07705" w:rsidRPr="00D07705" w:rsidRDefault="00D07705" w:rsidP="00D07705">
      <w:pPr>
        <w:pStyle w:val="NormalWeb"/>
        <w:numPr>
          <w:ilvl w:val="0"/>
          <w:numId w:val="6"/>
        </w:numPr>
        <w:rPr>
          <w:rFonts w:ascii="Arial" w:hAnsi="Arial" w:cs="Arial"/>
        </w:rPr>
      </w:pPr>
      <w:proofErr w:type="gramStart"/>
      <w:r w:rsidRPr="00D07705">
        <w:rPr>
          <w:rFonts w:ascii="Arial" w:hAnsi="Arial" w:cs="Arial"/>
        </w:rPr>
        <w:t>Days</w:t>
      </w:r>
      <w:proofErr w:type="gramEnd"/>
      <w:r w:rsidRPr="00D07705">
        <w:rPr>
          <w:rFonts w:ascii="Arial" w:hAnsi="Arial" w:cs="Arial"/>
        </w:rPr>
        <w:t xml:space="preserve"> delinquent shows the strongest positive correlation with default (~0.88)</w:t>
      </w:r>
    </w:p>
    <w:p w14:paraId="1E93809B"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Credit score shows a moderate negative correlation (~ -0.29)</w:t>
      </w:r>
    </w:p>
    <w:p w14:paraId="1BB96AB7"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DTI ratio shows weak positive correlation (~0.19)</w:t>
      </w:r>
    </w:p>
    <w:p w14:paraId="333FAEFF"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Interest rate shows weak positive correlation (~0.20)</w:t>
      </w:r>
    </w:p>
    <w:p w14:paraId="2D292F2D"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Annual income shows weak negative correlation (~ -0.08)</w:t>
      </w:r>
    </w:p>
    <w:p w14:paraId="20039037"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Loan amount shows almost no correlation (~0.02)</w:t>
      </w:r>
    </w:p>
    <w:p w14:paraId="43C050AB" w14:textId="77777777" w:rsidR="00D07705" w:rsidRPr="00D07705" w:rsidRDefault="00D07705" w:rsidP="00D07705">
      <w:pPr>
        <w:pStyle w:val="NormalWeb"/>
        <w:numPr>
          <w:ilvl w:val="0"/>
          <w:numId w:val="6"/>
        </w:numPr>
        <w:rPr>
          <w:rFonts w:ascii="Arial" w:hAnsi="Arial" w:cs="Arial"/>
        </w:rPr>
      </w:pPr>
      <w:r w:rsidRPr="00D07705">
        <w:rPr>
          <w:rFonts w:ascii="Arial" w:hAnsi="Arial" w:cs="Arial"/>
        </w:rPr>
        <w:t>Overall, behavioral and credit history variables are stronger predictors than loan size or demographics.</w:t>
      </w:r>
    </w:p>
    <w:p w14:paraId="43E37CEC"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VISUALIZATION ANALYSIS</w:t>
      </w:r>
    </w:p>
    <w:p w14:paraId="093C4A8C" w14:textId="77777777" w:rsidR="00D07705" w:rsidRPr="00D07705" w:rsidRDefault="00D07705" w:rsidP="00D07705">
      <w:pPr>
        <w:pStyle w:val="NormalWeb"/>
        <w:rPr>
          <w:rFonts w:ascii="Arial" w:hAnsi="Arial" w:cs="Arial"/>
        </w:rPr>
      </w:pPr>
      <w:r w:rsidRPr="00D07705">
        <w:rPr>
          <w:rFonts w:ascii="Arial" w:hAnsi="Arial" w:cs="Arial"/>
          <w:b/>
          <w:bCs/>
        </w:rPr>
        <w:t>Credit Score vs Default</w:t>
      </w:r>
      <w:r w:rsidRPr="00D07705">
        <w:rPr>
          <w:rFonts w:ascii="Arial" w:hAnsi="Arial" w:cs="Arial"/>
        </w:rPr>
        <w:t>:</w:t>
      </w:r>
    </w:p>
    <w:p w14:paraId="6904840B" w14:textId="77777777" w:rsidR="00D07705" w:rsidRPr="00D07705" w:rsidRDefault="00D07705" w:rsidP="00D07705">
      <w:pPr>
        <w:pStyle w:val="NormalWeb"/>
        <w:rPr>
          <w:rFonts w:ascii="Arial" w:hAnsi="Arial" w:cs="Arial"/>
        </w:rPr>
      </w:pPr>
      <w:r w:rsidRPr="00D07705">
        <w:rPr>
          <w:rFonts w:ascii="Arial" w:hAnsi="Arial" w:cs="Arial"/>
        </w:rPr>
        <w:t>Line and bar plots show a clear downward trend where higher credit scores lead to lower default rates.</w:t>
      </w:r>
    </w:p>
    <w:p w14:paraId="6D4A9A1F" w14:textId="77777777" w:rsidR="00D07705" w:rsidRPr="00D07705" w:rsidRDefault="00D07705" w:rsidP="00D07705">
      <w:pPr>
        <w:pStyle w:val="NormalWeb"/>
        <w:rPr>
          <w:rFonts w:ascii="Arial" w:hAnsi="Arial" w:cs="Arial"/>
        </w:rPr>
      </w:pPr>
      <w:r w:rsidRPr="00D07705">
        <w:rPr>
          <w:rFonts w:ascii="Arial" w:hAnsi="Arial" w:cs="Arial"/>
          <w:b/>
          <w:bCs/>
        </w:rPr>
        <w:t>DTI vs Default</w:t>
      </w:r>
      <w:r w:rsidRPr="00D07705">
        <w:rPr>
          <w:rFonts w:ascii="Arial" w:hAnsi="Arial" w:cs="Arial"/>
        </w:rPr>
        <w:t>:</w:t>
      </w:r>
    </w:p>
    <w:p w14:paraId="62078854" w14:textId="77777777" w:rsidR="00D07705" w:rsidRPr="00D07705" w:rsidRDefault="00D07705" w:rsidP="00D07705">
      <w:pPr>
        <w:pStyle w:val="NormalWeb"/>
        <w:rPr>
          <w:rFonts w:ascii="Arial" w:hAnsi="Arial" w:cs="Arial"/>
        </w:rPr>
      </w:pPr>
      <w:r w:rsidRPr="00D07705">
        <w:rPr>
          <w:rFonts w:ascii="Arial" w:hAnsi="Arial" w:cs="Arial"/>
        </w:rPr>
        <w:t>Scatter and bar plots show a clear upward trend indicating higher DTI increases default probability.</w:t>
      </w:r>
    </w:p>
    <w:p w14:paraId="5605DC1A" w14:textId="77777777" w:rsidR="00D07705" w:rsidRPr="00D07705" w:rsidRDefault="00D07705" w:rsidP="00D07705">
      <w:pPr>
        <w:pStyle w:val="NormalWeb"/>
        <w:rPr>
          <w:rFonts w:ascii="Arial" w:hAnsi="Arial" w:cs="Arial"/>
        </w:rPr>
      </w:pPr>
      <w:r w:rsidRPr="00D07705">
        <w:rPr>
          <w:rFonts w:ascii="Arial" w:hAnsi="Arial" w:cs="Arial"/>
          <w:b/>
          <w:bCs/>
        </w:rPr>
        <w:t>Loan Purpose Analysis</w:t>
      </w:r>
      <w:r w:rsidRPr="00D07705">
        <w:rPr>
          <w:rFonts w:ascii="Arial" w:hAnsi="Arial" w:cs="Arial"/>
        </w:rPr>
        <w:t>:</w:t>
      </w:r>
    </w:p>
    <w:p w14:paraId="39D9A644" w14:textId="77777777" w:rsidR="00D07705" w:rsidRPr="00D07705" w:rsidRDefault="00D07705" w:rsidP="00D07705">
      <w:pPr>
        <w:pStyle w:val="NormalWeb"/>
        <w:rPr>
          <w:rFonts w:ascii="Arial" w:hAnsi="Arial" w:cs="Arial"/>
        </w:rPr>
      </w:pPr>
      <w:r w:rsidRPr="00D07705">
        <w:rPr>
          <w:rFonts w:ascii="Arial" w:hAnsi="Arial" w:cs="Arial"/>
        </w:rPr>
        <w:t>Bar charts show discretionary loans such as wedding and home improvement have higher default rates.</w:t>
      </w:r>
    </w:p>
    <w:p w14:paraId="6DCC49DB" w14:textId="77777777" w:rsidR="00D07705" w:rsidRPr="00D07705" w:rsidRDefault="00D07705" w:rsidP="00D07705">
      <w:pPr>
        <w:pStyle w:val="NormalWeb"/>
        <w:rPr>
          <w:rFonts w:ascii="Arial" w:hAnsi="Arial" w:cs="Arial"/>
        </w:rPr>
      </w:pPr>
      <w:r w:rsidRPr="00D07705">
        <w:rPr>
          <w:rFonts w:ascii="Arial" w:hAnsi="Arial" w:cs="Arial"/>
        </w:rPr>
        <w:lastRenderedPageBreak/>
        <w:t>Overall, visual analysis strongly supports correlation and segmentation results.</w:t>
      </w:r>
    </w:p>
    <w:p w14:paraId="513A3784"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KEY OBSERVATIONS</w:t>
      </w:r>
    </w:p>
    <w:p w14:paraId="41709E97"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Credit score is a strong inverse predictor of default risk</w:t>
      </w:r>
    </w:p>
    <w:p w14:paraId="1880E651"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DTI ratio is a strong positive predictor of default risk</w:t>
      </w:r>
    </w:p>
    <w:p w14:paraId="241074A3"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Past delinquency is the strongest single predictor of default</w:t>
      </w:r>
    </w:p>
    <w:p w14:paraId="2657686F"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Loan purpose influences borrower behavior</w:t>
      </w:r>
    </w:p>
    <w:p w14:paraId="024E2E4A"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Demographic variables have minimal impact compared to financial variables</w:t>
      </w:r>
    </w:p>
    <w:p w14:paraId="0C5276B2" w14:textId="77777777" w:rsidR="00D07705" w:rsidRPr="00D07705" w:rsidRDefault="00D07705" w:rsidP="00D07705">
      <w:pPr>
        <w:pStyle w:val="NormalWeb"/>
        <w:numPr>
          <w:ilvl w:val="0"/>
          <w:numId w:val="7"/>
        </w:numPr>
        <w:rPr>
          <w:rFonts w:ascii="Arial" w:hAnsi="Arial" w:cs="Arial"/>
        </w:rPr>
      </w:pPr>
      <w:r w:rsidRPr="00D07705">
        <w:rPr>
          <w:rFonts w:ascii="Arial" w:hAnsi="Arial" w:cs="Arial"/>
        </w:rPr>
        <w:t>Financial behavior is more important than personal attributes in risk prediction</w:t>
      </w:r>
    </w:p>
    <w:p w14:paraId="52A04BC7"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UNDERWRITING INSIGHTS / RECOMMENDATIONS</w:t>
      </w:r>
    </w:p>
    <w:p w14:paraId="6A87FC34" w14:textId="77777777" w:rsidR="00D07705" w:rsidRPr="00D07705" w:rsidRDefault="00D07705" w:rsidP="00D07705">
      <w:pPr>
        <w:pStyle w:val="NormalWeb"/>
        <w:numPr>
          <w:ilvl w:val="0"/>
          <w:numId w:val="8"/>
        </w:numPr>
        <w:rPr>
          <w:rFonts w:ascii="Arial" w:hAnsi="Arial" w:cs="Arial"/>
        </w:rPr>
      </w:pPr>
      <w:r w:rsidRPr="00D07705">
        <w:rPr>
          <w:rFonts w:ascii="Arial" w:hAnsi="Arial" w:cs="Arial"/>
        </w:rPr>
        <w:t>Minimum credit score threshold should be around 650</w:t>
      </w:r>
    </w:p>
    <w:p w14:paraId="7DE34F86" w14:textId="77777777" w:rsidR="00D07705" w:rsidRPr="00D07705" w:rsidRDefault="00D07705" w:rsidP="00D07705">
      <w:pPr>
        <w:pStyle w:val="NormalWeb"/>
        <w:numPr>
          <w:ilvl w:val="0"/>
          <w:numId w:val="8"/>
        </w:numPr>
        <w:rPr>
          <w:rFonts w:ascii="Arial" w:hAnsi="Arial" w:cs="Arial"/>
        </w:rPr>
      </w:pPr>
      <w:r w:rsidRPr="00D07705">
        <w:rPr>
          <w:rFonts w:ascii="Arial" w:hAnsi="Arial" w:cs="Arial"/>
        </w:rPr>
        <w:t>DTI ratio should ideally be below 75 for lower risk exposure</w:t>
      </w:r>
    </w:p>
    <w:p w14:paraId="146EB275" w14:textId="77777777" w:rsidR="00D07705" w:rsidRPr="00D07705" w:rsidRDefault="00D07705" w:rsidP="00D07705">
      <w:pPr>
        <w:pStyle w:val="NormalWeb"/>
        <w:numPr>
          <w:ilvl w:val="0"/>
          <w:numId w:val="8"/>
        </w:numPr>
        <w:rPr>
          <w:rFonts w:ascii="Arial" w:hAnsi="Arial" w:cs="Arial"/>
        </w:rPr>
      </w:pPr>
      <w:r w:rsidRPr="00D07705">
        <w:rPr>
          <w:rFonts w:ascii="Arial" w:hAnsi="Arial" w:cs="Arial"/>
        </w:rPr>
        <w:t>Borrowers with any prior delinquency should be flagged as high risk</w:t>
      </w:r>
    </w:p>
    <w:p w14:paraId="75C0DFD5" w14:textId="77777777" w:rsidR="00D07705" w:rsidRPr="00D07705" w:rsidRDefault="00D07705" w:rsidP="00D07705">
      <w:pPr>
        <w:pStyle w:val="NormalWeb"/>
        <w:numPr>
          <w:ilvl w:val="0"/>
          <w:numId w:val="8"/>
        </w:numPr>
        <w:rPr>
          <w:rFonts w:ascii="Arial" w:hAnsi="Arial" w:cs="Arial"/>
        </w:rPr>
      </w:pPr>
      <w:r w:rsidRPr="00D07705">
        <w:rPr>
          <w:rFonts w:ascii="Arial" w:hAnsi="Arial" w:cs="Arial"/>
        </w:rPr>
        <w:t>Loan approval should focus more on financial behavior than demographic factors</w:t>
      </w:r>
    </w:p>
    <w:p w14:paraId="0357EA77" w14:textId="77777777" w:rsidR="00D07705" w:rsidRPr="00D07705" w:rsidRDefault="00D07705" w:rsidP="00D07705">
      <w:pPr>
        <w:pStyle w:val="NormalWeb"/>
        <w:numPr>
          <w:ilvl w:val="0"/>
          <w:numId w:val="8"/>
        </w:numPr>
        <w:rPr>
          <w:rFonts w:ascii="Arial" w:hAnsi="Arial" w:cs="Arial"/>
        </w:rPr>
      </w:pPr>
      <w:r w:rsidRPr="00D07705">
        <w:rPr>
          <w:rFonts w:ascii="Arial" w:hAnsi="Arial" w:cs="Arial"/>
        </w:rPr>
        <w:t>Discretionary loans should be treated with higher caution</w:t>
      </w:r>
    </w:p>
    <w:p w14:paraId="5ECA82EA" w14:textId="77777777" w:rsidR="00D07705" w:rsidRPr="00D07705" w:rsidRDefault="00D07705" w:rsidP="00D07705">
      <w:pPr>
        <w:pStyle w:val="NormalWeb"/>
        <w:rPr>
          <w:rFonts w:ascii="Georgia" w:hAnsi="Georgia" w:cs="Arial"/>
          <w:b/>
          <w:bCs/>
          <w:sz w:val="28"/>
          <w:szCs w:val="28"/>
        </w:rPr>
      </w:pPr>
      <w:r w:rsidRPr="00D07705">
        <w:rPr>
          <w:rFonts w:ascii="Georgia" w:hAnsi="Georgia" w:cs="Arial"/>
          <w:b/>
          <w:bCs/>
          <w:sz w:val="28"/>
          <w:szCs w:val="28"/>
        </w:rPr>
        <w:t>CONCLUSION</w:t>
      </w:r>
    </w:p>
    <w:p w14:paraId="1A0D20E1" w14:textId="77777777" w:rsidR="00D07705" w:rsidRPr="00D07705" w:rsidRDefault="00D07705" w:rsidP="00D07705">
      <w:pPr>
        <w:pStyle w:val="NormalWeb"/>
        <w:rPr>
          <w:rFonts w:ascii="Arial" w:hAnsi="Arial" w:cs="Arial"/>
        </w:rPr>
      </w:pPr>
      <w:r w:rsidRPr="00D07705">
        <w:rPr>
          <w:rFonts w:ascii="Arial" w:hAnsi="Arial" w:cs="Arial"/>
        </w:rPr>
        <w:t>This project successfully identifies key drivers of loan default risk using exploratory data analysis. The results clearly show that credit score, debt-to-income ratio, and repayment history are the most important indicators of borrower risk. These insights can help financial institutions improve credit decision-making and reduce default losses.</w:t>
      </w:r>
    </w:p>
    <w:p w14:paraId="2E427047" w14:textId="5E682B09" w:rsidR="00D07705" w:rsidRPr="00D07705" w:rsidRDefault="00D07705" w:rsidP="00D07705">
      <w:pPr>
        <w:pStyle w:val="NormalWeb"/>
        <w:rPr>
          <w:rFonts w:ascii="Arial" w:hAnsi="Arial" w:cs="Arial"/>
        </w:rPr>
      </w:pPr>
    </w:p>
    <w:sectPr w:rsidR="00D07705" w:rsidRPr="00D07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10E3E"/>
    <w:multiLevelType w:val="hybridMultilevel"/>
    <w:tmpl w:val="3E2E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87541"/>
    <w:multiLevelType w:val="hybridMultilevel"/>
    <w:tmpl w:val="39469B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A1DC2"/>
    <w:multiLevelType w:val="hybridMultilevel"/>
    <w:tmpl w:val="A784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37B12"/>
    <w:multiLevelType w:val="hybridMultilevel"/>
    <w:tmpl w:val="6C9AE6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06459F"/>
    <w:multiLevelType w:val="hybridMultilevel"/>
    <w:tmpl w:val="377C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3367DD"/>
    <w:multiLevelType w:val="hybridMultilevel"/>
    <w:tmpl w:val="8D5C9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C57145"/>
    <w:multiLevelType w:val="hybridMultilevel"/>
    <w:tmpl w:val="74C66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280298"/>
    <w:multiLevelType w:val="hybridMultilevel"/>
    <w:tmpl w:val="3F7C0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0"/>
  </w:num>
  <w:num w:numId="5">
    <w:abstractNumId w:val="5"/>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05"/>
    <w:rsid w:val="00496060"/>
    <w:rsid w:val="00D0770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9D0E"/>
  <w15:chartTrackingRefBased/>
  <w15:docId w15:val="{A395F82C-14D2-4849-9B94-0498F30F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7705"/>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902363">
      <w:bodyDiv w:val="1"/>
      <w:marLeft w:val="0"/>
      <w:marRight w:val="0"/>
      <w:marTop w:val="0"/>
      <w:marBottom w:val="0"/>
      <w:divBdr>
        <w:top w:val="none" w:sz="0" w:space="0" w:color="auto"/>
        <w:left w:val="none" w:sz="0" w:space="0" w:color="auto"/>
        <w:bottom w:val="none" w:sz="0" w:space="0" w:color="auto"/>
        <w:right w:val="none" w:sz="0" w:space="0" w:color="auto"/>
      </w:divBdr>
    </w:div>
    <w:div w:id="149795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cp:revision>
  <dcterms:created xsi:type="dcterms:W3CDTF">2026-04-13T18:32:00Z</dcterms:created>
  <dcterms:modified xsi:type="dcterms:W3CDTF">2026-04-13T18:41:00Z</dcterms:modified>
</cp:coreProperties>
</file>