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840E4" w14:textId="77777777" w:rsidR="004178A9" w:rsidRPr="004178A9" w:rsidRDefault="004178A9" w:rsidP="004178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e-IN"/>
        </w:rPr>
      </w:pPr>
      <w:r w:rsidRPr="00417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e-IN"/>
        </w:rPr>
        <w:t>Goldman Sachs Stock Analysis (1999–2026)</w:t>
      </w:r>
    </w:p>
    <w:p w14:paraId="71CE2066" w14:textId="77777777" w:rsidR="004178A9" w:rsidRPr="004178A9" w:rsidRDefault="004178A9" w:rsidP="00417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178A9">
        <w:rPr>
          <w:rFonts w:ascii="Times New Roman" w:eastAsia="Times New Roman" w:hAnsi="Times New Roman" w:cs="Times New Roman"/>
          <w:sz w:val="24"/>
          <w:szCs w:val="24"/>
          <w:lang w:bidi="te-IN"/>
        </w:rPr>
        <w:pict w14:anchorId="7FA96C63">
          <v:rect id="_x0000_i1095" style="width:0;height:1.5pt" o:hralign="center" o:hrstd="t" o:hr="t" fillcolor="#a0a0a0" stroked="f"/>
        </w:pict>
      </w:r>
    </w:p>
    <w:p w14:paraId="0BBDE464" w14:textId="77777777" w:rsidR="004178A9" w:rsidRPr="004178A9" w:rsidRDefault="004178A9" w:rsidP="00417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1. Data Source</w:t>
      </w:r>
    </w:p>
    <w:p w14:paraId="0EEF8335" w14:textId="77777777" w:rsidR="004178A9" w:rsidRPr="004178A9" w:rsidRDefault="004178A9" w:rsidP="00417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The stock data for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Goldman Sachs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comes from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Investing.com (via proxy)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>. It includes:</w:t>
      </w:r>
    </w:p>
    <w:p w14:paraId="1589488C" w14:textId="77777777" w:rsidR="004178A9" w:rsidRPr="004178A9" w:rsidRDefault="004178A9" w:rsidP="00417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Date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– daily timestamps </w:t>
      </w:r>
    </w:p>
    <w:p w14:paraId="4EB0D07D" w14:textId="77777777" w:rsidR="004178A9" w:rsidRPr="004178A9" w:rsidRDefault="004178A9" w:rsidP="00417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Open, High, Low, Close prices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</w:t>
      </w:r>
    </w:p>
    <w:p w14:paraId="703B3D00" w14:textId="77777777" w:rsidR="004178A9" w:rsidRPr="004178A9" w:rsidRDefault="004178A9" w:rsidP="00417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Trading Volume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</w:t>
      </w:r>
    </w:p>
    <w:p w14:paraId="2BA010ED" w14:textId="77777777" w:rsidR="004178A9" w:rsidRPr="004178A9" w:rsidRDefault="004178A9" w:rsidP="00417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Dividends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</w:t>
      </w:r>
    </w:p>
    <w:p w14:paraId="36B62B8A" w14:textId="77777777" w:rsidR="004178A9" w:rsidRPr="004178A9" w:rsidRDefault="004178A9" w:rsidP="00417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Stock Splits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</w:t>
      </w:r>
    </w:p>
    <w:p w14:paraId="05B12600" w14:textId="77777777" w:rsidR="004178A9" w:rsidRPr="004178A9" w:rsidRDefault="004178A9" w:rsidP="00417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>Example snippet of raw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521"/>
        <w:gridCol w:w="511"/>
        <w:gridCol w:w="511"/>
        <w:gridCol w:w="551"/>
        <w:gridCol w:w="711"/>
        <w:gridCol w:w="936"/>
      </w:tblGrid>
      <w:tr w:rsidR="004178A9" w:rsidRPr="004178A9" w14:paraId="7C1CDB38" w14:textId="77777777" w:rsidTr="004178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B91CF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EE59ACC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97073D3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185F42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0B5FB0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0362AE52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BC628EC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Dividends</w:t>
            </w:r>
          </w:p>
        </w:tc>
      </w:tr>
      <w:tr w:rsidR="004178A9" w:rsidRPr="004178A9" w14:paraId="06408656" w14:textId="77777777" w:rsidTr="00417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EC5A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5/4/1999</w:t>
            </w:r>
          </w:p>
        </w:tc>
        <w:tc>
          <w:tcPr>
            <w:tcW w:w="0" w:type="auto"/>
            <w:vAlign w:val="center"/>
            <w:hideMark/>
          </w:tcPr>
          <w:p w14:paraId="43022006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52.31</w:t>
            </w:r>
          </w:p>
        </w:tc>
        <w:tc>
          <w:tcPr>
            <w:tcW w:w="0" w:type="auto"/>
            <w:vAlign w:val="center"/>
            <w:hideMark/>
          </w:tcPr>
          <w:p w14:paraId="43934C3D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53.17</w:t>
            </w:r>
          </w:p>
        </w:tc>
        <w:tc>
          <w:tcPr>
            <w:tcW w:w="0" w:type="auto"/>
            <w:vAlign w:val="center"/>
            <w:hideMark/>
          </w:tcPr>
          <w:p w14:paraId="04E093A2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48.18</w:t>
            </w:r>
          </w:p>
        </w:tc>
        <w:tc>
          <w:tcPr>
            <w:tcW w:w="0" w:type="auto"/>
            <w:vAlign w:val="center"/>
            <w:hideMark/>
          </w:tcPr>
          <w:p w14:paraId="368C6EAA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48.44</w:t>
            </w:r>
          </w:p>
        </w:tc>
        <w:tc>
          <w:tcPr>
            <w:tcW w:w="0" w:type="auto"/>
            <w:vAlign w:val="center"/>
            <w:hideMark/>
          </w:tcPr>
          <w:p w14:paraId="447E4E2B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22M</w:t>
            </w:r>
          </w:p>
        </w:tc>
        <w:tc>
          <w:tcPr>
            <w:tcW w:w="0" w:type="auto"/>
            <w:vAlign w:val="center"/>
            <w:hideMark/>
          </w:tcPr>
          <w:p w14:paraId="3C899C5E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0</w:t>
            </w:r>
          </w:p>
        </w:tc>
      </w:tr>
      <w:tr w:rsidR="004178A9" w:rsidRPr="004178A9" w14:paraId="2BA654DB" w14:textId="77777777" w:rsidTr="00417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4FF4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5/5/1999</w:t>
            </w:r>
          </w:p>
        </w:tc>
        <w:tc>
          <w:tcPr>
            <w:tcW w:w="0" w:type="auto"/>
            <w:vAlign w:val="center"/>
            <w:hideMark/>
          </w:tcPr>
          <w:p w14:paraId="46FE451E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48.09</w:t>
            </w:r>
          </w:p>
        </w:tc>
        <w:tc>
          <w:tcPr>
            <w:tcW w:w="0" w:type="auto"/>
            <w:vAlign w:val="center"/>
            <w:hideMark/>
          </w:tcPr>
          <w:p w14:paraId="23AE64F2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48.09</w:t>
            </w:r>
          </w:p>
        </w:tc>
        <w:tc>
          <w:tcPr>
            <w:tcW w:w="0" w:type="auto"/>
            <w:vAlign w:val="center"/>
            <w:hideMark/>
          </w:tcPr>
          <w:p w14:paraId="7463519B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45.60</w:t>
            </w:r>
          </w:p>
        </w:tc>
        <w:tc>
          <w:tcPr>
            <w:tcW w:w="0" w:type="auto"/>
            <w:vAlign w:val="center"/>
            <w:hideMark/>
          </w:tcPr>
          <w:p w14:paraId="213EA245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47.58</w:t>
            </w:r>
          </w:p>
        </w:tc>
        <w:tc>
          <w:tcPr>
            <w:tcW w:w="0" w:type="auto"/>
            <w:vAlign w:val="center"/>
            <w:hideMark/>
          </w:tcPr>
          <w:p w14:paraId="7AE3E763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7.57M</w:t>
            </w:r>
          </w:p>
        </w:tc>
        <w:tc>
          <w:tcPr>
            <w:tcW w:w="0" w:type="auto"/>
            <w:vAlign w:val="center"/>
            <w:hideMark/>
          </w:tcPr>
          <w:p w14:paraId="1430B542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0</w:t>
            </w:r>
          </w:p>
        </w:tc>
      </w:tr>
    </w:tbl>
    <w:p w14:paraId="27123206" w14:textId="77777777" w:rsidR="004178A9" w:rsidRPr="004178A9" w:rsidRDefault="004178A9" w:rsidP="00417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178A9">
        <w:rPr>
          <w:rFonts w:ascii="Times New Roman" w:eastAsia="Times New Roman" w:hAnsi="Times New Roman" w:cs="Times New Roman"/>
          <w:sz w:val="24"/>
          <w:szCs w:val="24"/>
          <w:lang w:bidi="te-IN"/>
        </w:rPr>
        <w:pict w14:anchorId="21B0086E">
          <v:rect id="_x0000_i1096" style="width:0;height:1.5pt" o:hralign="center" o:hrstd="t" o:hr="t" fillcolor="#a0a0a0" stroked="f"/>
        </w:pict>
      </w:r>
    </w:p>
    <w:p w14:paraId="0015C934" w14:textId="77777777" w:rsidR="004178A9" w:rsidRPr="004178A9" w:rsidRDefault="004178A9" w:rsidP="00417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2. Data Cleaning Steps</w:t>
      </w:r>
    </w:p>
    <w:p w14:paraId="5ED48C22" w14:textId="77777777" w:rsidR="004178A9" w:rsidRPr="004178A9" w:rsidRDefault="004178A9" w:rsidP="00417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>To make the data easy to analyze, the following steps were applied:</w:t>
      </w:r>
    </w:p>
    <w:p w14:paraId="1B10CFB1" w14:textId="77777777" w:rsidR="004178A9" w:rsidRPr="004178A9" w:rsidRDefault="004178A9" w:rsidP="00417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Date Formatting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</w:t>
      </w:r>
    </w:p>
    <w:p w14:paraId="6EFC8A85" w14:textId="77777777" w:rsidR="004178A9" w:rsidRPr="004178A9" w:rsidRDefault="004178A9" w:rsidP="004178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Converted timestamps to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MM/DD/YYYY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format. </w:t>
      </w:r>
    </w:p>
    <w:p w14:paraId="695B0C9F" w14:textId="77777777" w:rsidR="004178A9" w:rsidRPr="004178A9" w:rsidRDefault="004178A9" w:rsidP="004178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Added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Year, Month Number, Month Name, Quarter, Day Number, Day Name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for easier trend analysis. </w:t>
      </w:r>
    </w:p>
    <w:p w14:paraId="650016C9" w14:textId="77777777" w:rsidR="004178A9" w:rsidRPr="004178A9" w:rsidRDefault="004178A9" w:rsidP="00417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Lookup Functions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</w:t>
      </w:r>
    </w:p>
    <w:p w14:paraId="4F7713DB" w14:textId="77777777" w:rsidR="004178A9" w:rsidRPr="004178A9" w:rsidRDefault="004178A9" w:rsidP="004178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VLOOKUP: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Used to map numeric months to names and quarters. </w:t>
      </w:r>
    </w:p>
    <w:p w14:paraId="2641958C" w14:textId="77777777" w:rsidR="004178A9" w:rsidRPr="004178A9" w:rsidRDefault="004178A9" w:rsidP="004178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XLOOKUP: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Used to map years to events or dividend information. </w:t>
      </w:r>
    </w:p>
    <w:p w14:paraId="3D12DF4C" w14:textId="77777777" w:rsidR="004178A9" w:rsidRPr="004178A9" w:rsidRDefault="004178A9" w:rsidP="00417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Volume &amp; Price Cleanup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</w:t>
      </w:r>
    </w:p>
    <w:p w14:paraId="180D2C5F" w14:textId="77777777" w:rsidR="004178A9" w:rsidRPr="004178A9" w:rsidRDefault="004178A9" w:rsidP="004178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Converted raw volume to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millions for readability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. </w:t>
      </w:r>
    </w:p>
    <w:p w14:paraId="4C6BF01C" w14:textId="77777777" w:rsidR="004178A9" w:rsidRPr="004178A9" w:rsidRDefault="004178A9" w:rsidP="004178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Checked and corrected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zero or missing dividend values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. </w:t>
      </w:r>
    </w:p>
    <w:p w14:paraId="63E73378" w14:textId="77777777" w:rsidR="004178A9" w:rsidRPr="004178A9" w:rsidRDefault="004178A9" w:rsidP="00417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Final Clean Dataset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</w:t>
      </w:r>
    </w:p>
    <w:p w14:paraId="37AE5F81" w14:textId="77777777" w:rsidR="004178A9" w:rsidRPr="004178A9" w:rsidRDefault="004178A9" w:rsidP="004178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Ready for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charts, pivot tables, and dashboards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to analyze trends. </w:t>
      </w:r>
    </w:p>
    <w:p w14:paraId="3792BAB2" w14:textId="77777777" w:rsidR="004178A9" w:rsidRPr="004178A9" w:rsidRDefault="004178A9" w:rsidP="00417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>Example of cleaned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521"/>
        <w:gridCol w:w="511"/>
        <w:gridCol w:w="511"/>
        <w:gridCol w:w="551"/>
        <w:gridCol w:w="711"/>
        <w:gridCol w:w="921"/>
        <w:gridCol w:w="461"/>
        <w:gridCol w:w="600"/>
        <w:gridCol w:w="711"/>
        <w:gridCol w:w="946"/>
      </w:tblGrid>
      <w:tr w:rsidR="004178A9" w:rsidRPr="004178A9" w14:paraId="0209CB90" w14:textId="77777777" w:rsidTr="004178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1088C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F819A16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A00EC72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7BC2EF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6F2057D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3DC9953B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96EC5FB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Dividends</w:t>
            </w:r>
          </w:p>
        </w:tc>
        <w:tc>
          <w:tcPr>
            <w:tcW w:w="0" w:type="auto"/>
            <w:vAlign w:val="center"/>
            <w:hideMark/>
          </w:tcPr>
          <w:p w14:paraId="29AE2E50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A337DEB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4726574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73AAFF1C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18"/>
                <w:szCs w:val="18"/>
                <w:lang w:bidi="te-IN"/>
              </w:rPr>
              <w:t>Day Name</w:t>
            </w:r>
          </w:p>
        </w:tc>
      </w:tr>
      <w:tr w:rsidR="004178A9" w:rsidRPr="004178A9" w14:paraId="54A31D3A" w14:textId="77777777" w:rsidTr="00417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067D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5/4/1999</w:t>
            </w:r>
          </w:p>
        </w:tc>
        <w:tc>
          <w:tcPr>
            <w:tcW w:w="0" w:type="auto"/>
            <w:vAlign w:val="center"/>
            <w:hideMark/>
          </w:tcPr>
          <w:p w14:paraId="56ACC593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52.31</w:t>
            </w:r>
          </w:p>
        </w:tc>
        <w:tc>
          <w:tcPr>
            <w:tcW w:w="0" w:type="auto"/>
            <w:vAlign w:val="center"/>
            <w:hideMark/>
          </w:tcPr>
          <w:p w14:paraId="3D2472EB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53.17</w:t>
            </w:r>
          </w:p>
        </w:tc>
        <w:tc>
          <w:tcPr>
            <w:tcW w:w="0" w:type="auto"/>
            <w:vAlign w:val="center"/>
            <w:hideMark/>
          </w:tcPr>
          <w:p w14:paraId="3A596508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48.18</w:t>
            </w:r>
          </w:p>
        </w:tc>
        <w:tc>
          <w:tcPr>
            <w:tcW w:w="0" w:type="auto"/>
            <w:vAlign w:val="center"/>
            <w:hideMark/>
          </w:tcPr>
          <w:p w14:paraId="1285BE93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48.44</w:t>
            </w:r>
          </w:p>
        </w:tc>
        <w:tc>
          <w:tcPr>
            <w:tcW w:w="0" w:type="auto"/>
            <w:vAlign w:val="center"/>
            <w:hideMark/>
          </w:tcPr>
          <w:p w14:paraId="2FECB8A3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22M</w:t>
            </w:r>
          </w:p>
        </w:tc>
        <w:tc>
          <w:tcPr>
            <w:tcW w:w="0" w:type="auto"/>
            <w:vAlign w:val="center"/>
            <w:hideMark/>
          </w:tcPr>
          <w:p w14:paraId="277417A3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BB9A90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1999</w:t>
            </w:r>
          </w:p>
        </w:tc>
        <w:tc>
          <w:tcPr>
            <w:tcW w:w="0" w:type="auto"/>
            <w:vAlign w:val="center"/>
            <w:hideMark/>
          </w:tcPr>
          <w:p w14:paraId="572551B0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BBC2CD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372D0199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TUE</w:t>
            </w:r>
          </w:p>
        </w:tc>
      </w:tr>
      <w:tr w:rsidR="004178A9" w:rsidRPr="004178A9" w14:paraId="76CD5B04" w14:textId="77777777" w:rsidTr="00417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2153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5/5/1999</w:t>
            </w:r>
          </w:p>
        </w:tc>
        <w:tc>
          <w:tcPr>
            <w:tcW w:w="0" w:type="auto"/>
            <w:vAlign w:val="center"/>
            <w:hideMark/>
          </w:tcPr>
          <w:p w14:paraId="29FC2C2B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48.09</w:t>
            </w:r>
          </w:p>
        </w:tc>
        <w:tc>
          <w:tcPr>
            <w:tcW w:w="0" w:type="auto"/>
            <w:vAlign w:val="center"/>
            <w:hideMark/>
          </w:tcPr>
          <w:p w14:paraId="4A373E3E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48.09</w:t>
            </w:r>
          </w:p>
        </w:tc>
        <w:tc>
          <w:tcPr>
            <w:tcW w:w="0" w:type="auto"/>
            <w:vAlign w:val="center"/>
            <w:hideMark/>
          </w:tcPr>
          <w:p w14:paraId="445BBB72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45.60</w:t>
            </w:r>
          </w:p>
        </w:tc>
        <w:tc>
          <w:tcPr>
            <w:tcW w:w="0" w:type="auto"/>
            <w:vAlign w:val="center"/>
            <w:hideMark/>
          </w:tcPr>
          <w:p w14:paraId="0E32E5F9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47.58</w:t>
            </w:r>
          </w:p>
        </w:tc>
        <w:tc>
          <w:tcPr>
            <w:tcW w:w="0" w:type="auto"/>
            <w:vAlign w:val="center"/>
            <w:hideMark/>
          </w:tcPr>
          <w:p w14:paraId="51AD47F7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7.57M</w:t>
            </w:r>
          </w:p>
        </w:tc>
        <w:tc>
          <w:tcPr>
            <w:tcW w:w="0" w:type="auto"/>
            <w:vAlign w:val="center"/>
            <w:hideMark/>
          </w:tcPr>
          <w:p w14:paraId="7FAEA5A5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159FC1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1999</w:t>
            </w:r>
          </w:p>
        </w:tc>
        <w:tc>
          <w:tcPr>
            <w:tcW w:w="0" w:type="auto"/>
            <w:vAlign w:val="center"/>
            <w:hideMark/>
          </w:tcPr>
          <w:p w14:paraId="5A9E8FD8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013E6B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1AC44665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18"/>
                <w:szCs w:val="18"/>
                <w:lang w:bidi="te-IN"/>
              </w:rPr>
              <w:t>WED</w:t>
            </w:r>
          </w:p>
        </w:tc>
      </w:tr>
    </w:tbl>
    <w:p w14:paraId="3F29AFD9" w14:textId="77777777" w:rsidR="004178A9" w:rsidRPr="004178A9" w:rsidRDefault="004178A9" w:rsidP="00417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178A9">
        <w:rPr>
          <w:rFonts w:ascii="Times New Roman" w:eastAsia="Times New Roman" w:hAnsi="Times New Roman" w:cs="Times New Roman"/>
          <w:sz w:val="24"/>
          <w:szCs w:val="24"/>
          <w:lang w:bidi="te-IN"/>
        </w:rPr>
        <w:pict w14:anchorId="79401E2D">
          <v:rect id="_x0000_i1097" style="width:0;height:1.5pt" o:hralign="center" o:hrstd="t" o:hr="t" fillcolor="#a0a0a0" stroked="f"/>
        </w:pict>
      </w:r>
    </w:p>
    <w:p w14:paraId="07C5280A" w14:textId="77777777" w:rsidR="004178A9" w:rsidRDefault="004178A9" w:rsidP="00417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</w:p>
    <w:p w14:paraId="08B02EE9" w14:textId="77777777" w:rsidR="004178A9" w:rsidRDefault="004178A9" w:rsidP="00417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</w:p>
    <w:p w14:paraId="3D4BFA5D" w14:textId="319DAADA" w:rsidR="004178A9" w:rsidRPr="004178A9" w:rsidRDefault="004178A9" w:rsidP="00417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lastRenderedPageBreak/>
        <w:t>3. Stock Price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628"/>
        <w:gridCol w:w="1721"/>
      </w:tblGrid>
      <w:tr w:rsidR="004178A9" w:rsidRPr="004178A9" w14:paraId="65F266EC" w14:textId="77777777" w:rsidTr="004178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09628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1D443D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>1999</w:t>
            </w:r>
          </w:p>
        </w:tc>
        <w:tc>
          <w:tcPr>
            <w:tcW w:w="0" w:type="auto"/>
            <w:vAlign w:val="center"/>
            <w:hideMark/>
          </w:tcPr>
          <w:p w14:paraId="1CCFAB7C" w14:textId="77777777" w:rsidR="004178A9" w:rsidRPr="004178A9" w:rsidRDefault="004178A9" w:rsidP="00417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4178A9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>2026</w:t>
            </w:r>
          </w:p>
        </w:tc>
      </w:tr>
      <w:tr w:rsidR="004178A9" w:rsidRPr="004178A9" w14:paraId="719B0224" w14:textId="77777777" w:rsidTr="00417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5263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Price Range</w:t>
            </w:r>
          </w:p>
        </w:tc>
        <w:tc>
          <w:tcPr>
            <w:tcW w:w="0" w:type="auto"/>
            <w:vAlign w:val="center"/>
            <w:hideMark/>
          </w:tcPr>
          <w:p w14:paraId="405C73F6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$44 – $53</w:t>
            </w:r>
          </w:p>
        </w:tc>
        <w:tc>
          <w:tcPr>
            <w:tcW w:w="0" w:type="auto"/>
            <w:vAlign w:val="center"/>
            <w:hideMark/>
          </w:tcPr>
          <w:p w14:paraId="35D96F99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$800 – $930</w:t>
            </w:r>
          </w:p>
        </w:tc>
      </w:tr>
      <w:tr w:rsidR="004178A9" w:rsidRPr="004178A9" w14:paraId="64129518" w14:textId="77777777" w:rsidTr="00417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1CCE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Daily Price Movement</w:t>
            </w:r>
          </w:p>
        </w:tc>
        <w:tc>
          <w:tcPr>
            <w:tcW w:w="0" w:type="auto"/>
            <w:vAlign w:val="center"/>
            <w:hideMark/>
          </w:tcPr>
          <w:p w14:paraId="4C94033F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Small fluctuations</w:t>
            </w:r>
          </w:p>
        </w:tc>
        <w:tc>
          <w:tcPr>
            <w:tcW w:w="0" w:type="auto"/>
            <w:vAlign w:val="center"/>
            <w:hideMark/>
          </w:tcPr>
          <w:p w14:paraId="654D5DC1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Larger fluctuations</w:t>
            </w:r>
          </w:p>
        </w:tc>
      </w:tr>
      <w:tr w:rsidR="004178A9" w:rsidRPr="004178A9" w14:paraId="23042C29" w14:textId="77777777" w:rsidTr="00417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ADB5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Trading Volume</w:t>
            </w:r>
          </w:p>
        </w:tc>
        <w:tc>
          <w:tcPr>
            <w:tcW w:w="0" w:type="auto"/>
            <w:vAlign w:val="center"/>
            <w:hideMark/>
          </w:tcPr>
          <w:p w14:paraId="5A8AD97C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1M – 5M shares</w:t>
            </w:r>
          </w:p>
        </w:tc>
        <w:tc>
          <w:tcPr>
            <w:tcW w:w="0" w:type="auto"/>
            <w:vAlign w:val="center"/>
            <w:hideMark/>
          </w:tcPr>
          <w:p w14:paraId="1BC656FF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2M – 6M shares</w:t>
            </w:r>
          </w:p>
        </w:tc>
      </w:tr>
      <w:tr w:rsidR="004178A9" w:rsidRPr="004178A9" w14:paraId="12ED072C" w14:textId="77777777" w:rsidTr="00417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EB38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Dividends</w:t>
            </w:r>
          </w:p>
        </w:tc>
        <w:tc>
          <w:tcPr>
            <w:tcW w:w="0" w:type="auto"/>
            <w:vAlign w:val="center"/>
            <w:hideMark/>
          </w:tcPr>
          <w:p w14:paraId="2732CABE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2989730" w14:textId="77777777" w:rsidR="004178A9" w:rsidRPr="004178A9" w:rsidRDefault="004178A9" w:rsidP="004178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4178A9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Up to 4.5</w:t>
            </w:r>
          </w:p>
        </w:tc>
      </w:tr>
    </w:tbl>
    <w:p w14:paraId="2A38EAB1" w14:textId="77777777" w:rsidR="004178A9" w:rsidRPr="004178A9" w:rsidRDefault="004178A9" w:rsidP="00417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Key Observations:</w:t>
      </w:r>
    </w:p>
    <w:p w14:paraId="64905B9E" w14:textId="77777777" w:rsidR="004178A9" w:rsidRPr="004178A9" w:rsidRDefault="004178A9" w:rsidP="00417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Stock price increased roughly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15–20x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over 27 years. </w:t>
      </w:r>
    </w:p>
    <w:p w14:paraId="1117BC01" w14:textId="77777777" w:rsidR="004178A9" w:rsidRPr="004178A9" w:rsidRDefault="004178A9" w:rsidP="00417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Daily price swings are bigger now due to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higher absolute prices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. </w:t>
      </w:r>
    </w:p>
    <w:p w14:paraId="569432A7" w14:textId="77777777" w:rsidR="004178A9" w:rsidRPr="004178A9" w:rsidRDefault="004178A9" w:rsidP="00417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Trading volume became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more consistent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, indicating a mature market. </w:t>
      </w:r>
    </w:p>
    <w:p w14:paraId="0E6804AA" w14:textId="77777777" w:rsidR="004178A9" w:rsidRPr="004178A9" w:rsidRDefault="004178A9" w:rsidP="00417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Dividends started later but are now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significant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, showing investor-friendly policies. </w:t>
      </w:r>
    </w:p>
    <w:p w14:paraId="4787B8FC" w14:textId="77777777" w:rsidR="004178A9" w:rsidRPr="004178A9" w:rsidRDefault="004178A9" w:rsidP="004178A9">
      <w:pPr>
        <w:spacing w:after="0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pict w14:anchorId="2BD2A9B9">
          <v:rect id="_x0000_i1130" style="width:0;height:1.5pt" o:hralign="center" o:hrstd="t" o:hr="t" fillcolor="#a0a0a0" stroked="f"/>
        </w:pict>
      </w:r>
    </w:p>
    <w:p w14:paraId="3CD08379" w14:textId="77777777" w:rsidR="004178A9" w:rsidRPr="004178A9" w:rsidRDefault="004178A9" w:rsidP="00417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4. Dividend Trends</w:t>
      </w:r>
    </w:p>
    <w:p w14:paraId="26509053" w14:textId="77777777" w:rsidR="004178A9" w:rsidRPr="004178A9" w:rsidRDefault="004178A9" w:rsidP="004178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1999–2005: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Very low or zero dividends (company focused on growth). </w:t>
      </w:r>
    </w:p>
    <w:p w14:paraId="7BBD920C" w14:textId="77777777" w:rsidR="004178A9" w:rsidRPr="004178A9" w:rsidRDefault="004178A9" w:rsidP="004178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2006–2012: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Slow increase in dividends as the company stabilized. </w:t>
      </w:r>
    </w:p>
    <w:p w14:paraId="3298C4A8" w14:textId="77777777" w:rsidR="004178A9" w:rsidRPr="004178A9" w:rsidRDefault="004178A9" w:rsidP="004178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2013–2019: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Steady growth in payouts. </w:t>
      </w:r>
    </w:p>
    <w:p w14:paraId="29BD22E5" w14:textId="77777777" w:rsidR="004178A9" w:rsidRPr="004178A9" w:rsidRDefault="004178A9" w:rsidP="004178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2020–2026: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Sharp increase, with dividends up to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4.5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, showing maturity and financial strength. </w:t>
      </w:r>
    </w:p>
    <w:p w14:paraId="57F07811" w14:textId="77777777" w:rsidR="004178A9" w:rsidRPr="004178A9" w:rsidRDefault="004178A9" w:rsidP="00417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Takeaway: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Goldman Sachs evolved from a growth-focused company to a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stable, dividend-paying company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>.</w:t>
      </w:r>
    </w:p>
    <w:p w14:paraId="3F3B0BF4" w14:textId="77777777" w:rsidR="004178A9" w:rsidRPr="004178A9" w:rsidRDefault="004178A9" w:rsidP="004178A9">
      <w:pPr>
        <w:spacing w:after="0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pict w14:anchorId="4BC5DDF8">
          <v:rect id="_x0000_i1131" style="width:0;height:1.5pt" o:hralign="center" o:hrstd="t" o:hr="t" fillcolor="#a0a0a0" stroked="f"/>
        </w:pict>
      </w:r>
    </w:p>
    <w:p w14:paraId="57465912" w14:textId="77777777" w:rsidR="004178A9" w:rsidRPr="004178A9" w:rsidRDefault="004178A9" w:rsidP="00417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5. Trading Volume &amp; Market Behavior</w:t>
      </w:r>
    </w:p>
    <w:p w14:paraId="40D3E1AE" w14:textId="77777777" w:rsidR="004178A9" w:rsidRPr="004178A9" w:rsidRDefault="004178A9" w:rsidP="00417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High activity months: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March &amp; April. </w:t>
      </w:r>
    </w:p>
    <w:p w14:paraId="1B859765" w14:textId="77777777" w:rsidR="004178A9" w:rsidRPr="004178A9" w:rsidRDefault="004178A9" w:rsidP="00417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Low activity months: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August &amp; December. </w:t>
      </w:r>
    </w:p>
    <w:p w14:paraId="6F0DC698" w14:textId="77777777" w:rsidR="004178A9" w:rsidRPr="004178A9" w:rsidRDefault="004178A9" w:rsidP="00417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Quarterly trend: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Slightly higher activity in Q1 due to portfolio adjustments. </w:t>
      </w:r>
    </w:p>
    <w:p w14:paraId="7E88AB4D" w14:textId="77777777" w:rsidR="004178A9" w:rsidRPr="004178A9" w:rsidRDefault="004178A9" w:rsidP="00417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Economic impact: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Volume spiked during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2007–2009 Global Financial Crisis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, showing sensitivity to macroeconomic events. </w:t>
      </w:r>
    </w:p>
    <w:p w14:paraId="5C20B35D" w14:textId="77777777" w:rsidR="004178A9" w:rsidRPr="004178A9" w:rsidRDefault="004178A9" w:rsidP="004178A9">
      <w:pPr>
        <w:spacing w:after="0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pict w14:anchorId="00E1630A">
          <v:rect id="_x0000_i1132" style="width:0;height:1.5pt" o:hralign="center" o:hrstd="t" o:hr="t" fillcolor="#a0a0a0" stroked="f"/>
        </w:pict>
      </w:r>
    </w:p>
    <w:p w14:paraId="5AECDDC8" w14:textId="77777777" w:rsidR="004178A9" w:rsidRPr="004178A9" w:rsidRDefault="004178A9" w:rsidP="00417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bidi="te-IN"/>
        </w:rPr>
      </w:pPr>
    </w:p>
    <w:p w14:paraId="6D8DE381" w14:textId="054C4B2E" w:rsidR="004178A9" w:rsidRPr="004178A9" w:rsidRDefault="004178A9" w:rsidP="00417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6. Overall Insights (Fresher Tone)</w:t>
      </w:r>
    </w:p>
    <w:p w14:paraId="775DBB34" w14:textId="77777777" w:rsidR="004178A9" w:rsidRPr="004178A9" w:rsidRDefault="004178A9" w:rsidP="00417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Long-term growth: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Stock price has skyrocketed from ~$44 to ~$900. </w:t>
      </w:r>
    </w:p>
    <w:p w14:paraId="61E3B718" w14:textId="77777777" w:rsidR="004178A9" w:rsidRPr="004178A9" w:rsidRDefault="004178A9" w:rsidP="00417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Dividends: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Started late but now provide solid returns. </w:t>
      </w:r>
    </w:p>
    <w:p w14:paraId="77F401A3" w14:textId="77777777" w:rsidR="004178A9" w:rsidRPr="004178A9" w:rsidRDefault="004178A9" w:rsidP="00417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Volume &amp; volatility: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More stable trading volumes, bigger price swings due to higher stock value. </w:t>
      </w:r>
    </w:p>
    <w:p w14:paraId="66EFB5F6" w14:textId="77777777" w:rsidR="004178A9" w:rsidRPr="004178A9" w:rsidRDefault="004178A9" w:rsidP="00417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Investor-friendly: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Company shows maturity, stability, and confidence in giving returns. </w:t>
      </w:r>
    </w:p>
    <w:p w14:paraId="15248000" w14:textId="77777777" w:rsidR="004178A9" w:rsidRPr="004178A9" w:rsidRDefault="004178A9" w:rsidP="00417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Timing matters: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Early-year months and quarters generally show more trading activity. </w:t>
      </w:r>
    </w:p>
    <w:p w14:paraId="344F4D7A" w14:textId="77777777" w:rsidR="004178A9" w:rsidRPr="004178A9" w:rsidRDefault="004178A9" w:rsidP="004178A9">
      <w:pPr>
        <w:spacing w:after="0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pict w14:anchorId="61A13858">
          <v:rect id="_x0000_i1133" style="width:0;height:1.5pt" o:hralign="center" o:hrstd="t" o:hr="t" fillcolor="#a0a0a0" stroked="f"/>
        </w:pict>
      </w:r>
    </w:p>
    <w:p w14:paraId="615C141D" w14:textId="77777777" w:rsidR="004178A9" w:rsidRPr="004178A9" w:rsidRDefault="004178A9" w:rsidP="00417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lastRenderedPageBreak/>
        <w:t>7. Final Summary</w:t>
      </w:r>
    </w:p>
    <w:p w14:paraId="247C91BA" w14:textId="77777777" w:rsidR="004178A9" w:rsidRPr="004178A9" w:rsidRDefault="004178A9" w:rsidP="00417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Goldman Sachs stock shows a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classic long-term growth story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>:</w:t>
      </w:r>
    </w:p>
    <w:p w14:paraId="59EF4357" w14:textId="77777777" w:rsidR="004178A9" w:rsidRPr="004178A9" w:rsidRDefault="004178A9" w:rsidP="004178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Early years: low price, no dividends, moderate volatility </w:t>
      </w:r>
    </w:p>
    <w:p w14:paraId="4AF75857" w14:textId="77777777" w:rsidR="004178A9" w:rsidRPr="004178A9" w:rsidRDefault="004178A9" w:rsidP="004178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Middle years: growth, dividends starting, sensitive to crises </w:t>
      </w:r>
    </w:p>
    <w:p w14:paraId="0E04E57D" w14:textId="77777777" w:rsidR="004178A9" w:rsidRPr="004178A9" w:rsidRDefault="004178A9" w:rsidP="004178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Recent years: high stock price, strong dividends, consistent volume </w:t>
      </w:r>
    </w:p>
    <w:p w14:paraId="6CE4A4C1" w14:textId="77777777" w:rsidR="004178A9" w:rsidRPr="004178A9" w:rsidRDefault="004178A9" w:rsidP="00417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Bottom line: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Long-term investors would have benefited from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both capital gains and dividends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>, making this a strong example of wealth creation over decades.</w:t>
      </w:r>
    </w:p>
    <w:p w14:paraId="02E702FE" w14:textId="16D36615" w:rsidR="004178A9" w:rsidRPr="004178A9" w:rsidRDefault="004178A9" w:rsidP="004178A9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Source of data: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The stock data is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from Investing.com (via proxy)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. </w:t>
      </w:r>
    </w:p>
    <w:p w14:paraId="736A76B4" w14:textId="101A59BC" w:rsidR="004178A9" w:rsidRPr="004178A9" w:rsidRDefault="004178A9" w:rsidP="004178A9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Purpose: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This analysis is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for educational purposes only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. </w:t>
      </w:r>
    </w:p>
    <w:p w14:paraId="5658CC94" w14:textId="10CFD5FC" w:rsidR="004178A9" w:rsidRPr="004178A9" w:rsidRDefault="004178A9" w:rsidP="004178A9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Ownership: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The data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does not belong to the</w:t>
      </w:r>
      <w:r>
        <w:rPr>
          <w:rFonts w:ascii="Arial" w:eastAsia="Times New Roman" w:hAnsi="Arial" w:cs="Arial"/>
          <w:b/>
          <w:bCs/>
          <w:sz w:val="20"/>
          <w:szCs w:val="20"/>
          <w:lang w:bidi="te-IN"/>
        </w:rPr>
        <w:t xml:space="preserve"> Mine and Belongs to Author who published in the Kaggle</w:t>
      </w:r>
      <w:r>
        <w:rPr>
          <w:rFonts w:ascii="Arial" w:eastAsia="Times New Roman" w:hAnsi="Arial" w:cs="Arial"/>
          <w:sz w:val="20"/>
          <w:szCs w:val="20"/>
          <w:lang w:bidi="te-IN"/>
        </w:rPr>
        <w:t>.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. </w:t>
      </w:r>
    </w:p>
    <w:p w14:paraId="4BE3B6D2" w14:textId="4A6D5A7B" w:rsidR="004178A9" w:rsidRPr="004178A9" w:rsidRDefault="004178A9" w:rsidP="004178A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vanish/>
          <w:sz w:val="20"/>
          <w:szCs w:val="20"/>
          <w:lang w:bidi="te-IN"/>
        </w:rPr>
      </w:pP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Usage: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 xml:space="preserve"> Insights, charts, and tables are prepared to </w:t>
      </w:r>
      <w:r w:rsidRPr="004178A9">
        <w:rPr>
          <w:rFonts w:ascii="Arial" w:eastAsia="Times New Roman" w:hAnsi="Arial" w:cs="Arial"/>
          <w:b/>
          <w:bCs/>
          <w:sz w:val="20"/>
          <w:szCs w:val="20"/>
          <w:lang w:bidi="te-IN"/>
        </w:rPr>
        <w:t>demonstrate stock analysis and data cleaning techniques</w:t>
      </w:r>
      <w:r w:rsidRPr="004178A9">
        <w:rPr>
          <w:rFonts w:ascii="Arial" w:eastAsia="Times New Roman" w:hAnsi="Arial" w:cs="Arial"/>
          <w:sz w:val="20"/>
          <w:szCs w:val="20"/>
          <w:lang w:bidi="te-IN"/>
        </w:rPr>
        <w:t>.</w:t>
      </w:r>
      <w:r w:rsidRPr="004178A9">
        <w:rPr>
          <w:rFonts w:ascii="Arial" w:eastAsia="Times New Roman" w:hAnsi="Arial" w:cs="Arial"/>
          <w:vanish/>
          <w:sz w:val="20"/>
          <w:szCs w:val="20"/>
          <w:lang w:bidi="te-IN"/>
        </w:rPr>
        <w:t>Bottom of Form</w:t>
      </w:r>
    </w:p>
    <w:p w14:paraId="41549697" w14:textId="77777777" w:rsidR="00256296" w:rsidRPr="004178A9" w:rsidRDefault="00256296">
      <w:pPr>
        <w:rPr>
          <w:rFonts w:ascii="Arial" w:hAnsi="Arial" w:cs="Arial"/>
          <w:sz w:val="20"/>
          <w:szCs w:val="20"/>
        </w:rPr>
      </w:pPr>
    </w:p>
    <w:sectPr w:rsidR="00256296" w:rsidRPr="00417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C445F"/>
    <w:multiLevelType w:val="multilevel"/>
    <w:tmpl w:val="67F4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F6990"/>
    <w:multiLevelType w:val="multilevel"/>
    <w:tmpl w:val="F56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C7BC1"/>
    <w:multiLevelType w:val="multilevel"/>
    <w:tmpl w:val="C11E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6472A"/>
    <w:multiLevelType w:val="multilevel"/>
    <w:tmpl w:val="A57A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65655B"/>
    <w:multiLevelType w:val="hybridMultilevel"/>
    <w:tmpl w:val="6426A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76C92"/>
    <w:multiLevelType w:val="multilevel"/>
    <w:tmpl w:val="DE5C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C22FA"/>
    <w:multiLevelType w:val="multilevel"/>
    <w:tmpl w:val="1DCC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5A3549"/>
    <w:multiLevelType w:val="multilevel"/>
    <w:tmpl w:val="D4C0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A9"/>
    <w:rsid w:val="00256296"/>
    <w:rsid w:val="0041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C83B6"/>
  <w15:chartTrackingRefBased/>
  <w15:docId w15:val="{D2E7C085-0CB8-4D5C-9849-CCF0CC0E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78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Heading2">
    <w:name w:val="heading 2"/>
    <w:basedOn w:val="Normal"/>
    <w:link w:val="Heading2Char"/>
    <w:uiPriority w:val="9"/>
    <w:qFormat/>
    <w:rsid w:val="004178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9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4178A9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styleId="Strong">
    <w:name w:val="Strong"/>
    <w:basedOn w:val="DefaultParagraphFont"/>
    <w:uiPriority w:val="22"/>
    <w:qFormat/>
    <w:rsid w:val="004178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7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178A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te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178A9"/>
    <w:rPr>
      <w:rFonts w:ascii="Arial" w:eastAsia="Times New Roman" w:hAnsi="Arial" w:cs="Arial"/>
      <w:vanish/>
      <w:sz w:val="16"/>
      <w:szCs w:val="16"/>
      <w:lang w:bidi="te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178A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te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178A9"/>
    <w:rPr>
      <w:rFonts w:ascii="Arial" w:eastAsia="Times New Roman" w:hAnsi="Arial" w:cs="Arial"/>
      <w:vanish/>
      <w:sz w:val="16"/>
      <w:szCs w:val="16"/>
      <w:lang w:bidi="te-IN"/>
    </w:rPr>
  </w:style>
  <w:style w:type="paragraph" w:styleId="ListParagraph">
    <w:name w:val="List Paragraph"/>
    <w:basedOn w:val="Normal"/>
    <w:uiPriority w:val="34"/>
    <w:qFormat/>
    <w:rsid w:val="004178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8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2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5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4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0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30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58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062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5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83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9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5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2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9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72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8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6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9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</cp:revision>
  <dcterms:created xsi:type="dcterms:W3CDTF">2026-03-25T10:42:00Z</dcterms:created>
  <dcterms:modified xsi:type="dcterms:W3CDTF">2026-03-25T10:46:00Z</dcterms:modified>
</cp:coreProperties>
</file>