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b/>
          <w:color w:val="1F497D"/>
          <w:sz w:val="48"/>
        </w:rPr>
        <w:t>Food Delivery Platform Analysis</w:t>
      </w:r>
    </w:p>
    <w:p>
      <w:pPr>
        <w:jc w:val="center"/>
      </w:pPr>
      <w:r>
        <w:rPr>
          <w:rFonts w:ascii="Arial" w:hAnsi="Arial"/>
          <w:i/>
          <w:color w:val="404040"/>
          <w:sz w:val="26"/>
        </w:rPr>
        <w:t>Blinkit  |  JioMart  |  Swiggy Instamart</w:t>
      </w:r>
    </w:p>
    <w:p/>
    <w:p>
      <w:pPr>
        <w:jc w:val="center"/>
      </w:pPr>
      <w:r>
        <w:rPr>
          <w:rFonts w:ascii="Arial" w:hAnsi="Arial"/>
          <w:color w:val="707070"/>
          <w:sz w:val="22"/>
        </w:rPr>
        <w:t>Tools Used: BigQuery (SQL)  |  Looker Studio</w:t>
      </w:r>
    </w:p>
    <w:p/>
    <w:p>
      <w:pPr>
        <w:jc w:val="center"/>
      </w:pPr>
      <w:r>
        <w:rPr>
          <w:rFonts w:ascii="Arial" w:hAnsi="Arial"/>
          <w:color w:val="707070"/>
          <w:sz w:val="22"/>
        </w:rPr>
        <w:t>Prepared by: [Your Name]  |  April 2026</w:t>
      </w:r>
    </w:p>
    <w:p>
      <w:r>
        <w:br w:type="page"/>
      </w:r>
    </w:p>
    <w:p>
      <w:pPr>
        <w:spacing w:before="240" w:after="80"/>
      </w:pPr>
      <w:r>
        <w:rPr>
          <w:rFonts w:ascii="Arial" w:hAnsi="Arial"/>
          <w:b/>
          <w:color w:val="1F497D"/>
          <w:sz w:val="36"/>
        </w:rPr>
        <w:t>1. Project Overview</w:t>
      </w:r>
    </w:p>
    <w:p>
      <w:pPr>
        <w:spacing w:before="80" w:after="80"/>
      </w:pPr>
      <w:r>
        <w:rPr>
          <w:rFonts w:ascii="Arial" w:hAnsi="Arial"/>
          <w:b w:val="0"/>
          <w:i w:val="0"/>
          <w:sz w:val="22"/>
        </w:rPr>
        <w:t>This project is my first end-to-end data analysis project where I worked on a food delivery dataset covering three platforms — Blinkit, JioMart, and Swiggy Instamart. I used BigQuery for all the SQL analysis and Looker Studio to build an interactive dashboard. The goal was to understand how these platforms are performing in terms of revenue, delivery, customer satisfaction, and refund behavior.</w:t>
      </w:r>
    </w:p>
    <w:p>
      <w:pPr>
        <w:spacing w:before="80" w:after="80"/>
        <w:pBdr>
          <w:bottom w:val="single" w:sz="6" w:space="1" w:color="CCCCCC"/>
        </w:pBdr>
      </w:pPr>
    </w:p>
    <w:p>
      <w:pPr>
        <w:spacing w:before="240" w:after="80"/>
      </w:pPr>
      <w:r>
        <w:rPr>
          <w:rFonts w:ascii="Arial" w:hAnsi="Arial"/>
          <w:b/>
          <w:color w:val="1F497D"/>
          <w:sz w:val="36"/>
        </w:rPr>
        <w:t>2. Dataset Details</w:t>
      </w:r>
    </w:p>
    <w:p>
      <w:pPr>
        <w:spacing w:before="80" w:after="80"/>
      </w:pPr>
      <w:r>
        <w:rPr>
          <w:rFonts w:ascii="Arial" w:hAnsi="Arial"/>
          <w:b w:val="0"/>
          <w:i w:val="0"/>
          <w:sz w:val="22"/>
        </w:rPr>
        <w:t>The dataset contains food delivery orders with the following columns:</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2E74B5"/>
            <w:vAlign w:val="center"/>
          </w:tcPr>
          <w:p>
            <w:pPr>
              <w:jc w:val="center"/>
            </w:pPr>
            <w:r>
              <w:rPr>
                <w:rFonts w:ascii="Arial" w:hAnsi="Arial"/>
                <w:b/>
                <w:color w:val="FFFFFF"/>
                <w:sz w:val="20"/>
              </w:rPr>
              <w:t>Column Name</w:t>
            </w:r>
          </w:p>
        </w:tc>
        <w:tc>
          <w:tcPr>
            <w:tcW w:type="dxa" w:w="4608"/>
            <w:shd w:val="clear" w:color="auto" w:fill="2E74B5"/>
            <w:vAlign w:val="center"/>
          </w:tcPr>
          <w:p>
            <w:pPr>
              <w:jc w:val="center"/>
            </w:pPr>
            <w:r>
              <w:rPr>
                <w:rFonts w:ascii="Arial" w:hAnsi="Arial"/>
                <w:b/>
                <w:color w:val="FFFFFF"/>
                <w:sz w:val="20"/>
              </w:rPr>
              <w:t>Description</w:t>
            </w:r>
          </w:p>
        </w:tc>
        <w:tc>
          <w:tcPr>
            <w:tcW w:type="dxa" w:w="1872"/>
            <w:shd w:val="clear" w:color="auto" w:fill="2E74B5"/>
            <w:vAlign w:val="center"/>
          </w:tcPr>
          <w:p>
            <w:pPr>
              <w:jc w:val="center"/>
            </w:pPr>
            <w:r>
              <w:rPr>
                <w:rFonts w:ascii="Arial" w:hAnsi="Arial"/>
                <w:b/>
                <w:color w:val="FFFFFF"/>
                <w:sz w:val="20"/>
              </w:rPr>
              <w:t>Data Type</w:t>
            </w:r>
          </w:p>
        </w:tc>
      </w:tr>
      <w:tr>
        <w:tc>
          <w:tcPr>
            <w:tcW w:type="dxa" w:w="2880"/>
            <w:shd w:val="clear" w:color="auto" w:fill="F2F7FB"/>
          </w:tcPr>
          <w:p>
            <w:r>
              <w:rPr>
                <w:rFonts w:ascii="Arial" w:hAnsi="Arial"/>
                <w:sz w:val="20"/>
              </w:rPr>
              <w:t>order_id</w:t>
            </w:r>
          </w:p>
        </w:tc>
        <w:tc>
          <w:tcPr>
            <w:tcW w:type="dxa" w:w="4608"/>
            <w:shd w:val="clear" w:color="auto" w:fill="F2F7FB"/>
          </w:tcPr>
          <w:p>
            <w:r>
              <w:rPr>
                <w:rFonts w:ascii="Arial" w:hAnsi="Arial"/>
                <w:sz w:val="20"/>
              </w:rPr>
              <w:t>Unique identifier for each order</w:t>
            </w:r>
          </w:p>
        </w:tc>
        <w:tc>
          <w:tcPr>
            <w:tcW w:type="dxa" w:w="1872"/>
            <w:shd w:val="clear" w:color="auto" w:fill="F2F7FB"/>
          </w:tcPr>
          <w:p>
            <w:r>
              <w:rPr>
                <w:rFonts w:ascii="Arial" w:hAnsi="Arial"/>
                <w:sz w:val="20"/>
              </w:rPr>
              <w:t>STRING</w:t>
            </w:r>
          </w:p>
        </w:tc>
      </w:tr>
      <w:tr>
        <w:tc>
          <w:tcPr>
            <w:tcW w:type="dxa" w:w="2880"/>
            <w:shd w:val="clear" w:color="auto" w:fill="FFFFFF"/>
          </w:tcPr>
          <w:p>
            <w:r>
              <w:rPr>
                <w:rFonts w:ascii="Arial" w:hAnsi="Arial"/>
                <w:sz w:val="20"/>
              </w:rPr>
              <w:t>customer_id</w:t>
            </w:r>
          </w:p>
        </w:tc>
        <w:tc>
          <w:tcPr>
            <w:tcW w:type="dxa" w:w="4608"/>
            <w:shd w:val="clear" w:color="auto" w:fill="FFFFFF"/>
          </w:tcPr>
          <w:p>
            <w:r>
              <w:rPr>
                <w:rFonts w:ascii="Arial" w:hAnsi="Arial"/>
                <w:sz w:val="20"/>
              </w:rPr>
              <w:t>Unique identifier for each customer</w:t>
            </w:r>
          </w:p>
        </w:tc>
        <w:tc>
          <w:tcPr>
            <w:tcW w:type="dxa" w:w="1872"/>
            <w:shd w:val="clear" w:color="auto" w:fill="FFFFFF"/>
          </w:tcPr>
          <w:p>
            <w:r>
              <w:rPr>
                <w:rFonts w:ascii="Arial" w:hAnsi="Arial"/>
                <w:sz w:val="20"/>
              </w:rPr>
              <w:t>STRING</w:t>
            </w:r>
          </w:p>
        </w:tc>
      </w:tr>
      <w:tr>
        <w:tc>
          <w:tcPr>
            <w:tcW w:type="dxa" w:w="2880"/>
            <w:shd w:val="clear" w:color="auto" w:fill="F2F7FB"/>
          </w:tcPr>
          <w:p>
            <w:r>
              <w:rPr>
                <w:rFonts w:ascii="Arial" w:hAnsi="Arial"/>
                <w:sz w:val="20"/>
              </w:rPr>
              <w:t>platform</w:t>
            </w:r>
          </w:p>
        </w:tc>
        <w:tc>
          <w:tcPr>
            <w:tcW w:type="dxa" w:w="4608"/>
            <w:shd w:val="clear" w:color="auto" w:fill="F2F7FB"/>
          </w:tcPr>
          <w:p>
            <w:r>
              <w:rPr>
                <w:rFonts w:ascii="Arial" w:hAnsi="Arial"/>
                <w:sz w:val="20"/>
              </w:rPr>
              <w:t>Delivery platform used</w:t>
            </w:r>
          </w:p>
        </w:tc>
        <w:tc>
          <w:tcPr>
            <w:tcW w:type="dxa" w:w="1872"/>
            <w:shd w:val="clear" w:color="auto" w:fill="F2F7FB"/>
          </w:tcPr>
          <w:p>
            <w:r>
              <w:rPr>
                <w:rFonts w:ascii="Arial" w:hAnsi="Arial"/>
                <w:sz w:val="20"/>
              </w:rPr>
              <w:t>STRING</w:t>
            </w:r>
          </w:p>
        </w:tc>
      </w:tr>
      <w:tr>
        <w:tc>
          <w:tcPr>
            <w:tcW w:type="dxa" w:w="2880"/>
            <w:shd w:val="clear" w:color="auto" w:fill="FFFFFF"/>
          </w:tcPr>
          <w:p>
            <w:r>
              <w:rPr>
                <w:rFonts w:ascii="Arial" w:hAnsi="Arial"/>
                <w:sz w:val="20"/>
              </w:rPr>
              <w:t>order_datetime</w:t>
            </w:r>
          </w:p>
        </w:tc>
        <w:tc>
          <w:tcPr>
            <w:tcW w:type="dxa" w:w="4608"/>
            <w:shd w:val="clear" w:color="auto" w:fill="FFFFFF"/>
          </w:tcPr>
          <w:p>
            <w:r>
              <w:rPr>
                <w:rFonts w:ascii="Arial" w:hAnsi="Arial"/>
                <w:sz w:val="20"/>
              </w:rPr>
              <w:t>Date and time of the order</w:t>
            </w:r>
          </w:p>
        </w:tc>
        <w:tc>
          <w:tcPr>
            <w:tcW w:type="dxa" w:w="1872"/>
            <w:shd w:val="clear" w:color="auto" w:fill="FFFFFF"/>
          </w:tcPr>
          <w:p>
            <w:r>
              <w:rPr>
                <w:rFonts w:ascii="Arial" w:hAnsi="Arial"/>
                <w:sz w:val="20"/>
              </w:rPr>
              <w:t>DATETIME</w:t>
            </w:r>
          </w:p>
        </w:tc>
      </w:tr>
      <w:tr>
        <w:tc>
          <w:tcPr>
            <w:tcW w:type="dxa" w:w="2880"/>
            <w:shd w:val="clear" w:color="auto" w:fill="F2F7FB"/>
          </w:tcPr>
          <w:p>
            <w:r>
              <w:rPr>
                <w:rFonts w:ascii="Arial" w:hAnsi="Arial"/>
                <w:sz w:val="20"/>
              </w:rPr>
              <w:t>delivery_time_minutes</w:t>
            </w:r>
          </w:p>
        </w:tc>
        <w:tc>
          <w:tcPr>
            <w:tcW w:type="dxa" w:w="4608"/>
            <w:shd w:val="clear" w:color="auto" w:fill="F2F7FB"/>
          </w:tcPr>
          <w:p>
            <w:r>
              <w:rPr>
                <w:rFonts w:ascii="Arial" w:hAnsi="Arial"/>
                <w:sz w:val="20"/>
              </w:rPr>
              <w:t>Time taken to deliver in minutes</w:t>
            </w:r>
          </w:p>
        </w:tc>
        <w:tc>
          <w:tcPr>
            <w:tcW w:type="dxa" w:w="1872"/>
            <w:shd w:val="clear" w:color="auto" w:fill="F2F7FB"/>
          </w:tcPr>
          <w:p>
            <w:r>
              <w:rPr>
                <w:rFonts w:ascii="Arial" w:hAnsi="Arial"/>
                <w:sz w:val="20"/>
              </w:rPr>
              <w:t>INTEGER</w:t>
            </w:r>
          </w:p>
        </w:tc>
      </w:tr>
      <w:tr>
        <w:tc>
          <w:tcPr>
            <w:tcW w:type="dxa" w:w="2880"/>
            <w:shd w:val="clear" w:color="auto" w:fill="FFFFFF"/>
          </w:tcPr>
          <w:p>
            <w:r>
              <w:rPr>
                <w:rFonts w:ascii="Arial" w:hAnsi="Arial"/>
                <w:sz w:val="20"/>
              </w:rPr>
              <w:t>category</w:t>
            </w:r>
          </w:p>
        </w:tc>
        <w:tc>
          <w:tcPr>
            <w:tcW w:type="dxa" w:w="4608"/>
            <w:shd w:val="clear" w:color="auto" w:fill="FFFFFF"/>
          </w:tcPr>
          <w:p>
            <w:r>
              <w:rPr>
                <w:rFonts w:ascii="Arial" w:hAnsi="Arial"/>
                <w:sz w:val="20"/>
              </w:rPr>
              <w:t>Product category ordered</w:t>
            </w:r>
          </w:p>
        </w:tc>
        <w:tc>
          <w:tcPr>
            <w:tcW w:type="dxa" w:w="1872"/>
            <w:shd w:val="clear" w:color="auto" w:fill="FFFFFF"/>
          </w:tcPr>
          <w:p>
            <w:r>
              <w:rPr>
                <w:rFonts w:ascii="Arial" w:hAnsi="Arial"/>
                <w:sz w:val="20"/>
              </w:rPr>
              <w:t>STRING</w:t>
            </w:r>
          </w:p>
        </w:tc>
      </w:tr>
      <w:tr>
        <w:tc>
          <w:tcPr>
            <w:tcW w:type="dxa" w:w="2880"/>
            <w:shd w:val="clear" w:color="auto" w:fill="F2F7FB"/>
          </w:tcPr>
          <w:p>
            <w:r>
              <w:rPr>
                <w:rFonts w:ascii="Arial" w:hAnsi="Arial"/>
                <w:sz w:val="20"/>
              </w:rPr>
              <w:t>order_value</w:t>
            </w:r>
          </w:p>
        </w:tc>
        <w:tc>
          <w:tcPr>
            <w:tcW w:type="dxa" w:w="4608"/>
            <w:shd w:val="clear" w:color="auto" w:fill="F2F7FB"/>
          </w:tcPr>
          <w:p>
            <w:r>
              <w:rPr>
                <w:rFonts w:ascii="Arial" w:hAnsi="Arial"/>
                <w:sz w:val="20"/>
              </w:rPr>
              <w:t>Order amount in INR</w:t>
            </w:r>
          </w:p>
        </w:tc>
        <w:tc>
          <w:tcPr>
            <w:tcW w:type="dxa" w:w="1872"/>
            <w:shd w:val="clear" w:color="auto" w:fill="F2F7FB"/>
          </w:tcPr>
          <w:p>
            <w:r>
              <w:rPr>
                <w:rFonts w:ascii="Arial" w:hAnsi="Arial"/>
                <w:sz w:val="20"/>
              </w:rPr>
              <w:t>INTEGER</w:t>
            </w:r>
          </w:p>
        </w:tc>
      </w:tr>
      <w:tr>
        <w:tc>
          <w:tcPr>
            <w:tcW w:type="dxa" w:w="2880"/>
            <w:shd w:val="clear" w:color="auto" w:fill="FFFFFF"/>
          </w:tcPr>
          <w:p>
            <w:r>
              <w:rPr>
                <w:rFonts w:ascii="Arial" w:hAnsi="Arial"/>
                <w:sz w:val="20"/>
              </w:rPr>
              <w:t>customer_feedback</w:t>
            </w:r>
          </w:p>
        </w:tc>
        <w:tc>
          <w:tcPr>
            <w:tcW w:type="dxa" w:w="4608"/>
            <w:shd w:val="clear" w:color="auto" w:fill="FFFFFF"/>
          </w:tcPr>
          <w:p>
            <w:r>
              <w:rPr>
                <w:rFonts w:ascii="Arial" w:hAnsi="Arial"/>
                <w:sz w:val="20"/>
              </w:rPr>
              <w:t>Text feedback from customer</w:t>
            </w:r>
          </w:p>
        </w:tc>
        <w:tc>
          <w:tcPr>
            <w:tcW w:type="dxa" w:w="1872"/>
            <w:shd w:val="clear" w:color="auto" w:fill="FFFFFF"/>
          </w:tcPr>
          <w:p>
            <w:r>
              <w:rPr>
                <w:rFonts w:ascii="Arial" w:hAnsi="Arial"/>
                <w:sz w:val="20"/>
              </w:rPr>
              <w:t>STRING</w:t>
            </w:r>
          </w:p>
        </w:tc>
      </w:tr>
      <w:tr>
        <w:tc>
          <w:tcPr>
            <w:tcW w:type="dxa" w:w="2880"/>
            <w:shd w:val="clear" w:color="auto" w:fill="F2F7FB"/>
          </w:tcPr>
          <w:p>
            <w:r>
              <w:rPr>
                <w:rFonts w:ascii="Arial" w:hAnsi="Arial"/>
                <w:sz w:val="20"/>
              </w:rPr>
              <w:t>rating</w:t>
            </w:r>
          </w:p>
        </w:tc>
        <w:tc>
          <w:tcPr>
            <w:tcW w:type="dxa" w:w="4608"/>
            <w:shd w:val="clear" w:color="auto" w:fill="F2F7FB"/>
          </w:tcPr>
          <w:p>
            <w:r>
              <w:rPr>
                <w:rFonts w:ascii="Arial" w:hAnsi="Arial"/>
                <w:sz w:val="20"/>
              </w:rPr>
              <w:t>Service rating given by customer (1-5)</w:t>
            </w:r>
          </w:p>
        </w:tc>
        <w:tc>
          <w:tcPr>
            <w:tcW w:type="dxa" w:w="1872"/>
            <w:shd w:val="clear" w:color="auto" w:fill="F2F7FB"/>
          </w:tcPr>
          <w:p>
            <w:r>
              <w:rPr>
                <w:rFonts w:ascii="Arial" w:hAnsi="Arial"/>
                <w:sz w:val="20"/>
              </w:rPr>
              <w:t>INTEGER</w:t>
            </w:r>
          </w:p>
        </w:tc>
      </w:tr>
      <w:tr>
        <w:tc>
          <w:tcPr>
            <w:tcW w:type="dxa" w:w="2880"/>
            <w:shd w:val="clear" w:color="auto" w:fill="FFFFFF"/>
          </w:tcPr>
          <w:p>
            <w:r>
              <w:rPr>
                <w:rFonts w:ascii="Arial" w:hAnsi="Arial"/>
                <w:sz w:val="20"/>
              </w:rPr>
              <w:t>delivery_delay</w:t>
            </w:r>
          </w:p>
        </w:tc>
        <w:tc>
          <w:tcPr>
            <w:tcW w:type="dxa" w:w="4608"/>
            <w:shd w:val="clear" w:color="auto" w:fill="FFFFFF"/>
          </w:tcPr>
          <w:p>
            <w:r>
              <w:rPr>
                <w:rFonts w:ascii="Arial" w:hAnsi="Arial"/>
                <w:sz w:val="20"/>
              </w:rPr>
              <w:t>Whether the order was delayed</w:t>
            </w:r>
          </w:p>
        </w:tc>
        <w:tc>
          <w:tcPr>
            <w:tcW w:type="dxa" w:w="1872"/>
            <w:shd w:val="clear" w:color="auto" w:fill="FFFFFF"/>
          </w:tcPr>
          <w:p>
            <w:r>
              <w:rPr>
                <w:rFonts w:ascii="Arial" w:hAnsi="Arial"/>
                <w:sz w:val="20"/>
              </w:rPr>
              <w:t>BOOLEAN</w:t>
            </w:r>
          </w:p>
        </w:tc>
      </w:tr>
      <w:tr>
        <w:tc>
          <w:tcPr>
            <w:tcW w:type="dxa" w:w="2880"/>
            <w:shd w:val="clear" w:color="auto" w:fill="F2F7FB"/>
          </w:tcPr>
          <w:p>
            <w:r>
              <w:rPr>
                <w:rFonts w:ascii="Arial" w:hAnsi="Arial"/>
                <w:sz w:val="20"/>
              </w:rPr>
              <w:t>refund_requested</w:t>
            </w:r>
          </w:p>
        </w:tc>
        <w:tc>
          <w:tcPr>
            <w:tcW w:type="dxa" w:w="4608"/>
            <w:shd w:val="clear" w:color="auto" w:fill="F2F7FB"/>
          </w:tcPr>
          <w:p>
            <w:r>
              <w:rPr>
                <w:rFonts w:ascii="Arial" w:hAnsi="Arial"/>
                <w:sz w:val="20"/>
              </w:rPr>
              <w:t>Whether a refund was requested</w:t>
            </w:r>
          </w:p>
        </w:tc>
        <w:tc>
          <w:tcPr>
            <w:tcW w:type="dxa" w:w="1872"/>
            <w:shd w:val="clear" w:color="auto" w:fill="F2F7FB"/>
          </w:tcPr>
          <w:p>
            <w:r>
              <w:rPr>
                <w:rFonts w:ascii="Arial" w:hAnsi="Arial"/>
                <w:sz w:val="20"/>
              </w:rPr>
              <w:t>BOOLEAN</w:t>
            </w:r>
          </w:p>
        </w:tc>
      </w:tr>
    </w:tbl>
    <w:p/>
    <w:p>
      <w:pPr>
        <w:spacing w:before="80" w:after="80"/>
      </w:pPr>
      <w:r>
        <w:rPr>
          <w:rFonts w:ascii="Arial" w:hAnsi="Arial"/>
          <w:b/>
          <w:i w:val="0"/>
          <w:sz w:val="22"/>
        </w:rPr>
        <w:t>Total Records: ~100,000 orders</w:t>
      </w:r>
    </w:p>
    <w:p>
      <w:pPr>
        <w:spacing w:before="80" w:after="80"/>
      </w:pPr>
      <w:r>
        <w:rPr>
          <w:rFonts w:ascii="Arial" w:hAnsi="Arial"/>
          <w:b w:val="0"/>
          <w:i w:val="0"/>
          <w:sz w:val="22"/>
        </w:rPr>
        <w:t>Source: Synthetic dataset created for practice and learning purposes. Numbers are fabricated so insights reflect dataset logic, not real-world behavior.</w:t>
      </w:r>
    </w:p>
    <w:p>
      <w:pPr>
        <w:spacing w:before="80" w:after="80"/>
        <w:pBdr>
          <w:bottom w:val="single" w:sz="6" w:space="1" w:color="CCCCCC"/>
        </w:pBdr>
      </w:pPr>
    </w:p>
    <w:p>
      <w:pPr>
        <w:spacing w:before="240" w:after="80"/>
      </w:pPr>
      <w:r>
        <w:rPr>
          <w:rFonts w:ascii="Arial" w:hAnsi="Arial"/>
          <w:b/>
          <w:color w:val="1F497D"/>
          <w:sz w:val="36"/>
        </w:rPr>
        <w:t>3. Tools &amp; Technology Stack</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2E74B5"/>
            <w:vAlign w:val="center"/>
          </w:tcPr>
          <w:p>
            <w:pPr>
              <w:jc w:val="center"/>
            </w:pPr>
            <w:r>
              <w:rPr>
                <w:rFonts w:ascii="Arial" w:hAnsi="Arial"/>
                <w:b/>
                <w:color w:val="FFFFFF"/>
                <w:sz w:val="20"/>
              </w:rPr>
              <w:t>Tool</w:t>
            </w:r>
          </w:p>
        </w:tc>
        <w:tc>
          <w:tcPr>
            <w:tcW w:type="dxa" w:w="5760"/>
            <w:shd w:val="clear" w:color="auto" w:fill="2E74B5"/>
            <w:vAlign w:val="center"/>
          </w:tcPr>
          <w:p>
            <w:pPr>
              <w:jc w:val="center"/>
            </w:pPr>
            <w:r>
              <w:rPr>
                <w:rFonts w:ascii="Arial" w:hAnsi="Arial"/>
                <w:b/>
                <w:color w:val="FFFFFF"/>
                <w:sz w:val="20"/>
              </w:rPr>
              <w:t>Purpose</w:t>
            </w:r>
          </w:p>
        </w:tc>
      </w:tr>
      <w:tr>
        <w:tc>
          <w:tcPr>
            <w:tcW w:type="dxa" w:w="3600"/>
            <w:shd w:val="clear" w:color="auto" w:fill="F2F7FB"/>
          </w:tcPr>
          <w:p>
            <w:r>
              <w:rPr>
                <w:rFonts w:ascii="Arial" w:hAnsi="Arial"/>
                <w:sz w:val="20"/>
              </w:rPr>
              <w:t>BigQuery (Google Cloud)</w:t>
            </w:r>
          </w:p>
        </w:tc>
        <w:tc>
          <w:tcPr>
            <w:tcW w:type="dxa" w:w="5760"/>
            <w:shd w:val="clear" w:color="auto" w:fill="F2F7FB"/>
          </w:tcPr>
          <w:p>
            <w:r>
              <w:rPr>
                <w:rFonts w:ascii="Arial" w:hAnsi="Arial"/>
                <w:sz w:val="20"/>
              </w:rPr>
              <w:t>Data storage, cleaning, SQL analysis, views, stored procedures</w:t>
            </w:r>
          </w:p>
        </w:tc>
      </w:tr>
      <w:tr>
        <w:tc>
          <w:tcPr>
            <w:tcW w:type="dxa" w:w="3600"/>
            <w:shd w:val="clear" w:color="auto" w:fill="FFFFFF"/>
          </w:tcPr>
          <w:p>
            <w:r>
              <w:rPr>
                <w:rFonts w:ascii="Arial" w:hAnsi="Arial"/>
                <w:sz w:val="20"/>
              </w:rPr>
              <w:t>Looker Studio</w:t>
            </w:r>
          </w:p>
        </w:tc>
        <w:tc>
          <w:tcPr>
            <w:tcW w:type="dxa" w:w="5760"/>
            <w:shd w:val="clear" w:color="auto" w:fill="FFFFFF"/>
          </w:tcPr>
          <w:p>
            <w:r>
              <w:rPr>
                <w:rFonts w:ascii="Arial" w:hAnsi="Arial"/>
                <w:sz w:val="20"/>
              </w:rPr>
              <w:t>Dashboard creation and visualization</w:t>
            </w:r>
          </w:p>
        </w:tc>
      </w:tr>
      <w:tr>
        <w:tc>
          <w:tcPr>
            <w:tcW w:type="dxa" w:w="3600"/>
            <w:shd w:val="clear" w:color="auto" w:fill="F2F7FB"/>
          </w:tcPr>
          <w:p>
            <w:r>
              <w:rPr>
                <w:rFonts w:ascii="Arial" w:hAnsi="Arial"/>
                <w:sz w:val="20"/>
              </w:rPr>
              <w:t>SQL (GoogleSQL)</w:t>
            </w:r>
          </w:p>
        </w:tc>
        <w:tc>
          <w:tcPr>
            <w:tcW w:type="dxa" w:w="5760"/>
            <w:shd w:val="clear" w:color="auto" w:fill="F2F7FB"/>
          </w:tcPr>
          <w:p>
            <w:r>
              <w:rPr>
                <w:rFonts w:ascii="Arial" w:hAnsi="Arial"/>
                <w:sz w:val="20"/>
              </w:rPr>
              <w:t>Querying, CTEs, window functions, aggregations</w:t>
            </w:r>
          </w:p>
        </w:tc>
      </w:tr>
    </w:tbl>
    <w:p/>
    <w:p>
      <w:pPr>
        <w:spacing w:before="80" w:after="80"/>
        <w:pBdr>
          <w:bottom w:val="single" w:sz="6" w:space="1" w:color="CCCCCC"/>
        </w:pBdr>
      </w:pPr>
    </w:p>
    <w:p>
      <w:pPr>
        <w:spacing w:before="240" w:after="80"/>
      </w:pPr>
      <w:r>
        <w:rPr>
          <w:rFonts w:ascii="Arial" w:hAnsi="Arial"/>
          <w:b/>
          <w:color w:val="1F497D"/>
          <w:sz w:val="36"/>
        </w:rPr>
        <w:t>4. Approach &amp; Workflow</w:t>
      </w:r>
    </w:p>
    <w:p>
      <w:pPr>
        <w:spacing w:before="80" w:after="80"/>
      </w:pPr>
      <w:r>
        <w:rPr>
          <w:rFonts w:ascii="Arial" w:hAnsi="Arial"/>
          <w:b w:val="0"/>
          <w:i w:val="0"/>
          <w:sz w:val="22"/>
        </w:rPr>
        <w:t>I followed a structured workflow for this project:</w:t>
      </w:r>
    </w:p>
    <w:p>
      <w:pPr>
        <w:pStyle w:val="ListBullet"/>
        <w:spacing w:before="40" w:after="40"/>
      </w:pPr>
      <w:r>
        <w:rPr>
          <w:rFonts w:ascii="Arial" w:hAnsi="Arial"/>
          <w:sz w:val="22"/>
        </w:rPr>
        <w:t>Step 1 — Data Cleaning: Created a clean table in BigQuery by renaming columns, handling data types, and standardizing boolean fields.</w:t>
      </w:r>
    </w:p>
    <w:p>
      <w:pPr>
        <w:pStyle w:val="ListBullet"/>
        <w:spacing w:before="40" w:after="40"/>
      </w:pPr>
      <w:r>
        <w:rPr>
          <w:rFonts w:ascii="Arial" w:hAnsi="Arial"/>
          <w:sz w:val="22"/>
        </w:rPr>
        <w:t>Step 2 — Business Case Analysis: Identified 5 core business questions and wrote SQL queries to answer each one using CTEs, window functions, and aggregations.</w:t>
      </w:r>
    </w:p>
    <w:p>
      <w:pPr>
        <w:pStyle w:val="ListBullet"/>
        <w:spacing w:before="40" w:after="40"/>
      </w:pPr>
      <w:r>
        <w:rPr>
          <w:rFonts w:ascii="Arial" w:hAnsi="Arial"/>
          <w:sz w:val="22"/>
        </w:rPr>
        <w:t>Step 3 — Views: Created 3 summary views (rating, category, delivery time) to prepare clean data layers for Looker Studio.</w:t>
      </w:r>
    </w:p>
    <w:p>
      <w:pPr>
        <w:pStyle w:val="ListBullet"/>
        <w:spacing w:before="40" w:after="40"/>
      </w:pPr>
      <w:r>
        <w:rPr>
          <w:rFonts w:ascii="Arial" w:hAnsi="Arial"/>
          <w:sz w:val="22"/>
        </w:rPr>
        <w:t>Step 4 — Stored Procedure: Built a reusable dynamic procedure to run grouped summary analysis by any dimension.</w:t>
      </w:r>
    </w:p>
    <w:p>
      <w:pPr>
        <w:pStyle w:val="ListBullet"/>
        <w:spacing w:before="40" w:after="40"/>
      </w:pPr>
      <w:r>
        <w:rPr>
          <w:rFonts w:ascii="Arial" w:hAnsi="Arial"/>
          <w:sz w:val="22"/>
        </w:rPr>
        <w:t>Step 5 — Dashboard: Connected BigQuery views to Looker Studio and built an interactive platform comparison dashboard.</w:t>
      </w:r>
    </w:p>
    <w:p>
      <w:pPr>
        <w:spacing w:before="80" w:after="80"/>
        <w:pBdr>
          <w:bottom w:val="single" w:sz="6" w:space="1" w:color="CCCCCC"/>
        </w:pBdr>
      </w:pPr>
    </w:p>
    <w:p>
      <w:pPr>
        <w:spacing w:before="240" w:after="80"/>
      </w:pPr>
      <w:r>
        <w:rPr>
          <w:rFonts w:ascii="Arial" w:hAnsi="Arial"/>
          <w:b/>
          <w:color w:val="1F497D"/>
          <w:sz w:val="36"/>
        </w:rPr>
        <w:t>5. Business Cases &amp; Key Findings</w:t>
      </w:r>
    </w:p>
    <w:p>
      <w:pPr>
        <w:spacing w:before="240" w:after="80"/>
      </w:pPr>
      <w:r>
        <w:rPr>
          <w:rFonts w:ascii="Arial" w:hAnsi="Arial"/>
          <w:b/>
          <w:color w:val="2E74B5"/>
          <w:sz w:val="28"/>
        </w:rPr>
        <w:t>Case 1: Operations suspects delivery delays are impacting customer satisfaction</w:t>
      </w:r>
    </w:p>
    <w:p>
      <w:pPr>
        <w:spacing w:before="80" w:after="80"/>
      </w:pPr>
      <w:r>
        <w:rPr>
          <w:rFonts w:ascii="Arial" w:hAnsi="Arial"/>
          <w:b w:val="0"/>
          <w:i w:val="0"/>
          <w:sz w:val="22"/>
        </w:rPr>
        <w:t>The operations team raised a concern that delivery delays are causing lower ratings and more refund requests. I was asked to validate this.</w:t>
      </w:r>
    </w:p>
    <w:p>
      <w:pPr>
        <w:spacing w:before="80" w:after="80"/>
      </w:pPr>
      <w:r>
        <w:rPr>
          <w:rFonts w:ascii="Arial" w:hAnsi="Arial"/>
          <w:b/>
          <w:i w:val="0"/>
          <w:sz w:val="22"/>
        </w:rPr>
        <w:t>What I found:</w:t>
      </w:r>
    </w:p>
    <w:p>
      <w:pPr>
        <w:pStyle w:val="ListBullet"/>
        <w:spacing w:before="40" w:after="40"/>
      </w:pPr>
      <w:r>
        <w:rPr>
          <w:rFonts w:ascii="Arial" w:hAnsi="Arial"/>
          <w:sz w:val="22"/>
        </w:rPr>
        <w:t>Average rating for delayed orders (3.24) vs non-delayed orders (3.23) — almost no difference.</w:t>
      </w:r>
    </w:p>
    <w:p>
      <w:pPr>
        <w:pStyle w:val="ListBullet"/>
        <w:spacing w:before="40" w:after="40"/>
      </w:pPr>
      <w:r>
        <w:rPr>
          <w:rFonts w:ascii="Arial" w:hAnsi="Arial"/>
          <w:sz w:val="22"/>
        </w:rPr>
        <w:t>Refund requests were actually slightly higher in non-delayed orders when normalized, which was unexpected.</w:t>
      </w:r>
    </w:p>
    <w:p>
      <w:pPr>
        <w:pStyle w:val="ListBullet"/>
        <w:spacing w:before="40" w:after="40"/>
      </w:pPr>
      <w:r>
        <w:rPr>
          <w:rFonts w:ascii="Arial" w:hAnsi="Arial"/>
          <w:sz w:val="22"/>
        </w:rPr>
        <w:t>Rating distribution showed delayed orders make up only 13-14% across all rating levels, including low ratings.</w:t>
      </w:r>
    </w:p>
    <w:p>
      <w:pPr>
        <w:spacing w:before="80" w:after="80"/>
      </w:pPr>
      <w:r>
        <w:rPr>
          <w:rFonts w:ascii="Arial" w:hAnsi="Arial"/>
          <w:b w:val="0"/>
          <w:i/>
          <w:color w:val="15633E"/>
          <w:sz w:val="22"/>
        </w:rPr>
        <w:t>Conclusion: Delivery delay is not a primary driver of low ratings or refunds in this dataset. The operations team assumption was not supported by data.</w:t>
      </w:r>
    </w:p>
    <w:p/>
    <w:p>
      <w:pPr>
        <w:spacing w:before="240" w:after="80"/>
      </w:pPr>
      <w:r>
        <w:rPr>
          <w:rFonts w:ascii="Arial" w:hAnsi="Arial"/>
          <w:b/>
          <w:color w:val="2E74B5"/>
          <w:sz w:val="28"/>
        </w:rPr>
        <w:t>Case 2: Escalation on increasing customer complaints and refunds</w:t>
      </w:r>
    </w:p>
    <w:p>
      <w:pPr>
        <w:spacing w:before="80" w:after="80"/>
      </w:pPr>
      <w:r>
        <w:rPr>
          <w:rFonts w:ascii="Arial" w:hAnsi="Arial"/>
          <w:b w:val="0"/>
          <w:i w:val="0"/>
          <w:sz w:val="22"/>
        </w:rPr>
        <w:t>There was an escalation asking whether refunds are driven by platform issues, product category problems, or delivery performance.</w:t>
      </w:r>
    </w:p>
    <w:p>
      <w:pPr>
        <w:spacing w:before="80" w:after="80"/>
      </w:pPr>
      <w:r>
        <w:rPr>
          <w:rFonts w:ascii="Arial" w:hAnsi="Arial"/>
          <w:b/>
          <w:i w:val="0"/>
          <w:sz w:val="22"/>
        </w:rPr>
        <w:t>What I found:</w:t>
      </w:r>
    </w:p>
    <w:p>
      <w:pPr>
        <w:pStyle w:val="ListBullet"/>
        <w:spacing w:before="40" w:after="40"/>
      </w:pPr>
      <w:r>
        <w:rPr>
          <w:rFonts w:ascii="Arial" w:hAnsi="Arial"/>
          <w:sz w:val="22"/>
        </w:rPr>
        <w:t>Refund rates are almost identical across all platforms (45-47%), so no single platform is at fault.</w:t>
      </w:r>
    </w:p>
    <w:p>
      <w:pPr>
        <w:pStyle w:val="ListBullet"/>
        <w:spacing w:before="40" w:after="40"/>
      </w:pPr>
      <w:r>
        <w:rPr>
          <w:rFonts w:ascii="Arial" w:hAnsi="Arial"/>
          <w:sz w:val="22"/>
        </w:rPr>
        <w:t>Product categories also show similar refund behavior, so category is not the issue.</w:t>
      </w:r>
    </w:p>
    <w:p>
      <w:pPr>
        <w:pStyle w:val="ListBullet"/>
        <w:spacing w:before="40" w:after="40"/>
      </w:pPr>
      <w:r>
        <w:rPr>
          <w:rFonts w:ascii="Arial" w:hAnsi="Arial"/>
          <w:sz w:val="22"/>
        </w:rPr>
        <w:t>The strongest pattern found: orders with rating 1-2 show 100% refund rate. Orders with rating 3-5 show 0% refund rate.</w:t>
      </w:r>
    </w:p>
    <w:p>
      <w:pPr>
        <w:spacing w:before="80" w:after="80"/>
      </w:pPr>
      <w:r>
        <w:rPr>
          <w:rFonts w:ascii="Arial" w:hAnsi="Arial"/>
          <w:b w:val="0"/>
          <w:i/>
          <w:color w:val="15633E"/>
          <w:sz w:val="22"/>
        </w:rPr>
        <w:t>Conclusion: Refunds are almost entirely driven by customer satisfaction (rating), not by platform or delivery performance. This is a strong signal that the rating logic and refund system are directly linked.</w:t>
      </w:r>
    </w:p>
    <w:p/>
    <w:p>
      <w:pPr>
        <w:spacing w:before="240" w:after="80"/>
      </w:pPr>
      <w:r>
        <w:rPr>
          <w:rFonts w:ascii="Arial" w:hAnsi="Arial"/>
          <w:b/>
          <w:color w:val="2E74B5"/>
          <w:sz w:val="28"/>
        </w:rPr>
        <w:t>Case 3: Business needs to identify problematic product categories</w:t>
      </w:r>
    </w:p>
    <w:p>
      <w:pPr>
        <w:spacing w:before="80" w:after="80"/>
      </w:pPr>
      <w:r>
        <w:rPr>
          <w:rFonts w:ascii="Arial" w:hAnsi="Arial"/>
          <w:b w:val="0"/>
          <w:i w:val="0"/>
          <w:sz w:val="22"/>
        </w:rPr>
        <w:t>Management wanted to know which product categories are causing poor customer experience across platforms.</w:t>
      </w:r>
    </w:p>
    <w:p>
      <w:pPr>
        <w:spacing w:before="80" w:after="80"/>
      </w:pPr>
      <w:r>
        <w:rPr>
          <w:rFonts w:ascii="Arial" w:hAnsi="Arial"/>
          <w:b/>
          <w:i w:val="0"/>
          <w:sz w:val="22"/>
        </w:rPr>
        <w:t>What I found:</w:t>
      </w:r>
    </w:p>
    <w:p>
      <w:pPr>
        <w:pStyle w:val="ListBullet"/>
        <w:spacing w:before="40" w:after="40"/>
      </w:pPr>
      <w:r>
        <w:rPr>
          <w:rFonts w:ascii="Arial" w:hAnsi="Arial"/>
          <w:sz w:val="22"/>
        </w:rPr>
        <w:t>For Blinkit: Fruits &amp; Vegetables, Snacks, and Personal Care had the highest refund volumes.</w:t>
      </w:r>
    </w:p>
    <w:p>
      <w:pPr>
        <w:pStyle w:val="ListBullet"/>
        <w:spacing w:before="40" w:after="40"/>
      </w:pPr>
      <w:r>
        <w:rPr>
          <w:rFonts w:ascii="Arial" w:hAnsi="Arial"/>
          <w:sz w:val="22"/>
        </w:rPr>
        <w:t>For Swiggy Instamart: Personal Care had the most refunds.</w:t>
      </w:r>
    </w:p>
    <w:p>
      <w:pPr>
        <w:pStyle w:val="ListBullet"/>
        <w:spacing w:before="40" w:after="40"/>
      </w:pPr>
      <w:r>
        <w:rPr>
          <w:rFonts w:ascii="Arial" w:hAnsi="Arial"/>
          <w:sz w:val="22"/>
        </w:rPr>
        <w:t>For JioMart: Personal Care followed by Snacks and Beverages.</w:t>
      </w:r>
    </w:p>
    <w:p>
      <w:pPr>
        <w:pStyle w:val="ListBullet"/>
        <w:spacing w:before="40" w:after="40"/>
      </w:pPr>
      <w:r>
        <w:rPr>
          <w:rFonts w:ascii="Arial" w:hAnsi="Arial"/>
          <w:sz w:val="22"/>
        </w:rPr>
        <w:t>However, average delivery time (~29-30 mins) and ratings (~3.2-3.27) were similar across all categories, so no category showed a dramatic deviation.</w:t>
      </w:r>
    </w:p>
    <w:p>
      <w:pPr>
        <w:spacing w:before="80" w:after="80"/>
      </w:pPr>
      <w:r>
        <w:rPr>
          <w:rFonts w:ascii="Arial" w:hAnsi="Arial"/>
          <w:b w:val="0"/>
          <w:i/>
          <w:color w:val="15633E"/>
          <w:sz w:val="22"/>
        </w:rPr>
        <w:t>Conclusion: Refund volume is concentrated in high-order-volume categories naturally. When normalized for order count, no category is clearly problematic — the issue appears to be systemic rather than category-specific.</w:t>
      </w:r>
    </w:p>
    <w:p/>
    <w:p>
      <w:pPr>
        <w:spacing w:before="240" w:after="80"/>
      </w:pPr>
      <w:r>
        <w:rPr>
          <w:rFonts w:ascii="Arial" w:hAnsi="Arial"/>
          <w:b/>
          <w:color w:val="2E74B5"/>
          <w:sz w:val="28"/>
        </w:rPr>
        <w:t>Case 4: Neutral platform comparison before partner review meeting</w:t>
      </w:r>
    </w:p>
    <w:p>
      <w:pPr>
        <w:spacing w:before="80" w:after="80"/>
      </w:pPr>
      <w:r>
        <w:rPr>
          <w:rFonts w:ascii="Arial" w:hAnsi="Arial"/>
          <w:b w:val="0"/>
          <w:i w:val="0"/>
          <w:sz w:val="22"/>
        </w:rPr>
        <w:t>Management needed a fair comparison of Blinkit, JioMart, and Swiggy Instamart before an internal review meeting.</w:t>
      </w:r>
    </w:p>
    <w:p>
      <w:pPr>
        <w:spacing w:before="80" w:after="80"/>
      </w:pPr>
      <w:r>
        <w:rPr>
          <w:rFonts w:ascii="Arial" w:hAnsi="Arial"/>
          <w:b/>
          <w:i w:val="0"/>
          <w:sz w:val="22"/>
        </w:rPr>
        <w:t>What I found:</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880"/>
            <w:shd w:val="clear" w:color="auto" w:fill="2E74B5"/>
            <w:vAlign w:val="center"/>
          </w:tcPr>
          <w:p>
            <w:pPr>
              <w:jc w:val="center"/>
            </w:pPr>
            <w:r>
              <w:rPr>
                <w:rFonts w:ascii="Arial" w:hAnsi="Arial"/>
                <w:b/>
                <w:color w:val="FFFFFF"/>
                <w:sz w:val="20"/>
              </w:rPr>
              <w:t>Metric</w:t>
            </w:r>
          </w:p>
        </w:tc>
        <w:tc>
          <w:tcPr>
            <w:tcW w:type="dxa" w:w="2160"/>
            <w:shd w:val="clear" w:color="auto" w:fill="2E74B5"/>
            <w:vAlign w:val="center"/>
          </w:tcPr>
          <w:p>
            <w:pPr>
              <w:jc w:val="center"/>
            </w:pPr>
            <w:r>
              <w:rPr>
                <w:rFonts w:ascii="Arial" w:hAnsi="Arial"/>
                <w:b/>
                <w:color w:val="FFFFFF"/>
                <w:sz w:val="20"/>
              </w:rPr>
              <w:t>Blinkit</w:t>
            </w:r>
          </w:p>
        </w:tc>
        <w:tc>
          <w:tcPr>
            <w:tcW w:type="dxa" w:w="2160"/>
            <w:shd w:val="clear" w:color="auto" w:fill="2E74B5"/>
            <w:vAlign w:val="center"/>
          </w:tcPr>
          <w:p>
            <w:pPr>
              <w:jc w:val="center"/>
            </w:pPr>
            <w:r>
              <w:rPr>
                <w:rFonts w:ascii="Arial" w:hAnsi="Arial"/>
                <w:b/>
                <w:color w:val="FFFFFF"/>
                <w:sz w:val="20"/>
              </w:rPr>
              <w:t>JioMart</w:t>
            </w:r>
          </w:p>
        </w:tc>
        <w:tc>
          <w:tcPr>
            <w:tcW w:type="dxa" w:w="2160"/>
            <w:shd w:val="clear" w:color="auto" w:fill="2E74B5"/>
            <w:vAlign w:val="center"/>
          </w:tcPr>
          <w:p>
            <w:pPr>
              <w:jc w:val="center"/>
            </w:pPr>
            <w:r>
              <w:rPr>
                <w:rFonts w:ascii="Arial" w:hAnsi="Arial"/>
                <w:b/>
                <w:color w:val="FFFFFF"/>
                <w:sz w:val="20"/>
              </w:rPr>
              <w:t>Swiggy Instamart</w:t>
            </w:r>
          </w:p>
        </w:tc>
      </w:tr>
      <w:tr>
        <w:tc>
          <w:tcPr>
            <w:tcW w:type="dxa" w:w="2880"/>
            <w:shd w:val="clear" w:color="auto" w:fill="F2F7FB"/>
          </w:tcPr>
          <w:p>
            <w:r>
              <w:rPr>
                <w:rFonts w:ascii="Arial" w:hAnsi="Arial"/>
                <w:sz w:val="20"/>
              </w:rPr>
              <w:t>Orders</w:t>
            </w:r>
          </w:p>
        </w:tc>
        <w:tc>
          <w:tcPr>
            <w:tcW w:type="dxa" w:w="2160"/>
            <w:shd w:val="clear" w:color="auto" w:fill="F2F7FB"/>
          </w:tcPr>
          <w:p>
            <w:r>
              <w:rPr>
                <w:rFonts w:ascii="Arial" w:hAnsi="Arial"/>
                <w:sz w:val="20"/>
              </w:rPr>
              <w:t>~33,424</w:t>
            </w:r>
          </w:p>
        </w:tc>
        <w:tc>
          <w:tcPr>
            <w:tcW w:type="dxa" w:w="2160"/>
            <w:shd w:val="clear" w:color="auto" w:fill="F2F7FB"/>
          </w:tcPr>
          <w:p>
            <w:r>
              <w:rPr>
                <w:rFonts w:ascii="Arial" w:hAnsi="Arial"/>
                <w:sz w:val="20"/>
              </w:rPr>
              <w:t>~33,127</w:t>
            </w:r>
          </w:p>
        </w:tc>
        <w:tc>
          <w:tcPr>
            <w:tcW w:type="dxa" w:w="2160"/>
            <w:shd w:val="clear" w:color="auto" w:fill="F2F7FB"/>
          </w:tcPr>
          <w:p>
            <w:r>
              <w:rPr>
                <w:rFonts w:ascii="Arial" w:hAnsi="Arial"/>
                <w:sz w:val="20"/>
              </w:rPr>
              <w:t>~33,449</w:t>
            </w:r>
          </w:p>
        </w:tc>
      </w:tr>
      <w:tr>
        <w:tc>
          <w:tcPr>
            <w:tcW w:type="dxa" w:w="2880"/>
            <w:shd w:val="clear" w:color="auto" w:fill="FFFFFF"/>
          </w:tcPr>
          <w:p>
            <w:r>
              <w:rPr>
                <w:rFonts w:ascii="Arial" w:hAnsi="Arial"/>
                <w:sz w:val="20"/>
              </w:rPr>
              <w:t>Revenue</w:t>
            </w:r>
          </w:p>
        </w:tc>
        <w:tc>
          <w:tcPr>
            <w:tcW w:type="dxa" w:w="2160"/>
            <w:shd w:val="clear" w:color="auto" w:fill="FFFFFF"/>
          </w:tcPr>
          <w:p>
            <w:r>
              <w:rPr>
                <w:rFonts w:ascii="Arial" w:hAnsi="Arial"/>
                <w:sz w:val="20"/>
              </w:rPr>
              <w:t>Similar</w:t>
            </w:r>
          </w:p>
        </w:tc>
        <w:tc>
          <w:tcPr>
            <w:tcW w:type="dxa" w:w="2160"/>
            <w:shd w:val="clear" w:color="auto" w:fill="FFFFFF"/>
          </w:tcPr>
          <w:p>
            <w:r>
              <w:rPr>
                <w:rFonts w:ascii="Arial" w:hAnsi="Arial"/>
                <w:sz w:val="20"/>
              </w:rPr>
              <w:t>Similar</w:t>
            </w:r>
          </w:p>
        </w:tc>
        <w:tc>
          <w:tcPr>
            <w:tcW w:type="dxa" w:w="2160"/>
            <w:shd w:val="clear" w:color="auto" w:fill="FFFFFF"/>
          </w:tcPr>
          <w:p>
            <w:r>
              <w:rPr>
                <w:rFonts w:ascii="Arial" w:hAnsi="Arial"/>
                <w:sz w:val="20"/>
              </w:rPr>
              <w:t>Similar</w:t>
            </w:r>
          </w:p>
        </w:tc>
      </w:tr>
      <w:tr>
        <w:tc>
          <w:tcPr>
            <w:tcW w:type="dxa" w:w="2880"/>
            <w:shd w:val="clear" w:color="auto" w:fill="F2F7FB"/>
          </w:tcPr>
          <w:p>
            <w:r>
              <w:rPr>
                <w:rFonts w:ascii="Arial" w:hAnsi="Arial"/>
                <w:sz w:val="20"/>
              </w:rPr>
              <w:t>Avg Rating</w:t>
            </w:r>
          </w:p>
        </w:tc>
        <w:tc>
          <w:tcPr>
            <w:tcW w:type="dxa" w:w="2160"/>
            <w:shd w:val="clear" w:color="auto" w:fill="F2F7FB"/>
          </w:tcPr>
          <w:p>
            <w:r>
              <w:rPr>
                <w:rFonts w:ascii="Arial" w:hAnsi="Arial"/>
                <w:sz w:val="20"/>
              </w:rPr>
              <w:t>~3.24</w:t>
            </w:r>
          </w:p>
        </w:tc>
        <w:tc>
          <w:tcPr>
            <w:tcW w:type="dxa" w:w="2160"/>
            <w:shd w:val="clear" w:color="auto" w:fill="F2F7FB"/>
          </w:tcPr>
          <w:p>
            <w:r>
              <w:rPr>
                <w:rFonts w:ascii="Arial" w:hAnsi="Arial"/>
                <w:sz w:val="20"/>
              </w:rPr>
              <w:t>~3.24</w:t>
            </w:r>
          </w:p>
        </w:tc>
        <w:tc>
          <w:tcPr>
            <w:tcW w:type="dxa" w:w="2160"/>
            <w:shd w:val="clear" w:color="auto" w:fill="F2F7FB"/>
          </w:tcPr>
          <w:p>
            <w:r>
              <w:rPr>
                <w:rFonts w:ascii="Arial" w:hAnsi="Arial"/>
                <w:sz w:val="20"/>
              </w:rPr>
              <w:t>~3.24</w:t>
            </w:r>
          </w:p>
        </w:tc>
      </w:tr>
      <w:tr>
        <w:tc>
          <w:tcPr>
            <w:tcW w:type="dxa" w:w="2880"/>
            <w:shd w:val="clear" w:color="auto" w:fill="FFFFFF"/>
          </w:tcPr>
          <w:p>
            <w:r>
              <w:rPr>
                <w:rFonts w:ascii="Arial" w:hAnsi="Arial"/>
                <w:sz w:val="20"/>
              </w:rPr>
              <w:t>Refund Rate</w:t>
            </w:r>
          </w:p>
        </w:tc>
        <w:tc>
          <w:tcPr>
            <w:tcW w:type="dxa" w:w="2160"/>
            <w:shd w:val="clear" w:color="auto" w:fill="FFFFFF"/>
          </w:tcPr>
          <w:p>
            <w:r>
              <w:rPr>
                <w:rFonts w:ascii="Arial" w:hAnsi="Arial"/>
                <w:sz w:val="20"/>
              </w:rPr>
              <w:t>~46%</w:t>
            </w:r>
          </w:p>
        </w:tc>
        <w:tc>
          <w:tcPr>
            <w:tcW w:type="dxa" w:w="2160"/>
            <w:shd w:val="clear" w:color="auto" w:fill="FFFFFF"/>
          </w:tcPr>
          <w:p>
            <w:r>
              <w:rPr>
                <w:rFonts w:ascii="Arial" w:hAnsi="Arial"/>
                <w:sz w:val="20"/>
              </w:rPr>
              <w:t>~45%</w:t>
            </w:r>
          </w:p>
        </w:tc>
        <w:tc>
          <w:tcPr>
            <w:tcW w:type="dxa" w:w="2160"/>
            <w:shd w:val="clear" w:color="auto" w:fill="FFFFFF"/>
          </w:tcPr>
          <w:p>
            <w:r>
              <w:rPr>
                <w:rFonts w:ascii="Arial" w:hAnsi="Arial"/>
                <w:sz w:val="20"/>
              </w:rPr>
              <w:t>~47%</w:t>
            </w:r>
          </w:p>
        </w:tc>
      </w:tr>
      <w:tr>
        <w:tc>
          <w:tcPr>
            <w:tcW w:type="dxa" w:w="2880"/>
            <w:shd w:val="clear" w:color="auto" w:fill="F2F7FB"/>
          </w:tcPr>
          <w:p>
            <w:r>
              <w:rPr>
                <w:rFonts w:ascii="Arial" w:hAnsi="Arial"/>
                <w:sz w:val="20"/>
              </w:rPr>
              <w:t>Delay Rate</w:t>
            </w:r>
          </w:p>
        </w:tc>
        <w:tc>
          <w:tcPr>
            <w:tcW w:type="dxa" w:w="2160"/>
            <w:shd w:val="clear" w:color="auto" w:fill="F2F7FB"/>
          </w:tcPr>
          <w:p>
            <w:r>
              <w:rPr>
                <w:rFonts w:ascii="Arial" w:hAnsi="Arial"/>
                <w:sz w:val="20"/>
              </w:rPr>
              <w:t>~14%</w:t>
            </w:r>
          </w:p>
        </w:tc>
        <w:tc>
          <w:tcPr>
            <w:tcW w:type="dxa" w:w="2160"/>
            <w:shd w:val="clear" w:color="auto" w:fill="F2F7FB"/>
          </w:tcPr>
          <w:p>
            <w:r>
              <w:rPr>
                <w:rFonts w:ascii="Arial" w:hAnsi="Arial"/>
                <w:sz w:val="20"/>
              </w:rPr>
              <w:t>~13%</w:t>
            </w:r>
          </w:p>
        </w:tc>
        <w:tc>
          <w:tcPr>
            <w:tcW w:type="dxa" w:w="2160"/>
            <w:shd w:val="clear" w:color="auto" w:fill="F2F7FB"/>
          </w:tcPr>
          <w:p>
            <w:r>
              <w:rPr>
                <w:rFonts w:ascii="Arial" w:hAnsi="Arial"/>
                <w:sz w:val="20"/>
              </w:rPr>
              <w:t>~14%</w:t>
            </w:r>
          </w:p>
        </w:tc>
      </w:tr>
    </w:tbl>
    <w:p/>
    <w:p>
      <w:pPr>
        <w:spacing w:before="80" w:after="80"/>
      </w:pPr>
      <w:r>
        <w:rPr>
          <w:rFonts w:ascii="Arial" w:hAnsi="Arial"/>
          <w:b w:val="0"/>
          <w:i/>
          <w:color w:val="15633E"/>
          <w:sz w:val="22"/>
        </w:rPr>
        <w:t>Conclusion: All three platforms are performing almost identically across every metric. There is no clear winner or underperformer. This is likely a characteristic of the synthetic dataset but the analysis methodology is valid.</w:t>
      </w:r>
    </w:p>
    <w:p/>
    <w:p>
      <w:pPr>
        <w:spacing w:before="240" w:after="80"/>
      </w:pPr>
      <w:r>
        <w:rPr>
          <w:rFonts w:ascii="Arial" w:hAnsi="Arial"/>
          <w:b/>
          <w:color w:val="2E74B5"/>
          <w:sz w:val="28"/>
        </w:rPr>
        <w:t>Case 5: Leadership concern about losing high-value customers</w:t>
      </w:r>
    </w:p>
    <w:p>
      <w:pPr>
        <w:spacing w:before="80" w:after="80"/>
      </w:pPr>
      <w:r>
        <w:rPr>
          <w:rFonts w:ascii="Arial" w:hAnsi="Arial"/>
          <w:b w:val="0"/>
          <w:i w:val="0"/>
          <w:sz w:val="22"/>
        </w:rPr>
        <w:t>Leadership was concerned about potential churn of high-spending customers. I was asked to identify at-risk VIP customers.</w:t>
      </w:r>
    </w:p>
    <w:p>
      <w:pPr>
        <w:spacing w:before="80" w:after="80"/>
      </w:pPr>
      <w:r>
        <w:rPr>
          <w:rFonts w:ascii="Arial" w:hAnsi="Arial"/>
          <w:b/>
          <w:i w:val="0"/>
          <w:sz w:val="22"/>
        </w:rPr>
        <w:t>What I found:</w:t>
      </w:r>
    </w:p>
    <w:p>
      <w:pPr>
        <w:pStyle w:val="ListBullet"/>
        <w:spacing w:before="40" w:after="40"/>
      </w:pPr>
      <w:r>
        <w:rPr>
          <w:rFonts w:ascii="Arial" w:hAnsi="Arial"/>
          <w:sz w:val="22"/>
        </w:rPr>
        <w:t>Used NTILE(10) window function to segment customers into spend deciles and isolated the top 10% as VIP customers.</w:t>
      </w:r>
    </w:p>
    <w:p>
      <w:pPr>
        <w:pStyle w:val="ListBullet"/>
        <w:spacing w:before="40" w:after="40"/>
      </w:pPr>
      <w:r>
        <w:rPr>
          <w:rFonts w:ascii="Arial" w:hAnsi="Arial"/>
          <w:sz w:val="22"/>
        </w:rPr>
        <w:t>Compared VIP customers against overall baseline across rating, refund rate, delay rate, and delivery time.</w:t>
      </w:r>
    </w:p>
    <w:p>
      <w:pPr>
        <w:pStyle w:val="ListBullet"/>
        <w:spacing w:before="40" w:after="40"/>
      </w:pPr>
      <w:r>
        <w:rPr>
          <w:rFonts w:ascii="Arial" w:hAnsi="Arial"/>
          <w:sz w:val="22"/>
        </w:rPr>
        <w:t>Assigned a risk score (0-4) based on how many metrics were worse than baseline.</w:t>
      </w:r>
    </w:p>
    <w:p>
      <w:pPr>
        <w:pStyle w:val="ListBullet"/>
        <w:spacing w:before="40" w:after="40"/>
      </w:pPr>
      <w:r>
        <w:rPr>
          <w:rFonts w:ascii="Arial" w:hAnsi="Arial"/>
          <w:sz w:val="22"/>
        </w:rPr>
        <w:t>VIP customers showed consistently higher operational friction than the average customer — higher refund rates, longer delivery times, and slightly lower ratings.</w:t>
      </w:r>
    </w:p>
    <w:p>
      <w:pPr>
        <w:pStyle w:val="ListBullet"/>
        <w:spacing w:before="40" w:after="40"/>
      </w:pPr>
      <w:r>
        <w:rPr>
          <w:rFonts w:ascii="Arial" w:hAnsi="Arial"/>
          <w:sz w:val="22"/>
        </w:rPr>
        <w:t>However all VIPs showed similar risk scores, suggesting a segment-level issue rather than specific at-risk individuals.</w:t>
      </w:r>
    </w:p>
    <w:p>
      <w:pPr>
        <w:spacing w:before="80" w:after="80"/>
      </w:pPr>
      <w:r>
        <w:rPr>
          <w:rFonts w:ascii="Arial" w:hAnsi="Arial"/>
          <w:b w:val="0"/>
          <w:i/>
          <w:color w:val="15633E"/>
          <w:sz w:val="22"/>
        </w:rPr>
        <w:t>Conclusion: The VIP segment as a whole needs attention. Without date-based data, time-series churn analysis was not possible, but the risk scoring model provides a solid foundation for further investigation.</w:t>
      </w:r>
    </w:p>
    <w:p>
      <w:pPr>
        <w:spacing w:before="80" w:after="80"/>
        <w:pBdr>
          <w:bottom w:val="single" w:sz="6" w:space="1" w:color="CCCCCC"/>
        </w:pBdr>
      </w:pPr>
    </w:p>
    <w:p>
      <w:pPr>
        <w:spacing w:before="240" w:after="80"/>
      </w:pPr>
      <w:r>
        <w:rPr>
          <w:rFonts w:ascii="Arial" w:hAnsi="Arial"/>
          <w:b/>
          <w:color w:val="1F497D"/>
          <w:sz w:val="36"/>
        </w:rPr>
        <w:t>6. SQL Techniques Used</w:t>
      </w:r>
    </w:p>
    <w:p>
      <w:pPr>
        <w:spacing w:before="80" w:after="80"/>
      </w:pPr>
      <w:r>
        <w:rPr>
          <w:rFonts w:ascii="Arial" w:hAnsi="Arial"/>
          <w:b w:val="0"/>
          <w:i w:val="0"/>
          <w:sz w:val="22"/>
        </w:rPr>
        <w:t>Throughout this project I practiced and applied the following SQL concepts: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2E74B5"/>
            <w:vAlign w:val="center"/>
          </w:tcPr>
          <w:p>
            <w:pPr>
              <w:jc w:val="center"/>
            </w:pPr>
            <w:r>
              <w:rPr>
                <w:rFonts w:ascii="Arial" w:hAnsi="Arial"/>
                <w:b/>
                <w:color w:val="FFFFFF"/>
                <w:sz w:val="20"/>
              </w:rPr>
              <w:t>Concept</w:t>
            </w:r>
          </w:p>
        </w:tc>
        <w:tc>
          <w:tcPr>
            <w:tcW w:type="dxa" w:w="5760"/>
            <w:shd w:val="clear" w:color="auto" w:fill="2E74B5"/>
            <w:vAlign w:val="center"/>
          </w:tcPr>
          <w:p>
            <w:pPr>
              <w:jc w:val="center"/>
            </w:pPr>
            <w:r>
              <w:rPr>
                <w:rFonts w:ascii="Arial" w:hAnsi="Arial"/>
                <w:b/>
                <w:color w:val="FFFFFF"/>
                <w:sz w:val="20"/>
              </w:rPr>
              <w:t>Where I Used It</w:t>
            </w:r>
          </w:p>
        </w:tc>
      </w:tr>
      <w:tr>
        <w:tc>
          <w:tcPr>
            <w:tcW w:type="dxa" w:w="3600"/>
            <w:shd w:val="clear" w:color="auto" w:fill="F2F7FB"/>
          </w:tcPr>
          <w:p>
            <w:r>
              <w:rPr>
                <w:rFonts w:ascii="Arial" w:hAnsi="Arial"/>
                <w:sz w:val="20"/>
              </w:rPr>
              <w:t>CTEs (WITH clause)</w:t>
            </w:r>
          </w:p>
        </w:tc>
        <w:tc>
          <w:tcPr>
            <w:tcW w:type="dxa" w:w="5760"/>
            <w:shd w:val="clear" w:color="auto" w:fill="F2F7FB"/>
          </w:tcPr>
          <w:p>
            <w:r>
              <w:rPr>
                <w:rFonts w:ascii="Arial" w:hAnsi="Arial"/>
                <w:sz w:val="20"/>
              </w:rPr>
              <w:t>All 5 business cases — to break complex queries into readable steps</w:t>
            </w:r>
          </w:p>
        </w:tc>
      </w:tr>
      <w:tr>
        <w:tc>
          <w:tcPr>
            <w:tcW w:type="dxa" w:w="3600"/>
            <w:shd w:val="clear" w:color="auto" w:fill="FFFFFF"/>
          </w:tcPr>
          <w:p>
            <w:r>
              <w:rPr>
                <w:rFonts w:ascii="Arial" w:hAnsi="Arial"/>
                <w:sz w:val="20"/>
              </w:rPr>
              <w:t>Window Functions (DENSE_RANK, NTILE, ROW_NUMBER)</w:t>
            </w:r>
          </w:p>
        </w:tc>
        <w:tc>
          <w:tcPr>
            <w:tcW w:type="dxa" w:w="5760"/>
            <w:shd w:val="clear" w:color="auto" w:fill="FFFFFF"/>
          </w:tcPr>
          <w:p>
            <w:r>
              <w:rPr>
                <w:rFonts w:ascii="Arial" w:hAnsi="Arial"/>
                <w:sz w:val="20"/>
              </w:rPr>
              <w:t>Customer churn analysis — ranking customers by spend and segmenting into deciles</w:t>
            </w:r>
          </w:p>
        </w:tc>
      </w:tr>
      <w:tr>
        <w:tc>
          <w:tcPr>
            <w:tcW w:type="dxa" w:w="3600"/>
            <w:shd w:val="clear" w:color="auto" w:fill="F2F7FB"/>
          </w:tcPr>
          <w:p>
            <w:r>
              <w:rPr>
                <w:rFonts w:ascii="Arial" w:hAnsi="Arial"/>
                <w:sz w:val="20"/>
              </w:rPr>
              <w:t>CASE WHEN</w:t>
            </w:r>
          </w:p>
        </w:tc>
        <w:tc>
          <w:tcPr>
            <w:tcW w:type="dxa" w:w="5760"/>
            <w:shd w:val="clear" w:color="auto" w:fill="F2F7FB"/>
          </w:tcPr>
          <w:p>
            <w:r>
              <w:rPr>
                <w:rFonts w:ascii="Arial" w:hAnsi="Arial"/>
                <w:sz w:val="20"/>
              </w:rPr>
              <w:t>Calculating refund rates, delay rates, and risk scores across all cases</w:t>
            </w:r>
          </w:p>
        </w:tc>
      </w:tr>
      <w:tr>
        <w:tc>
          <w:tcPr>
            <w:tcW w:type="dxa" w:w="3600"/>
            <w:shd w:val="clear" w:color="auto" w:fill="FFFFFF"/>
          </w:tcPr>
          <w:p>
            <w:r>
              <w:rPr>
                <w:rFonts w:ascii="Arial" w:hAnsi="Arial"/>
                <w:sz w:val="20"/>
              </w:rPr>
              <w:t>CROSS JOIN</w:t>
            </w:r>
          </w:p>
        </w:tc>
        <w:tc>
          <w:tcPr>
            <w:tcW w:type="dxa" w:w="5760"/>
            <w:shd w:val="clear" w:color="auto" w:fill="FFFFFF"/>
          </w:tcPr>
          <w:p>
            <w:r>
              <w:rPr>
                <w:rFonts w:ascii="Arial" w:hAnsi="Arial"/>
                <w:sz w:val="20"/>
              </w:rPr>
              <w:t>Comparing individual customer metrics against overall baseline averages</w:t>
            </w:r>
          </w:p>
        </w:tc>
      </w:tr>
      <w:tr>
        <w:tc>
          <w:tcPr>
            <w:tcW w:type="dxa" w:w="3600"/>
            <w:shd w:val="clear" w:color="auto" w:fill="F2F7FB"/>
          </w:tcPr>
          <w:p>
            <w:r>
              <w:rPr>
                <w:rFonts w:ascii="Arial" w:hAnsi="Arial"/>
                <w:sz w:val="20"/>
              </w:rPr>
              <w:t>GROUP BY + Aggregations</w:t>
            </w:r>
          </w:p>
        </w:tc>
        <w:tc>
          <w:tcPr>
            <w:tcW w:type="dxa" w:w="5760"/>
            <w:shd w:val="clear" w:color="auto" w:fill="F2F7FB"/>
          </w:tcPr>
          <w:p>
            <w:r>
              <w:rPr>
                <w:rFonts w:ascii="Arial" w:hAnsi="Arial"/>
                <w:sz w:val="20"/>
              </w:rPr>
              <w:t>Platform, category, and rating-level summaries throughout</w:t>
            </w:r>
          </w:p>
        </w:tc>
      </w:tr>
      <w:tr>
        <w:tc>
          <w:tcPr>
            <w:tcW w:type="dxa" w:w="3600"/>
            <w:shd w:val="clear" w:color="auto" w:fill="FFFFFF"/>
          </w:tcPr>
          <w:p>
            <w:r>
              <w:rPr>
                <w:rFonts w:ascii="Arial" w:hAnsi="Arial"/>
                <w:sz w:val="20"/>
              </w:rPr>
              <w:t>Stored Procedure (Dynamic SQL)</w:t>
            </w:r>
          </w:p>
        </w:tc>
        <w:tc>
          <w:tcPr>
            <w:tcW w:type="dxa" w:w="5760"/>
            <w:shd w:val="clear" w:color="auto" w:fill="FFFFFF"/>
          </w:tcPr>
          <w:p>
            <w:r>
              <w:rPr>
                <w:rFonts w:ascii="Arial" w:hAnsi="Arial"/>
                <w:sz w:val="20"/>
              </w:rPr>
              <w:t>Created reusable procedure to run grouped summary by any dimension</w:t>
            </w:r>
          </w:p>
        </w:tc>
      </w:tr>
      <w:tr>
        <w:tc>
          <w:tcPr>
            <w:tcW w:type="dxa" w:w="3600"/>
            <w:shd w:val="clear" w:color="auto" w:fill="F2F7FB"/>
          </w:tcPr>
          <w:p>
            <w:r>
              <w:rPr>
                <w:rFonts w:ascii="Arial" w:hAnsi="Arial"/>
                <w:sz w:val="20"/>
              </w:rPr>
              <w:t>Views</w:t>
            </w:r>
          </w:p>
        </w:tc>
        <w:tc>
          <w:tcPr>
            <w:tcW w:type="dxa" w:w="5760"/>
            <w:shd w:val="clear" w:color="auto" w:fill="F2F7FB"/>
          </w:tcPr>
          <w:p>
            <w:r>
              <w:rPr>
                <w:rFonts w:ascii="Arial" w:hAnsi="Arial"/>
                <w:sz w:val="20"/>
              </w:rPr>
              <w:t>Created 3 clean views (rating, category, delivery) for Looker Studio connection</w:t>
            </w:r>
          </w:p>
        </w:tc>
      </w:tr>
      <w:tr>
        <w:tc>
          <w:tcPr>
            <w:tcW w:type="dxa" w:w="3600"/>
            <w:shd w:val="clear" w:color="auto" w:fill="FFFFFF"/>
          </w:tcPr>
          <w:p>
            <w:r>
              <w:rPr>
                <w:rFonts w:ascii="Arial" w:hAnsi="Arial"/>
                <w:sz w:val="20"/>
              </w:rPr>
              <w:t>ROUND, AVG, SUM, COUNT, COUNTIF</w:t>
            </w:r>
          </w:p>
        </w:tc>
        <w:tc>
          <w:tcPr>
            <w:tcW w:type="dxa" w:w="5760"/>
            <w:shd w:val="clear" w:color="auto" w:fill="FFFFFF"/>
          </w:tcPr>
          <w:p>
            <w:r>
              <w:rPr>
                <w:rFonts w:ascii="Arial" w:hAnsi="Arial"/>
                <w:sz w:val="20"/>
              </w:rPr>
              <w:t>Used across all queries for metric calculation</w:t>
            </w:r>
          </w:p>
        </w:tc>
      </w:tr>
      <w:tr>
        <w:tc>
          <w:tcPr>
            <w:tcW w:type="dxa" w:w="3600"/>
            <w:shd w:val="clear" w:color="auto" w:fill="F2F7FB"/>
          </w:tcPr>
          <w:p>
            <w:r>
              <w:rPr>
                <w:rFonts w:ascii="Arial" w:hAnsi="Arial"/>
                <w:sz w:val="20"/>
              </w:rPr>
              <w:t>Subqueries</w:t>
            </w:r>
          </w:p>
        </w:tc>
        <w:tc>
          <w:tcPr>
            <w:tcW w:type="dxa" w:w="5760"/>
            <w:shd w:val="clear" w:color="auto" w:fill="F2F7FB"/>
          </w:tcPr>
          <w:p>
            <w:r>
              <w:rPr>
                <w:rFonts w:ascii="Arial" w:hAnsi="Arial"/>
                <w:sz w:val="20"/>
              </w:rPr>
              <w:t>Used inside WHERE and for percentage normalization</w:t>
            </w:r>
          </w:p>
        </w:tc>
      </w:tr>
    </w:tbl>
    <w:p/>
    <w:p>
      <w:pPr>
        <w:spacing w:before="80" w:after="80"/>
        <w:pBdr>
          <w:bottom w:val="single" w:sz="6" w:space="1" w:color="CCCCCC"/>
        </w:pBdr>
      </w:pPr>
    </w:p>
    <w:p>
      <w:pPr>
        <w:spacing w:before="240" w:after="80"/>
      </w:pPr>
      <w:r>
        <w:rPr>
          <w:rFonts w:ascii="Arial" w:hAnsi="Arial"/>
          <w:b/>
          <w:color w:val="1F497D"/>
          <w:sz w:val="36"/>
        </w:rPr>
        <w:t>7. Looker Studio Dashboard</w:t>
      </w:r>
    </w:p>
    <w:p>
      <w:pPr>
        <w:spacing w:before="80" w:after="80"/>
      </w:pPr>
      <w:r>
        <w:rPr>
          <w:rFonts w:ascii="Arial" w:hAnsi="Arial"/>
          <w:b w:val="0"/>
          <w:i w:val="0"/>
          <w:sz w:val="22"/>
        </w:rPr>
        <w:t>I connected the BigQuery views to Looker Studio and built an interactive platform comparison dashboard. The dashboard includes:</w:t>
      </w:r>
    </w:p>
    <w:p>
      <w:pPr>
        <w:pStyle w:val="ListBullet"/>
        <w:spacing w:before="40" w:after="40"/>
      </w:pPr>
      <w:r>
        <w:rPr>
          <w:rFonts w:ascii="Arial" w:hAnsi="Arial"/>
          <w:sz w:val="22"/>
        </w:rPr>
        <w:t>KPI cards for Total Orders, Refund Orders, Delayed Orders, Revenue, Refund Value, and Delayed Value</w:t>
      </w:r>
    </w:p>
    <w:p>
      <w:pPr>
        <w:pStyle w:val="ListBullet"/>
        <w:spacing w:before="40" w:after="40"/>
      </w:pPr>
      <w:r>
        <w:rPr>
          <w:rFonts w:ascii="Arial" w:hAnsi="Arial"/>
          <w:sz w:val="22"/>
        </w:rPr>
        <w:t>Bar charts comparing Orders and Refunds across all three platforms</w:t>
      </w:r>
    </w:p>
    <w:p>
      <w:pPr>
        <w:pStyle w:val="ListBullet"/>
        <w:spacing w:before="40" w:after="40"/>
      </w:pPr>
      <w:r>
        <w:rPr>
          <w:rFonts w:ascii="Arial" w:hAnsi="Arial"/>
          <w:sz w:val="22"/>
        </w:rPr>
        <w:t>Dual-axis line chart showing Orders and Refunds by Delivery Time</w:t>
      </w:r>
    </w:p>
    <w:p>
      <w:pPr>
        <w:pStyle w:val="ListBullet"/>
        <w:spacing w:before="40" w:after="40"/>
      </w:pPr>
      <w:r>
        <w:rPr>
          <w:rFonts w:ascii="Arial" w:hAnsi="Arial"/>
          <w:sz w:val="22"/>
        </w:rPr>
        <w:t>Combined chart showing Orders and Refunds by Rating</w:t>
      </w:r>
    </w:p>
    <w:p>
      <w:pPr>
        <w:spacing w:before="80" w:after="80"/>
      </w:pPr>
      <w:r>
        <w:rPr>
          <w:rFonts w:ascii="Arial" w:hAnsi="Arial"/>
          <w:b w:val="0"/>
          <w:i w:val="0"/>
          <w:sz w:val="22"/>
        </w:rPr>
        <w:t>Dashboard Link: [Insert your Looker Studio link here]</w:t>
      </w:r>
    </w:p>
    <w:p>
      <w:pPr>
        <w:spacing w:before="80" w:after="80"/>
        <w:pBdr>
          <w:bottom w:val="single" w:sz="6" w:space="1" w:color="CCCCCC"/>
        </w:pBdr>
      </w:pPr>
    </w:p>
    <w:p>
      <w:pPr>
        <w:spacing w:before="240" w:after="80"/>
      </w:pPr>
      <w:r>
        <w:rPr>
          <w:rFonts w:ascii="Arial" w:hAnsi="Arial"/>
          <w:b/>
          <w:color w:val="1F497D"/>
          <w:sz w:val="36"/>
        </w:rPr>
        <w:t>8. Key Takeaways &amp; Learnings</w:t>
      </w:r>
    </w:p>
    <w:p>
      <w:pPr>
        <w:spacing w:before="80" w:after="80"/>
      </w:pPr>
      <w:r>
        <w:rPr>
          <w:rFonts w:ascii="Arial" w:hAnsi="Arial"/>
          <w:b/>
          <w:i w:val="0"/>
          <w:sz w:val="22"/>
        </w:rPr>
        <w:t>Business Insights:</w:t>
      </w:r>
    </w:p>
    <w:p>
      <w:pPr>
        <w:pStyle w:val="ListBullet"/>
        <w:spacing w:before="40" w:after="40"/>
      </w:pPr>
      <w:r>
        <w:rPr>
          <w:rFonts w:ascii="Arial" w:hAnsi="Arial"/>
          <w:sz w:val="22"/>
        </w:rPr>
        <w:t>Rating is the strongest predictor of refund behavior — rating 1-2 leads to 100% refund requests.</w:t>
      </w:r>
    </w:p>
    <w:p>
      <w:pPr>
        <w:pStyle w:val="ListBullet"/>
        <w:spacing w:before="40" w:after="40"/>
      </w:pPr>
      <w:r>
        <w:rPr>
          <w:rFonts w:ascii="Arial" w:hAnsi="Arial"/>
          <w:sz w:val="22"/>
        </w:rPr>
        <w:t>Delivery delay alone does not significantly impact ratings or refunds in this dataset.</w:t>
      </w:r>
    </w:p>
    <w:p>
      <w:pPr>
        <w:pStyle w:val="ListBullet"/>
        <w:spacing w:before="40" w:after="40"/>
      </w:pPr>
      <w:r>
        <w:rPr>
          <w:rFonts w:ascii="Arial" w:hAnsi="Arial"/>
          <w:sz w:val="22"/>
        </w:rPr>
        <w:t>All three platforms perform almost identically, indicating no major operational gap between them.</w:t>
      </w:r>
    </w:p>
    <w:p>
      <w:pPr>
        <w:pStyle w:val="ListBullet"/>
        <w:spacing w:before="40" w:after="40"/>
      </w:pPr>
      <w:r>
        <w:rPr>
          <w:rFonts w:ascii="Arial" w:hAnsi="Arial"/>
          <w:sz w:val="22"/>
        </w:rPr>
        <w:t>High-value customers show more operational friction than average customers, which is a churn risk signal.</w:t>
      </w:r>
    </w:p>
    <w:p/>
    <w:p>
      <w:pPr>
        <w:spacing w:before="80" w:after="80"/>
      </w:pPr>
      <w:r>
        <w:rPr>
          <w:rFonts w:ascii="Arial" w:hAnsi="Arial"/>
          <w:b/>
          <w:i w:val="0"/>
          <w:sz w:val="22"/>
        </w:rPr>
        <w:t>What I Learned as a Fresher:</w:t>
      </w:r>
    </w:p>
    <w:p>
      <w:pPr>
        <w:pStyle w:val="ListBullet"/>
        <w:spacing w:before="40" w:after="40"/>
      </w:pPr>
      <w:r>
        <w:rPr>
          <w:rFonts w:ascii="Arial" w:hAnsi="Arial"/>
          <w:sz w:val="22"/>
        </w:rPr>
        <w:t>How to frame SQL queries around a business problem rather than just running random queries.</w:t>
      </w:r>
    </w:p>
    <w:p>
      <w:pPr>
        <w:pStyle w:val="ListBullet"/>
        <w:spacing w:before="40" w:after="40"/>
      </w:pPr>
      <w:r>
        <w:rPr>
          <w:rFonts w:ascii="Arial" w:hAnsi="Arial"/>
          <w:sz w:val="22"/>
        </w:rPr>
        <w:t>How to use CTEs to write readable and layered SQL logic.</w:t>
      </w:r>
    </w:p>
    <w:p>
      <w:pPr>
        <w:pStyle w:val="ListBullet"/>
        <w:spacing w:before="40" w:after="40"/>
      </w:pPr>
      <w:r>
        <w:rPr>
          <w:rFonts w:ascii="Arial" w:hAnsi="Arial"/>
          <w:sz w:val="22"/>
        </w:rPr>
        <w:t>How window functions like NTILE and DENSE_RANK work in real use cases.</w:t>
      </w:r>
    </w:p>
    <w:p>
      <w:pPr>
        <w:pStyle w:val="ListBullet"/>
        <w:spacing w:before="40" w:after="40"/>
      </w:pPr>
      <w:r>
        <w:rPr>
          <w:rFonts w:ascii="Arial" w:hAnsi="Arial"/>
          <w:sz w:val="22"/>
        </w:rPr>
        <w:t>How to connect BigQuery to Looker Studio using views as the data layer.</w:t>
      </w:r>
    </w:p>
    <w:p>
      <w:pPr>
        <w:pStyle w:val="ListBullet"/>
        <w:spacing w:before="40" w:after="40"/>
      </w:pPr>
      <w:r>
        <w:rPr>
          <w:rFonts w:ascii="Arial" w:hAnsi="Arial"/>
          <w:sz w:val="22"/>
        </w:rPr>
        <w:t>How to write insights that explain what the data is saying, not just describe the numbers.</w:t>
      </w:r>
    </w:p>
    <w:p>
      <w:pPr>
        <w:pStyle w:val="ListBullet"/>
        <w:spacing w:before="40" w:after="40"/>
      </w:pPr>
      <w:r>
        <w:rPr>
          <w:rFonts w:ascii="Arial" w:hAnsi="Arial"/>
          <w:sz w:val="22"/>
        </w:rPr>
        <w:t>That data does not always confirm the initial assumption — and that is a valid and important finding.</w:t>
      </w:r>
    </w:p>
    <w:p>
      <w:pPr>
        <w:spacing w:before="80" w:after="80"/>
        <w:pBdr>
          <w:bottom w:val="single" w:sz="6" w:space="1" w:color="CCCCCC"/>
        </w:pBdr>
      </w:pPr>
    </w:p>
    <w:p>
      <w:pPr>
        <w:spacing w:before="240" w:after="80"/>
      </w:pPr>
      <w:r>
        <w:rPr>
          <w:rFonts w:ascii="Arial" w:hAnsi="Arial"/>
          <w:b/>
          <w:color w:val="1F497D"/>
          <w:sz w:val="36"/>
        </w:rPr>
        <w:t>9. Limitations</w:t>
      </w:r>
    </w:p>
    <w:p>
      <w:pPr>
        <w:pStyle w:val="ListBullet"/>
        <w:spacing w:before="40" w:after="40"/>
      </w:pPr>
      <w:r>
        <w:rPr>
          <w:rFonts w:ascii="Arial" w:hAnsi="Arial"/>
          <w:sz w:val="22"/>
        </w:rPr>
        <w:t>The dataset is synthetic, so all numbers are fabricated. Real-world data would likely show clearer patterns and more differentiation between platforms.</w:t>
      </w:r>
    </w:p>
    <w:p>
      <w:pPr>
        <w:pStyle w:val="ListBullet"/>
        <w:spacing w:before="40" w:after="40"/>
      </w:pPr>
      <w:r>
        <w:rPr>
          <w:rFonts w:ascii="Arial" w:hAnsi="Arial"/>
          <w:sz w:val="22"/>
        </w:rPr>
        <w:t>There is no meaningful date column available for time-series analysis, so trend and churn analysis over time was not possible.</w:t>
      </w:r>
    </w:p>
    <w:p>
      <w:pPr>
        <w:pStyle w:val="ListBullet"/>
        <w:spacing w:before="40" w:after="40"/>
      </w:pPr>
      <w:r>
        <w:rPr>
          <w:rFonts w:ascii="Arial" w:hAnsi="Arial"/>
          <w:sz w:val="22"/>
        </w:rPr>
        <w:t>Customer feedback text was not used for sentiment analysis as that would require NLP, which is beyond the scope of this project.</w:t>
      </w:r>
    </w:p>
    <w:p>
      <w:pPr>
        <w:pStyle w:val="ListBullet"/>
        <w:spacing w:before="40" w:after="40"/>
      </w:pPr>
      <w:r>
        <w:rPr>
          <w:rFonts w:ascii="Arial" w:hAnsi="Arial"/>
          <w:sz w:val="22"/>
        </w:rPr>
        <w:t>No product-level data was available — only category-level, which limits the depth of product analysis.</w:t>
      </w:r>
    </w:p>
    <w:p>
      <w:pPr>
        <w:spacing w:before="80" w:after="80"/>
        <w:pBdr>
          <w:bottom w:val="single" w:sz="6" w:space="1" w:color="CCCCCC"/>
        </w:pBdr>
      </w:pPr>
    </w:p>
    <w:p>
      <w:pPr>
        <w:spacing w:before="240" w:after="80"/>
      </w:pPr>
      <w:r>
        <w:rPr>
          <w:rFonts w:ascii="Arial" w:hAnsi="Arial"/>
          <w:b/>
          <w:color w:val="1F497D"/>
          <w:sz w:val="36"/>
        </w:rPr>
        <w:t>10. Future Scope</w:t>
      </w:r>
    </w:p>
    <w:p>
      <w:pPr>
        <w:pStyle w:val="ListBullet"/>
        <w:spacing w:before="40" w:after="40"/>
      </w:pPr>
      <w:r>
        <w:rPr>
          <w:rFonts w:ascii="Arial" w:hAnsi="Arial"/>
          <w:sz w:val="22"/>
        </w:rPr>
        <w:t>Apply NLP or keyword-based sentiment scoring on the customer feedback column to find complaint patterns.</w:t>
      </w:r>
    </w:p>
    <w:p>
      <w:pPr>
        <w:pStyle w:val="ListBullet"/>
        <w:spacing w:before="40" w:after="40"/>
      </w:pPr>
      <w:r>
        <w:rPr>
          <w:rFonts w:ascii="Arial" w:hAnsi="Arial"/>
          <w:sz w:val="22"/>
        </w:rPr>
        <w:t>If real data with proper dates is available, add time-series trend analysis for revenue, refunds, and delays by month.</w:t>
      </w:r>
    </w:p>
    <w:p>
      <w:pPr>
        <w:pStyle w:val="ListBullet"/>
        <w:spacing w:before="40" w:after="40"/>
      </w:pPr>
      <w:r>
        <w:rPr>
          <w:rFonts w:ascii="Arial" w:hAnsi="Arial"/>
          <w:sz w:val="22"/>
        </w:rPr>
        <w:t>Build a proper churn prediction model using Python or BigQuery ML once more customer behavior data is available.</w:t>
      </w:r>
    </w:p>
    <w:p>
      <w:pPr>
        <w:pStyle w:val="ListBullet"/>
        <w:spacing w:before="40" w:after="40"/>
      </w:pPr>
      <w:r>
        <w:rPr>
          <w:rFonts w:ascii="Arial" w:hAnsi="Arial"/>
          <w:sz w:val="22"/>
        </w:rPr>
        <w:t>Add a customer segmentation layer using RFM (Recency, Frequency, Monetary) analysis.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09090"/>
        <w:sz w:val="18"/>
      </w:rPr>
      <w:t>Food Delivery Platform Analysis  |  BigQuery + Looker Studio  |  [Your Name]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