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🧭 Clinical DriftOps Platform — Expanded CPMAI Roadmap (I–VII)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rPr>
                <w:b/>
              </w:rPr>
              <w:t>Phase (CPMAI)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rPr>
                <w:b/>
              </w:rPr>
              <w:t>Objective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rPr>
                <w:b/>
              </w:rPr>
              <w:t>Key Actions / Deliverables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rPr>
                <w:b/>
              </w:rPr>
              <w:t>Output Example</w:t>
            </w:r>
          </w:p>
        </w:tc>
      </w:tr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I. Business Understanding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Define the why — what problem in clinical AI you’re solving and how it ties to compliance or safety.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• Identify 2–3 clinical model use cases prone to drift (e.g., sepsis risk, readmission, medication adherence).</w:t>
              <w:br/>
              <w:t>• Frame measurable KPIs: false-alert reduction %, drift detection latency, clinician trust scores.</w:t>
              <w:br/>
              <w:t>• Document regulatory scope (HIPAA, FDA GMLP, EU AI Act).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“Clinical DriftOps Platform Charter” PDF outlining goals, KPIs, stakeholders, and regulatory touchpoints.</w:t>
            </w:r>
          </w:p>
        </w:tc>
      </w:tr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II. Data Understanding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Audit and benchmark the data environment.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• Pull de-identified clinical tables (MIMIC-IV v2.2 or synthetic FHIR).</w:t>
              <w:br/>
              <w:t>• Profile historical drift patterns and bias.</w:t>
              <w:br/>
              <w:t>• Map metadata lineage and bias sources.</w:t>
              <w:br/>
              <w:t>• (GenAI assist): use LLM to summarize data gaps and surface potential drift correlations.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Jupyter notebook + EvidentlyAI baseline report with PSI and KS tests + GenAI-generated summary of data risk zones.</w:t>
            </w:r>
          </w:p>
        </w:tc>
      </w:tr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III. Data Preparation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Build the monitoring pipeline.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• Create “baseline vs live” data snapshots in Parquet.</w:t>
              <w:br/>
              <w:t>• Encode PII-safe transformations.</w:t>
              <w:br/>
              <w:t>• Implement feature store with version tags.</w:t>
              <w:br/>
              <w:t>• (GenAI assist): generate data-quality narratives and auto-document schema evolution for audit trails.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data_prep.py + metadata JSON documenting dataset versioning and PII removal + GenAI-authored Data ReadMe.</w:t>
            </w:r>
          </w:p>
        </w:tc>
      </w:tr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IV. Model Development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Integrate drift &amp; bias detection models.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• Implement EvidentlyAI drift dashboards.</w:t>
              <w:br/>
              <w:t>• Add SHAP explainability and bias metrics by race, gender, age.</w:t>
              <w:br/>
              <w:t>• Containerize with Docker for CI/CD.</w:t>
              <w:br/>
              <w:t>• (GenAI assist): embed an LLM-based “root-cause explainer” translating drift stats into plain-language insights.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driftops_service.py microservice with API endpoints for drift, bias, explainability + GenAI summary API for clinicians.</w:t>
            </w:r>
          </w:p>
        </w:tc>
      </w:tr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V. Model Evaluation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Validate reliability &amp; compliance.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• Define pass/fail thresholds for PSI and AUC degradation.</w:t>
              <w:br/>
              <w:t>• Build validation dashboard (Streamlit or Grafana).</w:t>
              <w:br/>
              <w:t>• Conduct bias audits for clinical review.</w:t>
              <w:br/>
              <w:t>• (GenAI assist): auto-generate plain-language “Trustworthy AI Audit Reports” summarizing bias, drift, and actions.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“Trustworthy AI Audit v1.0” PDF with drift history, bias findings, and GenAI-authored executive summary.</w:t>
            </w:r>
          </w:p>
        </w:tc>
      </w:tr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VI. Operationalization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Deploy and govern in real time.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• Connect MLflow for model lineage and rollback.</w:t>
              <w:br/>
              <w:t>• Add regulatory monitor service (“Policy-as-Code”) that flags new FDA/HIPAA changes.</w:t>
              <w:br/>
              <w:t>• Schedule automated retraining requests with human-in-loop approval.</w:t>
              <w:br/>
              <w:t>• (GenAI assist): use LLMs to summarize alerts and generate human-readable incident reports.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Live Streamlit dashboard + CI/CD workflow YAML + MLflow artifact registry + GenAI incident summaries.</w:t>
            </w:r>
          </w:p>
        </w:tc>
      </w:tr>
      <w:tr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VII. GenAI Compliance Sentinel (Extension)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Continuous regulatory and trust monitoring through LLM automation.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• Deploy RAG-powered agent to monitor FDA, HIPAA, EU AI Act updates.</w:t>
              <w:br/>
              <w:t>• Map new clauses to affected models via a Compliance Knowledge Graph.</w:t>
              <w:br/>
              <w:t>• Auto-draft “Regulatory Delta Reports” with impacted policies, teams, and remediation steps.</w:t>
              <w:br/>
              <w:t>• Maintain human review for approvals and traceability.</w:t>
            </w:r>
          </w:p>
        </w:tc>
        <w:tc>
          <w:tcPr>
            <w:tcW w:type="dxa" w:w="2160"/>
            <w:vAlign w:val="top"/>
          </w:tcPr>
          <w:p>
            <w:pPr>
              <w:spacing w:after="80" w:before="40"/>
            </w:pPr>
            <w:r>
              <w:t>GenAI Compliance Sentinel microservice with vector DB for regulatory text + RAG query pipeline + Slack/email alerts + YAML policy updates.</w:t>
            </w:r>
          </w:p>
        </w:tc>
      </w:tr>
    </w:tbl>
    <w:p>
      <w:pPr>
        <w:pStyle w:val="Heading2"/>
      </w:pPr>
      <w:r>
        <w:t>⚖️ Why the GenAI Extension Matters</w:t>
      </w:r>
    </w:p>
    <w:p>
      <w:r>
        <w:t>• Reduces compliance latency — detects regulatory shifts within hours instead of weeks.</w:t>
        <w:br/>
        <w:t>• Enhances explainability — turns drift and bias data into narratives clinicians can trust.</w:t>
        <w:br/>
        <w:t>• Preserves trustworthy AI principles — humans stay in the loop, GenAI handles analysis &amp; drafting.</w:t>
        <w:br/>
        <w:t>• Ensures audit readiness — every LLM output is logged and traceable for regulators.</w:t>
      </w:r>
    </w:p>
    <w:p>
      <w:pPr>
        <w:pStyle w:val="Heading2"/>
      </w:pPr>
      <w:r>
        <w:t>🧩 Clinical DriftOps Platform — GenAI Integration Scorecard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Current Score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Future Target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Example Impact</w:t>
            </w:r>
          </w:p>
        </w:tc>
      </w:tr>
      <w:tr>
        <w:tc>
          <w:tcPr>
            <w:tcW w:type="dxa" w:w="2160"/>
          </w:tcPr>
          <w:p>
            <w:r>
              <w:t>ML Governance &amp; Compliance</w:t>
            </w:r>
          </w:p>
        </w:tc>
        <w:tc>
          <w:tcPr>
            <w:tcW w:type="dxa" w:w="2160"/>
          </w:tcPr>
          <w:p>
            <w:r>
              <w:t>9.5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Fully automated audit trails via LLM summaries</w:t>
            </w:r>
          </w:p>
        </w:tc>
      </w:tr>
      <w:tr>
        <w:tc>
          <w:tcPr>
            <w:tcW w:type="dxa" w:w="2160"/>
          </w:tcPr>
          <w:p>
            <w:r>
              <w:t>GenAI Utilization</w:t>
            </w:r>
          </w:p>
        </w:tc>
        <w:tc>
          <w:tcPr>
            <w:tcW w:type="dxa" w:w="2160"/>
          </w:tcPr>
          <w:p>
            <w:r>
              <w:t>5.5</w:t>
            </w:r>
          </w:p>
        </w:tc>
        <w:tc>
          <w:tcPr>
            <w:tcW w:type="dxa" w:w="2160"/>
          </w:tcPr>
          <w:p>
            <w:r>
              <w:t>9.0</w:t>
            </w:r>
          </w:p>
        </w:tc>
        <w:tc>
          <w:tcPr>
            <w:tcW w:type="dxa" w:w="2160"/>
          </w:tcPr>
          <w:p>
            <w:r>
              <w:t>RAG-based monitoring &amp; LLM explainability layers</w:t>
            </w:r>
          </w:p>
        </w:tc>
      </w:tr>
      <w:tr>
        <w:tc>
          <w:tcPr>
            <w:tcW w:type="dxa" w:w="2160"/>
          </w:tcPr>
          <w:p>
            <w:r>
              <w:t>Trust &amp; Transparency</w:t>
            </w:r>
          </w:p>
        </w:tc>
        <w:tc>
          <w:tcPr>
            <w:tcW w:type="dxa" w:w="2160"/>
          </w:tcPr>
          <w:p>
            <w:r>
              <w:t>9.0</w:t>
            </w:r>
          </w:p>
        </w:tc>
        <w:tc>
          <w:tcPr>
            <w:tcW w:type="dxa" w:w="2160"/>
          </w:tcPr>
          <w:p>
            <w:r>
              <w:t>9.5</w:t>
            </w:r>
          </w:p>
        </w:tc>
        <w:tc>
          <w:tcPr>
            <w:tcW w:type="dxa" w:w="2160"/>
          </w:tcPr>
          <w:p>
            <w:r>
              <w:t>Auto-generated plain-language regulatory reports</w:t>
            </w:r>
          </w:p>
        </w:tc>
      </w:tr>
      <w:tr>
        <w:tc>
          <w:tcPr>
            <w:tcW w:type="dxa" w:w="2160"/>
          </w:tcPr>
          <w:p>
            <w:r>
              <w:t>Clinical Usability</w:t>
            </w:r>
          </w:p>
        </w:tc>
        <w:tc>
          <w:tcPr>
            <w:tcW w:type="dxa" w:w="2160"/>
          </w:tcPr>
          <w:p>
            <w:r>
              <w:t>8.5</w:t>
            </w:r>
          </w:p>
        </w:tc>
        <w:tc>
          <w:tcPr>
            <w:tcW w:type="dxa" w:w="2160"/>
          </w:tcPr>
          <w:p>
            <w:r>
              <w:t>9.3</w:t>
            </w:r>
          </w:p>
        </w:tc>
        <w:tc>
          <w:tcPr>
            <w:tcW w:type="dxa" w:w="2160"/>
          </w:tcPr>
          <w:p>
            <w:r>
              <w:t>Clinician-friendly drift narratives &amp; alert summaries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