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67.0" w:type="dxa"/>
        <w:jc w:val="left"/>
        <w:tblInd w:w="-45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536"/>
        <w:gridCol w:w="1748"/>
        <w:gridCol w:w="2385"/>
        <w:gridCol w:w="2069"/>
        <w:gridCol w:w="1024"/>
        <w:gridCol w:w="1032"/>
        <w:gridCol w:w="1773"/>
        <w:tblGridChange w:id="0">
          <w:tblGrid>
            <w:gridCol w:w="1536"/>
            <w:gridCol w:w="1748"/>
            <w:gridCol w:w="2385"/>
            <w:gridCol w:w="2069"/>
            <w:gridCol w:w="1024"/>
            <w:gridCol w:w="1032"/>
            <w:gridCol w:w="1773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2">
            <w:pPr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3">
            <w:pPr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 (Related to Project)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4">
            <w:pPr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Involvement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5">
            <w:pPr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6">
            <w:pPr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 (H/L)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7">
            <w:pPr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 (H/L)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8">
            <w:pPr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Engagement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Makes high-level decisions; ensures project success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Project depends on the CEO’s approval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Communicate regularly for updates and decisions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Operations Manager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Oversees production, ensures production lines remain active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Directly impacted by supply chain disruptions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Daily communication to track project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Procurement Manager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Supplier Sourcing and Purchasing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Responsible for sourcing alternative sesame suppliers and imported meats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Critical to sourcing key ingredients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Involved in supplier negotiations, frequent updates needed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Finance Director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Budget and Financial Planning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Manages budgeting for alternative suppliers and extra costs of import payments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Directly affected by cost increases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Regular updates on financial impact and cost tracking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Supply chain Team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Procurement Process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ensuring raw material availability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Low impact on daily production routines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Keep informed about supply changes and production timelines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Marketing Team</w:t>
              <w:br w:type="textWrapping"/>
              <w:t xml:space="preserve">Business Development Team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 Promotion and Sales Strategy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Communicates product availability to customers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Low direct impact but high interest in product offering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Keep informed of product line updates, manage communication with customers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CRM Manager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 Promotion and Sales Strategy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Develop a long-term customer relationship management plan to build trust and loyalty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Low direct impact but high interest in product offering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Keep informed of product line updates, manage communication with customers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Warehouse Staff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Storage and Logistics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Handles product storage and delivery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Low impact but affected by supply volumes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 and provide information as needed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Board of Directors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Corporate Governance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Focused on overall business performance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Interested in how the project affects profitability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regular updates on strategic impact and financial results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External Suppliers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External Stakeholders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raw materials (sesame)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 impact as it may be the only supplier and have a negotiation privilege.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 delivery schedules and contractual obligations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Team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Manufacturing Process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Keeps production lines moving; interested in raw material availability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impact on daily production routines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informed about supply changes and production timelines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800" w:top="950" w:left="634" w:right="156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2"/>
        <w:szCs w:val="22"/>
        <w:lang w:val="en-US"/>
      </w:rPr>
    </w:rPrDefault>
    <w:pPrDefault>
      <w:pPr>
        <w:spacing w:after="120" w:before="24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Georgia" w:cs="Georgia" w:eastAsia="Georgia" w:hAnsi="Georgia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345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83098"/>
    <w:pPr>
      <w:keepNext w:val="1"/>
      <w:keepLines w:val="1"/>
      <w:spacing w:after="0"/>
      <w:outlineLvl w:val="0"/>
    </w:pPr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3098"/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character" w:styleId="Style4" w:customStyle="1">
    <w:name w:val="Style4"/>
    <w:basedOn w:val="DefaultParagraphFont"/>
    <w:uiPriority w:val="1"/>
    <w:qFormat w:val="1"/>
    <w:rsid w:val="002574D1"/>
    <w:rPr>
      <w:b w:val="1"/>
      <w:color w:val="002060"/>
    </w:rPr>
  </w:style>
  <w:style w:type="character" w:styleId="Style5" w:customStyle="1">
    <w:name w:val="Style5"/>
    <w:basedOn w:val="DefaultParagraphFont"/>
    <w:uiPriority w:val="1"/>
    <w:rsid w:val="002574D1"/>
    <w:rPr>
      <w:b w:val="1"/>
      <w:color w:val="002060"/>
      <w:sz w:val="28"/>
    </w:rPr>
  </w:style>
  <w:style w:type="table" w:styleId="TableGrid">
    <w:name w:val="Table Grid"/>
    <w:basedOn w:val="TableNormal"/>
    <w:uiPriority w:val="39"/>
    <w:rsid w:val="009E7E67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RypYreNfcsat2J5VQNo/1ieCA==">CgMxLjA4AHIhMUsycHlEVEZWR0Rmd2pRdURNcjZMX0N5ZVJJU19QZ3pj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2024-10-13T13:54:00Z</dcterms:created>
  <dc:creator>SME 10</dc:creator>
</cp:coreProperties>
</file>