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2816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Бланк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>угловой штамп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>организации</w:t>
            </w:r>
            <w:r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</w:rPr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6"/>
                <w:szCs w:val="26"/>
              </w:rPr>
              <w:t>Реквизиты гарантирующего поставщика</w:t>
            </w:r>
          </w:p>
        </w:tc>
      </w:tr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>Исх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______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>___.____.________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Уведомление об отмене процедуры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ограничения режима потребления электроэнергии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Письмом от          исх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№         направлено уведомление о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предстоящем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ограничении режима потребления электроэнергии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отношении прибора учета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принадлежащего ФИО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ФИО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произведена полная уплата задолженности               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дата погашения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Согласно п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18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Правил полного и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или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частичного ограничения режима потребления электрической энергии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утвержденных постановлением Правительства РФ от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04.05.2012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№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442,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случае если до указанной в уведомлении о введении ограничения режима потребления даты введения ограничения режима потребления потребитель устранил основания для введения такого ограничения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ограничение режима потребления не вводится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 учетом вышеизложенного уведомляем вас об отмен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процедуры ограничения режима потребления электроэнергии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 отношении прибора учета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принадлежащего ФИО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Председатель                              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               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                                       ФИО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подпись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