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E5F9E"/>
          <w:sz w:val="40"/>
          <w:szCs w:val="40"/>
        </w:rPr>
        <w:t xml:space="preserve">AI-Powered Test Automation Across the Full Lifecycle</w:t>
      </w:r>
    </w:p>
    <w:p>
      <w:pPr>
        <w:spacing w:after="240"/>
        <w:jc w:val="center"/>
      </w:pPr>
      <w:r>
        <w:rPr>
          <w:color w:val="555555"/>
          <w:sz w:val="26"/>
          <w:szCs w:val="26"/>
        </w:rPr>
        <w:t xml:space="preserve">Requirement to Result — Proof of Concept Outcome</w:t>
      </w:r>
    </w:p>
    <w:p>
      <w:pPr>
        <w:spacing w:after="120"/>
      </w:pPr>
      <w:r>
        <w:rPr>
          <w:b/>
          <w:bCs/>
          <w:sz w:val="22"/>
          <w:szCs w:val="22"/>
        </w:rPr>
        <w:t xml:space="preserve">Prepared for: Management / Leadership</w:t>
      </w:r>
    </w:p>
    <w:p>
      <w:pPr>
        <w:spacing w:after="120"/>
      </w:pPr>
      <w:r>
        <w:rPr>
          <w:sz w:val="22"/>
          <w:szCs w:val="22"/>
        </w:rPr>
        <w:t xml:space="preserve">Prepared by: QA Automation Team</w:t>
      </w:r>
    </w:p>
    <w:p>
      <w:pPr>
        <w:spacing w:after="120"/>
      </w:pPr>
      <w:r>
        <w:rPr>
          <w:sz w:val="22"/>
          <w:szCs w:val="22"/>
        </w:rPr>
        <w:t xml:space="preserve">Date: September 2026</w:t>
      </w:r>
    </w:p>
    <w:p>
      <w:pPr>
        <w:spacing w:after="120"/>
      </w:pPr>
      <w:r>
        <w:rPr>
          <w:sz w:val="22"/>
          <w:szCs w:val="22"/>
        </w:rPr>
        <w:t xml:space="preserve">Status: PoC Complete — Validated</w:t>
      </w:r>
    </w:p>
    <w:p>
      <w:pPr>
        <w:pStyle w:val="Heading1"/>
        <w:spacing w:after="120" w:before="280"/>
      </w:pPr>
      <w:r>
        <w:rPr>
          <w:b/>
          <w:bCs/>
          <w:color w:val="2E5F9E"/>
          <w:sz w:val="28"/>
          <w:szCs w:val="28"/>
        </w:rPr>
        <w:t xml:space="preserve">1. Executive Summary</w:t>
      </w:r>
    </w:p>
    <w:p>
      <w:pPr>
        <w:spacing w:after="120"/>
      </w:pPr>
      <w:r>
        <w:rPr>
          <w:sz w:val="22"/>
          <w:szCs w:val="22"/>
        </w:rPr>
        <w:t xml:space="preserve">We set out to answer one question: can AI meaningfully speed up and simplify web application testing? The Proof of Concept confirms it can.</w:t>
      </w:r>
    </w:p>
    <w:p>
      <w:pPr>
        <w:spacing w:after="120"/>
      </w:pPr>
      <w:r>
        <w:rPr>
          <w:sz w:val="22"/>
          <w:szCs w:val="22"/>
        </w:rPr>
        <w:t xml:space="preserve">We built a general-purpose automation framework using Kiro (AI) and Playwright that turns a requirement into a working, self-maintaining automated test in minutes instead of days. It covers the entire testing lifecycle — from reading the requirement, through test case creation, code generation, and execution, to publishing results back to the source system.</w:t>
      </w:r>
    </w:p>
    <w:p>
      <w:pPr>
        <w:spacing w:after="120"/>
      </w:pPr>
      <w:r>
        <w:rPr>
          <w:sz w:val="22"/>
          <w:szCs w:val="22"/>
        </w:rPr>
        <w:t xml:space="preserve">The framework integrates with both Jira + Zephyr Scale and Azure DevOps, so teams keep their existing tools with no change to the automation engine. To prove it works on a hard problem, we validated it on Salesforce Experience Cloud, one of the most complex platforms to automate.</w:t>
      </w:r>
    </w:p>
    <w:p>
      <w:pPr>
        <w:spacing w:after="120"/>
      </w:pPr>
      <w:r>
        <w:rPr>
          <w:b/>
          <w:bCs/>
          <w:sz w:val="22"/>
          <w:szCs w:val="22"/>
        </w:rPr>
        <w:t xml:space="preserve">Result: a 100% pass rate and roughly a 95% reduction in automation effort.</w:t>
      </w:r>
    </w:p>
    <w:p>
      <w:pPr>
        <w:pStyle w:val="Heading1"/>
        <w:spacing w:after="120" w:before="280"/>
      </w:pPr>
      <w:r>
        <w:rPr>
          <w:b/>
          <w:bCs/>
          <w:color w:val="2E5F9E"/>
          <w:sz w:val="28"/>
          <w:szCs w:val="28"/>
        </w:rPr>
        <w:t xml:space="preserve">2. Business Value at a Glance</w:t>
      </w:r>
    </w:p>
    <w:tbl>
      <w:tblPr>
        <w:tblW w:type="pct" w:w="100%"/>
        <w:tblBorders>
          <w:top w:val="single" w:color="D0D7E2" w:sz="2"/>
          <w:left w:val="single" w:color="D0D7E2" w:sz="2"/>
          <w:bottom w:val="single" w:color="D0D7E2" w:sz="2"/>
          <w:right w:val="single" w:color="D0D7E2" w:sz="2"/>
          <w:insideH w:val="single" w:color="D0D7E2" w:sz="2"/>
          <w:insideV w:val="single" w:color="D0D7E2" w:sz="2"/>
        </w:tblBorders>
      </w:tblPr>
      <w:tblGrid>
        <w:gridCol w:w="100"/>
        <w:gridCol w:w="100"/>
      </w:tblGrid>
      <w:tr>
        <w:trPr>
          <w:tblHeader/>
        </w:trPr>
        <w:tc>
          <w:tcPr>
            <w:shd w:fill="2E5F9E" w:color="auto" w:val="clear"/>
            <w:tcMar>
              <w:top w:type="dxa" w:w="60"/>
              <w:left w:type="dxa" w:w="100"/>
              <w:bottom w:type="dxa" w:w="60"/>
              <w:right w:type="dxa" w:w="100"/>
            </w:tcMar>
          </w:tcPr>
          <w:p>
            <w:r>
              <w:rPr>
                <w:b/>
                <w:bCs/>
                <w:color w:val="FFFFFF"/>
                <w:sz w:val="20"/>
                <w:szCs w:val="20"/>
              </w:rPr>
              <w:t xml:space="preserve">Outcome</w:t>
            </w:r>
          </w:p>
        </w:tc>
        <w:tc>
          <w:tcPr>
            <w:shd w:fill="2E5F9E" w:color="auto" w:val="clear"/>
            <w:tcMar>
              <w:top w:type="dxa" w:w="60"/>
              <w:left w:type="dxa" w:w="100"/>
              <w:bottom w:type="dxa" w:w="60"/>
              <w:right w:type="dxa" w:w="100"/>
            </w:tcMar>
          </w:tcPr>
          <w:p>
            <w:r>
              <w:rPr>
                <w:b/>
                <w:bCs/>
                <w:color w:val="FFFFFF"/>
                <w:sz w:val="20"/>
                <w:szCs w:val="20"/>
              </w:rPr>
              <w:t xml:space="preserve">Detail</w:t>
            </w:r>
          </w:p>
        </w:tc>
      </w:tr>
      <w:tr>
        <w:tc>
          <w:tcPr>
            <w:tcMar>
              <w:top w:type="dxa" w:w="60"/>
              <w:left w:type="dxa" w:w="100"/>
              <w:bottom w:type="dxa" w:w="60"/>
              <w:right w:type="dxa" w:w="100"/>
            </w:tcMar>
          </w:tcPr>
          <w:p>
            <w:r>
              <w:rPr>
                <w:b w:val="false"/>
                <w:bCs w:val="false"/>
                <w:color w:val="222222"/>
                <w:sz w:val="20"/>
                <w:szCs w:val="20"/>
              </w:rPr>
              <w:t xml:space="preserve">100% pass rate</w:t>
            </w:r>
          </w:p>
        </w:tc>
        <w:tc>
          <w:tcPr>
            <w:tcMar>
              <w:top w:type="dxa" w:w="60"/>
              <w:left w:type="dxa" w:w="100"/>
              <w:bottom w:type="dxa" w:w="60"/>
              <w:right w:type="dxa" w:w="100"/>
            </w:tcMar>
          </w:tcPr>
          <w:p>
            <w:r>
              <w:rPr>
                <w:b w:val="false"/>
                <w:bCs w:val="false"/>
                <w:color w:val="222222"/>
                <w:sz w:val="20"/>
                <w:szCs w:val="20"/>
              </w:rPr>
              <w:t xml:space="preserve">Every test confirmed by creating a real record in the application</w:t>
            </w:r>
          </w:p>
        </w:tc>
      </w:tr>
      <w:tr>
        <w:tc>
          <w:tcPr>
            <w:shd w:fill="F2F5FA" w:color="auto" w:val="clear"/>
            <w:tcMar>
              <w:top w:type="dxa" w:w="60"/>
              <w:left w:type="dxa" w:w="100"/>
              <w:bottom w:type="dxa" w:w="60"/>
              <w:right w:type="dxa" w:w="100"/>
            </w:tcMar>
          </w:tcPr>
          <w:p>
            <w:r>
              <w:rPr>
                <w:b w:val="false"/>
                <w:bCs w:val="false"/>
                <w:color w:val="222222"/>
                <w:sz w:val="20"/>
                <w:szCs w:val="20"/>
              </w:rPr>
              <w:t xml:space="preserve">~95% less effort</w:t>
            </w:r>
          </w:p>
        </w:tc>
        <w:tc>
          <w:tcPr>
            <w:shd w:fill="F2F5FA" w:color="auto" w:val="clear"/>
            <w:tcMar>
              <w:top w:type="dxa" w:w="60"/>
              <w:left w:type="dxa" w:w="100"/>
              <w:bottom w:type="dxa" w:w="60"/>
              <w:right w:type="dxa" w:w="100"/>
            </w:tcMar>
          </w:tcPr>
          <w:p>
            <w:r>
              <w:rPr>
                <w:b w:val="false"/>
                <w:bCs w:val="false"/>
                <w:color w:val="222222"/>
                <w:sz w:val="20"/>
                <w:szCs w:val="20"/>
              </w:rPr>
              <w:t xml:space="preserve">Automating a user story dropped from 1–2 days to about 6–10 minutes</w:t>
            </w:r>
          </w:p>
        </w:tc>
      </w:tr>
      <w:tr>
        <w:tc>
          <w:tcPr>
            <w:tcMar>
              <w:top w:type="dxa" w:w="60"/>
              <w:left w:type="dxa" w:w="100"/>
              <w:bottom w:type="dxa" w:w="60"/>
              <w:right w:type="dxa" w:w="100"/>
            </w:tcMar>
          </w:tcPr>
          <w:p>
            <w:r>
              <w:rPr>
                <w:b w:val="false"/>
                <w:bCs w:val="false"/>
                <w:color w:val="222222"/>
                <w:sz w:val="20"/>
                <w:szCs w:val="20"/>
              </w:rPr>
              <w:t xml:space="preserve">Self-healing</w:t>
            </w:r>
          </w:p>
        </w:tc>
        <w:tc>
          <w:tcPr>
            <w:tcMar>
              <w:top w:type="dxa" w:w="60"/>
              <w:left w:type="dxa" w:w="100"/>
              <w:bottom w:type="dxa" w:w="60"/>
              <w:right w:type="dxa" w:w="100"/>
            </w:tcMar>
          </w:tcPr>
          <w:p>
            <w:r>
              <w:rPr>
                <w:b w:val="false"/>
                <w:bCs w:val="false"/>
                <w:color w:val="222222"/>
                <w:sz w:val="20"/>
                <w:szCs w:val="20"/>
              </w:rPr>
              <w:t xml:space="preserve">The framework repairs broken locators automatically when the UI changes</w:t>
            </w:r>
          </w:p>
        </w:tc>
      </w:tr>
      <w:tr>
        <w:tc>
          <w:tcPr>
            <w:shd w:fill="F2F5FA" w:color="auto" w:val="clear"/>
            <w:tcMar>
              <w:top w:type="dxa" w:w="60"/>
              <w:left w:type="dxa" w:w="100"/>
              <w:bottom w:type="dxa" w:w="60"/>
              <w:right w:type="dxa" w:w="100"/>
            </w:tcMar>
          </w:tcPr>
          <w:p>
            <w:r>
              <w:rPr>
                <w:b w:val="false"/>
                <w:bCs w:val="false"/>
                <w:color w:val="222222"/>
                <w:sz w:val="20"/>
                <w:szCs w:val="20"/>
              </w:rPr>
              <w:t xml:space="preserve">Dual ALM support</w:t>
            </w:r>
          </w:p>
        </w:tc>
        <w:tc>
          <w:tcPr>
            <w:shd w:fill="F2F5FA" w:color="auto" w:val="clear"/>
            <w:tcMar>
              <w:top w:type="dxa" w:w="60"/>
              <w:left w:type="dxa" w:w="100"/>
              <w:bottom w:type="dxa" w:w="60"/>
              <w:right w:type="dxa" w:w="100"/>
            </w:tcMar>
          </w:tcPr>
          <w:p>
            <w:r>
              <w:rPr>
                <w:b w:val="false"/>
                <w:bCs w:val="false"/>
                <w:color w:val="222222"/>
                <w:sz w:val="20"/>
                <w:szCs w:val="20"/>
              </w:rPr>
              <w:t xml:space="preserve">Runs end-to-end from both Jira and Azure DevOps</w:t>
            </w:r>
          </w:p>
        </w:tc>
      </w:tr>
      <w:tr>
        <w:tc>
          <w:tcPr>
            <w:tcMar>
              <w:top w:type="dxa" w:w="60"/>
              <w:left w:type="dxa" w:w="100"/>
              <w:bottom w:type="dxa" w:w="60"/>
              <w:right w:type="dxa" w:w="100"/>
            </w:tcMar>
          </w:tcPr>
          <w:p>
            <w:r>
              <w:rPr>
                <w:b w:val="false"/>
                <w:bCs w:val="false"/>
                <w:color w:val="222222"/>
                <w:sz w:val="20"/>
                <w:szCs w:val="20"/>
              </w:rPr>
              <w:t xml:space="preserve">Application-agnostic</w:t>
            </w:r>
          </w:p>
        </w:tc>
        <w:tc>
          <w:tcPr>
            <w:tcMar>
              <w:top w:type="dxa" w:w="60"/>
              <w:left w:type="dxa" w:w="100"/>
              <w:bottom w:type="dxa" w:w="60"/>
              <w:right w:type="dxa" w:w="100"/>
            </w:tcMar>
          </w:tcPr>
          <w:p>
            <w:r>
              <w:rPr>
                <w:b w:val="false"/>
                <w:bCs w:val="false"/>
                <w:color w:val="222222"/>
                <w:sz w:val="20"/>
                <w:szCs w:val="20"/>
              </w:rPr>
              <w:t xml:space="preserve">Works on virtually any web application, proven on the hardest case</w:t>
            </w:r>
          </w:p>
        </w:tc>
      </w:tr>
    </w:tbl>
    <w:p>
      <w:pPr>
        <w:pStyle w:val="Heading1"/>
        <w:spacing w:after="120" w:before="280"/>
      </w:pPr>
      <w:r>
        <w:rPr>
          <w:b/>
          <w:bCs/>
          <w:color w:val="2E5F9E"/>
          <w:sz w:val="28"/>
          <w:szCs w:val="28"/>
        </w:rPr>
        <w:t xml:space="preserve">3. The Problem</w:t>
      </w:r>
    </w:p>
    <w:p>
      <w:pPr>
        <w:spacing w:after="120"/>
      </w:pPr>
      <w:r>
        <w:rPr>
          <w:sz w:val="22"/>
          <w:szCs w:val="22"/>
        </w:rPr>
        <w:t xml:space="preserve">Traditional test automation is slow and fragile, regardless of the application:</w:t>
      </w:r>
    </w:p>
    <w:p>
      <w:pPr>
        <w:pStyle w:val="ListParagraph"/>
        <w:numPr>
          <w:ilvl w:val="0"/>
          <w:numId w:val="1"/>
        </w:numPr>
        <w:spacing w:after="60"/>
      </w:pPr>
      <w:r>
        <w:rPr>
          <w:sz w:val="22"/>
          <w:szCs w:val="22"/>
        </w:rPr>
        <w:t xml:space="preserve">Manual test authoring takes 1–2 days per user story.</w:t>
      </w:r>
    </w:p>
    <w:p>
      <w:pPr>
        <w:pStyle w:val="ListParagraph"/>
        <w:numPr>
          <w:ilvl w:val="0"/>
          <w:numId w:val="1"/>
        </w:numPr>
        <w:spacing w:after="60"/>
      </w:pPr>
      <w:r>
        <w:rPr>
          <w:sz w:val="22"/>
          <w:szCs w:val="22"/>
        </w:rPr>
        <w:t xml:space="preserve">Locators break with every UI change, and fixing them consumes most of the automation effort.</w:t>
      </w:r>
    </w:p>
    <w:p>
      <w:pPr>
        <w:pStyle w:val="ListParagraph"/>
        <w:numPr>
          <w:ilvl w:val="0"/>
          <w:numId w:val="1"/>
        </w:numPr>
        <w:spacing w:after="60"/>
      </w:pPr>
      <w:r>
        <w:rPr>
          <w:sz w:val="22"/>
          <w:szCs w:val="22"/>
        </w:rPr>
        <w:t xml:space="preserve">Complex modern applications (single-page apps, Shadow DOM, iframes) defeat standard tooling.</w:t>
      </w:r>
    </w:p>
    <w:p>
      <w:pPr>
        <w:pStyle w:val="ListParagraph"/>
        <w:numPr>
          <w:ilvl w:val="0"/>
          <w:numId w:val="1"/>
        </w:numPr>
        <w:spacing w:after="60"/>
      </w:pPr>
      <w:r>
        <w:rPr>
          <w:sz w:val="22"/>
          <w:szCs w:val="22"/>
        </w:rPr>
        <w:t xml:space="preserve">Getting from a requirement to a working test involves multiple manual handoffs across several tools.</w:t>
      </w:r>
    </w:p>
    <w:p>
      <w:pPr>
        <w:spacing w:after="120"/>
      </w:pPr>
      <w:r>
        <w:rPr>
          <w:sz w:val="22"/>
          <w:szCs w:val="22"/>
        </w:rPr>
        <w:t xml:space="preserve">These challenges apply to any modern web application — customer portals, banking and insurance platforms, e-commerce, and enterprise systems alike.</w:t>
      </w:r>
    </w:p>
    <w:p>
      <w:pPr>
        <w:pStyle w:val="Heading1"/>
        <w:spacing w:after="120" w:before="280"/>
      </w:pPr>
      <w:r>
        <w:rPr>
          <w:b/>
          <w:bCs/>
          <w:color w:val="2E5F9E"/>
          <w:sz w:val="28"/>
          <w:szCs w:val="28"/>
        </w:rPr>
        <w:t xml:space="preserve">4. The Solution — A Complete, AI-Driven Lifecycle</w:t>
      </w:r>
    </w:p>
    <w:p>
      <w:pPr>
        <w:spacing w:after="120"/>
      </w:pPr>
      <w:r>
        <w:rPr>
          <w:sz w:val="22"/>
          <w:szCs w:val="22"/>
        </w:rPr>
        <w:t xml:space="preserve">The framework acts as an AI automation engineer that runs the full process end to end:</w:t>
      </w:r>
    </w:p>
    <w:p>
      <w:pPr>
        <w:pStyle w:val="ListParagraph"/>
        <w:numPr>
          <w:ilvl w:val="0"/>
          <w:numId w:val="1"/>
        </w:numPr>
        <w:spacing w:after="60"/>
      </w:pPr>
      <w:r>
        <w:rPr>
          <w:sz w:val="22"/>
          <w:szCs w:val="22"/>
        </w:rPr>
        <w:t xml:space="preserve">Reads the requirement — from a Jira User Story, an Azure DevOps Work Item, or a document.</w:t>
      </w:r>
    </w:p>
    <w:p>
      <w:pPr>
        <w:pStyle w:val="ListParagraph"/>
        <w:numPr>
          <w:ilvl w:val="0"/>
          <w:numId w:val="1"/>
        </w:numPr>
        <w:spacing w:after="60"/>
      </w:pPr>
      <w:r>
        <w:rPr>
          <w:sz w:val="22"/>
          <w:szCs w:val="22"/>
        </w:rPr>
        <w:t xml:space="preserve">Creates test cases — in Zephyr Scale (Jira) or as linked Test Case work items (Azure DevOps).</w:t>
      </w:r>
    </w:p>
    <w:p>
      <w:pPr>
        <w:pStyle w:val="ListParagraph"/>
        <w:numPr>
          <w:ilvl w:val="0"/>
          <w:numId w:val="1"/>
        </w:numPr>
        <w:spacing w:after="60"/>
      </w:pPr>
      <w:r>
        <w:rPr>
          <w:sz w:val="22"/>
          <w:szCs w:val="22"/>
        </w:rPr>
        <w:t xml:space="preserve">Generates detailed test steps — as business-readable Gherkin scenarios.</w:t>
      </w:r>
    </w:p>
    <w:p>
      <w:pPr>
        <w:pStyle w:val="ListParagraph"/>
        <w:numPr>
          <w:ilvl w:val="0"/>
          <w:numId w:val="1"/>
        </w:numPr>
        <w:spacing w:after="60"/>
      </w:pPr>
      <w:r>
        <w:rPr>
          <w:sz w:val="22"/>
          <w:szCs w:val="22"/>
        </w:rPr>
        <w:t xml:space="preserve">Discovers elements on the live application — AI navigates the real app and verifies each element by interacting with it.</w:t>
      </w:r>
    </w:p>
    <w:p>
      <w:pPr>
        <w:pStyle w:val="ListParagraph"/>
        <w:numPr>
          <w:ilvl w:val="0"/>
          <w:numId w:val="1"/>
        </w:numPr>
        <w:spacing w:after="60"/>
      </w:pPr>
      <w:r>
        <w:rPr>
          <w:sz w:val="22"/>
          <w:szCs w:val="22"/>
        </w:rPr>
        <w:t xml:space="preserve">Generates Playwright automation code — following the industry-standard Page Object Model.</w:t>
      </w:r>
    </w:p>
    <w:p>
      <w:pPr>
        <w:pStyle w:val="ListParagraph"/>
        <w:numPr>
          <w:ilvl w:val="0"/>
          <w:numId w:val="1"/>
        </w:numPr>
        <w:spacing w:after="60"/>
      </w:pPr>
      <w:r>
        <w:rPr>
          <w:sz w:val="22"/>
          <w:szCs w:val="22"/>
        </w:rPr>
        <w:t xml:space="preserve">Executes the tests — verifying success by creating a real record in the application.</w:t>
      </w:r>
    </w:p>
    <w:p>
      <w:pPr>
        <w:pStyle w:val="ListParagraph"/>
        <w:numPr>
          <w:ilvl w:val="0"/>
          <w:numId w:val="1"/>
        </w:numPr>
        <w:spacing w:after="60"/>
      </w:pPr>
      <w:r>
        <w:rPr>
          <w:sz w:val="22"/>
          <w:szCs w:val="22"/>
        </w:rPr>
        <w:t xml:space="preserve">Publishes results back — to Jira or Azure DevOps, including screenshots on failure.</w:t>
      </w:r>
    </w:p>
    <w:p>
      <w:pPr>
        <w:spacing w:after="120"/>
      </w:pPr>
      <w:r>
        <w:rPr>
          <w:b/>
          <w:bCs/>
          <w:sz w:val="22"/>
          <w:szCs w:val="22"/>
        </w:rPr>
        <w:t xml:space="preserve">This delivers complete traceability from requirement to result with minimal manual effort.</w:t>
      </w:r>
    </w:p>
    <w:p>
      <w:pPr>
        <w:pStyle w:val="Heading1"/>
        <w:spacing w:after="120" w:before="280"/>
      </w:pPr>
      <w:r>
        <w:rPr>
          <w:b/>
          <w:bCs/>
          <w:color w:val="2E5F9E"/>
          <w:sz w:val="28"/>
          <w:szCs w:val="28"/>
        </w:rPr>
        <w:t xml:space="preserve">5. Key Innovation — Self-Healing Locators</w:t>
      </w:r>
    </w:p>
    <w:p>
      <w:pPr>
        <w:spacing w:after="120"/>
      </w:pPr>
      <w:r>
        <w:rPr>
          <w:sz w:val="22"/>
          <w:szCs w:val="22"/>
        </w:rPr>
        <w:t xml:space="preserve">The breakthrough is that the framework does not guess how to find elements. It navigates the live application, inspects the real page (including Shadow DOM and iframes), and confirms each locator by actually using it.</w:t>
      </w:r>
    </w:p>
    <w:p>
      <w:pPr>
        <w:spacing w:after="120"/>
      </w:pPr>
      <w:r>
        <w:rPr>
          <w:sz w:val="22"/>
          <w:szCs w:val="22"/>
        </w:rPr>
        <w:t xml:space="preserve">When the UI changes and a locator breaks, the framework re-inspects the live page and repairs itself — dramatically reducing the maintenance burden that normally dominates automation work.</w:t>
      </w:r>
    </w:p>
    <w:tbl>
      <w:tblPr>
        <w:tblW w:type="pct" w:w="100%"/>
        <w:tblBorders>
          <w:top w:val="single" w:color="D0D7E2" w:sz="2"/>
          <w:left w:val="single" w:color="D0D7E2" w:sz="2"/>
          <w:bottom w:val="single" w:color="D0D7E2" w:sz="2"/>
          <w:right w:val="single" w:color="D0D7E2" w:sz="2"/>
          <w:insideH w:val="single" w:color="D0D7E2" w:sz="2"/>
          <w:insideV w:val="single" w:color="D0D7E2" w:sz="2"/>
        </w:tblBorders>
      </w:tblPr>
      <w:tblGrid>
        <w:gridCol w:w="100"/>
        <w:gridCol w:w="100"/>
      </w:tblGrid>
      <w:tr>
        <w:trPr>
          <w:tblHeader/>
        </w:trPr>
        <w:tc>
          <w:tcPr>
            <w:shd w:fill="2E5F9E" w:color="auto" w:val="clear"/>
            <w:tcMar>
              <w:top w:type="dxa" w:w="60"/>
              <w:left w:type="dxa" w:w="100"/>
              <w:bottom w:type="dxa" w:w="60"/>
              <w:right w:type="dxa" w:w="100"/>
            </w:tcMar>
          </w:tcPr>
          <w:p>
            <w:r>
              <w:rPr>
                <w:b/>
                <w:bCs/>
                <w:color w:val="FFFFFF"/>
                <w:sz w:val="20"/>
                <w:szCs w:val="20"/>
              </w:rPr>
              <w:t xml:space="preserve">Traditional Approach</w:t>
            </w:r>
          </w:p>
        </w:tc>
        <w:tc>
          <w:tcPr>
            <w:shd w:fill="2E5F9E" w:color="auto" w:val="clear"/>
            <w:tcMar>
              <w:top w:type="dxa" w:w="60"/>
              <w:left w:type="dxa" w:w="100"/>
              <w:bottom w:type="dxa" w:w="60"/>
              <w:right w:type="dxa" w:w="100"/>
            </w:tcMar>
          </w:tcPr>
          <w:p>
            <w:r>
              <w:rPr>
                <w:b/>
                <w:bCs/>
                <w:color w:val="FFFFFF"/>
                <w:sz w:val="20"/>
                <w:szCs w:val="20"/>
              </w:rPr>
              <w:t xml:space="preserve">Our Approach</w:t>
            </w:r>
          </w:p>
        </w:tc>
      </w:tr>
      <w:tr>
        <w:tc>
          <w:tcPr>
            <w:tcMar>
              <w:top w:type="dxa" w:w="60"/>
              <w:left w:type="dxa" w:w="100"/>
              <w:bottom w:type="dxa" w:w="60"/>
              <w:right w:type="dxa" w:w="100"/>
            </w:tcMar>
          </w:tcPr>
          <w:p>
            <w:r>
              <w:rPr>
                <w:b w:val="false"/>
                <w:bCs w:val="false"/>
                <w:color w:val="222222"/>
                <w:sz w:val="20"/>
                <w:szCs w:val="20"/>
              </w:rPr>
              <w:t xml:space="preserve">Guess locators from developer tools</w:t>
            </w:r>
          </w:p>
        </w:tc>
        <w:tc>
          <w:tcPr>
            <w:tcMar>
              <w:top w:type="dxa" w:w="60"/>
              <w:left w:type="dxa" w:w="100"/>
              <w:bottom w:type="dxa" w:w="60"/>
              <w:right w:type="dxa" w:w="100"/>
            </w:tcMar>
          </w:tcPr>
          <w:p>
            <w:r>
              <w:rPr>
                <w:b w:val="false"/>
                <w:bCs w:val="false"/>
                <w:color w:val="222222"/>
                <w:sz w:val="20"/>
                <w:szCs w:val="20"/>
              </w:rPr>
              <w:t xml:space="preserve">AI interacts with the live page</w:t>
            </w:r>
          </w:p>
        </w:tc>
      </w:tr>
      <w:tr>
        <w:tc>
          <w:tcPr>
            <w:shd w:fill="F2F5FA" w:color="auto" w:val="clear"/>
            <w:tcMar>
              <w:top w:type="dxa" w:w="60"/>
              <w:left w:type="dxa" w:w="100"/>
              <w:bottom w:type="dxa" w:w="60"/>
              <w:right w:type="dxa" w:w="100"/>
            </w:tcMar>
          </w:tcPr>
          <w:p>
            <w:r>
              <w:rPr>
                <w:b w:val="false"/>
                <w:bCs w:val="false"/>
                <w:color w:val="222222"/>
                <w:sz w:val="20"/>
                <w:szCs w:val="20"/>
              </w:rPr>
              <w:t xml:space="preserve">Struggles with Shadow DOM and complex apps</w:t>
            </w:r>
          </w:p>
        </w:tc>
        <w:tc>
          <w:tcPr>
            <w:shd w:fill="F2F5FA" w:color="auto" w:val="clear"/>
            <w:tcMar>
              <w:top w:type="dxa" w:w="60"/>
              <w:left w:type="dxa" w:w="100"/>
              <w:bottom w:type="dxa" w:w="60"/>
              <w:right w:type="dxa" w:w="100"/>
            </w:tcMar>
          </w:tcPr>
          <w:p>
            <w:r>
              <w:rPr>
                <w:b w:val="false"/>
                <w:bCs w:val="false"/>
                <w:color w:val="222222"/>
                <w:sz w:val="20"/>
                <w:szCs w:val="20"/>
              </w:rPr>
              <w:t xml:space="preserve">Handles Shadow DOM, iframes, dynamic content</w:t>
            </w:r>
          </w:p>
        </w:tc>
      </w:tr>
      <w:tr>
        <w:tc>
          <w:tcPr>
            <w:tcMar>
              <w:top w:type="dxa" w:w="60"/>
              <w:left w:type="dxa" w:w="100"/>
              <w:bottom w:type="dxa" w:w="60"/>
              <w:right w:type="dxa" w:w="100"/>
            </w:tcMar>
          </w:tcPr>
          <w:p>
            <w:r>
              <w:rPr>
                <w:b w:val="false"/>
                <w:bCs w:val="false"/>
                <w:color w:val="222222"/>
                <w:sz w:val="20"/>
                <w:szCs w:val="20"/>
              </w:rPr>
              <w:t xml:space="preserve">Breaks on UI changes</w:t>
            </w:r>
          </w:p>
        </w:tc>
        <w:tc>
          <w:tcPr>
            <w:tcMar>
              <w:top w:type="dxa" w:w="60"/>
              <w:left w:type="dxa" w:w="100"/>
              <w:bottom w:type="dxa" w:w="60"/>
              <w:right w:type="dxa" w:w="100"/>
            </w:tcMar>
          </w:tcPr>
          <w:p>
            <w:r>
              <w:rPr>
                <w:b w:val="false"/>
                <w:bCs w:val="false"/>
                <w:color w:val="222222"/>
                <w:sz w:val="20"/>
                <w:szCs w:val="20"/>
              </w:rPr>
              <w:t xml:space="preserve">Self-heals by re-inspecting</w:t>
            </w:r>
          </w:p>
        </w:tc>
      </w:tr>
      <w:tr>
        <w:tc>
          <w:tcPr>
            <w:shd w:fill="F2F5FA" w:color="auto" w:val="clear"/>
            <w:tcMar>
              <w:top w:type="dxa" w:w="60"/>
              <w:left w:type="dxa" w:w="100"/>
              <w:bottom w:type="dxa" w:w="60"/>
              <w:right w:type="dxa" w:w="100"/>
            </w:tcMar>
          </w:tcPr>
          <w:p>
            <w:r>
              <w:rPr>
                <w:b w:val="false"/>
                <w:bCs w:val="false"/>
                <w:color w:val="222222"/>
                <w:sz w:val="20"/>
                <w:szCs w:val="20"/>
              </w:rPr>
              <w:t xml:space="preserve">Manual fixes needed</w:t>
            </w:r>
          </w:p>
        </w:tc>
        <w:tc>
          <w:tcPr>
            <w:shd w:fill="F2F5FA" w:color="auto" w:val="clear"/>
            <w:tcMar>
              <w:top w:type="dxa" w:w="60"/>
              <w:left w:type="dxa" w:w="100"/>
              <w:bottom w:type="dxa" w:w="60"/>
              <w:right w:type="dxa" w:w="100"/>
            </w:tcMar>
          </w:tcPr>
          <w:p>
            <w:r>
              <w:rPr>
                <w:b w:val="false"/>
                <w:bCs w:val="false"/>
                <w:color w:val="222222"/>
                <w:sz w:val="20"/>
                <w:szCs w:val="20"/>
              </w:rPr>
              <w:t xml:space="preserve">Automatically finds working alternatives</w:t>
            </w:r>
          </w:p>
        </w:tc>
      </w:tr>
    </w:tbl>
    <w:p>
      <w:pPr>
        <w:pStyle w:val="Heading1"/>
        <w:spacing w:after="120" w:before="280"/>
      </w:pPr>
      <w:r>
        <w:rPr>
          <w:b/>
          <w:bCs/>
          <w:color w:val="2E5F9E"/>
          <w:sz w:val="28"/>
          <w:szCs w:val="28"/>
        </w:rPr>
        <w:t xml:space="preserve">6. Proof of Value — Salesforce Case Study</w:t>
      </w:r>
    </w:p>
    <w:p>
      <w:pPr>
        <w:spacing w:after="120"/>
      </w:pPr>
      <w:r>
        <w:rPr>
          <w:sz w:val="22"/>
          <w:szCs w:val="22"/>
        </w:rPr>
        <w:t xml:space="preserve">We deliberately chose Salesforce Experience Cloud because it represents a worst-case difficulty for automation: deeply nested Shadow DOM, dynamic dependent form fields, custom dropdowns with no accessible text, and constant background network activity.</w:t>
      </w:r>
    </w:p>
    <w:p>
      <w:pPr>
        <w:spacing w:after="120"/>
      </w:pPr>
      <w:r>
        <w:rPr>
          <w:sz w:val="22"/>
          <w:szCs w:val="22"/>
        </w:rPr>
        <w:t xml:space="preserve">Business workflows automated end-to-end:</w:t>
      </w:r>
    </w:p>
    <w:tbl>
      <w:tblPr>
        <w:tblW w:type="pct" w:w="100%"/>
        <w:tblBorders>
          <w:top w:val="single" w:color="D0D7E2" w:sz="2"/>
          <w:left w:val="single" w:color="D0D7E2" w:sz="2"/>
          <w:bottom w:val="single" w:color="D0D7E2" w:sz="2"/>
          <w:right w:val="single" w:color="D0D7E2" w:sz="2"/>
          <w:insideH w:val="single" w:color="D0D7E2" w:sz="2"/>
          <w:insideV w:val="single" w:color="D0D7E2" w:sz="2"/>
        </w:tblBorders>
      </w:tblPr>
      <w:tblGrid>
        <w:gridCol w:w="100"/>
        <w:gridCol w:w="100"/>
        <w:gridCol w:w="100"/>
      </w:tblGrid>
      <w:tr>
        <w:trPr>
          <w:tblHeader/>
        </w:trPr>
        <w:tc>
          <w:tcPr>
            <w:shd w:fill="2E5F9E" w:color="auto" w:val="clear"/>
            <w:tcMar>
              <w:top w:type="dxa" w:w="60"/>
              <w:left w:type="dxa" w:w="100"/>
              <w:bottom w:type="dxa" w:w="60"/>
              <w:right w:type="dxa" w:w="100"/>
            </w:tcMar>
          </w:tcPr>
          <w:p>
            <w:r>
              <w:rPr>
                <w:b/>
                <w:bCs/>
                <w:color w:val="FFFFFF"/>
                <w:sz w:val="20"/>
                <w:szCs w:val="20"/>
              </w:rPr>
              <w:t xml:space="preserve">Scenario</w:t>
            </w:r>
          </w:p>
        </w:tc>
        <w:tc>
          <w:tcPr>
            <w:shd w:fill="2E5F9E" w:color="auto" w:val="clear"/>
            <w:tcMar>
              <w:top w:type="dxa" w:w="60"/>
              <w:left w:type="dxa" w:w="100"/>
              <w:bottom w:type="dxa" w:w="60"/>
              <w:right w:type="dxa" w:w="100"/>
            </w:tcMar>
          </w:tcPr>
          <w:p>
            <w:r>
              <w:rPr>
                <w:b/>
                <w:bCs/>
                <w:color w:val="FFFFFF"/>
                <w:sz w:val="20"/>
                <w:szCs w:val="20"/>
              </w:rPr>
              <w:t xml:space="preserve">Source</w:t>
            </w:r>
          </w:p>
        </w:tc>
        <w:tc>
          <w:tcPr>
            <w:shd w:fill="2E5F9E" w:color="auto" w:val="clear"/>
            <w:tcMar>
              <w:top w:type="dxa" w:w="60"/>
              <w:left w:type="dxa" w:w="100"/>
              <w:bottom w:type="dxa" w:w="60"/>
              <w:right w:type="dxa" w:w="100"/>
            </w:tcMar>
          </w:tcPr>
          <w:p>
            <w:r>
              <w:rPr>
                <w:b/>
                <w:bCs/>
                <w:color w:val="FFFFFF"/>
                <w:sz w:val="20"/>
                <w:szCs w:val="20"/>
              </w:rPr>
              <w:t xml:space="preserve">Status</w:t>
            </w:r>
          </w:p>
        </w:tc>
      </w:tr>
      <w:tr>
        <w:tc>
          <w:tcPr>
            <w:tcMar>
              <w:top w:type="dxa" w:w="60"/>
              <w:left w:type="dxa" w:w="100"/>
              <w:bottom w:type="dxa" w:w="60"/>
              <w:right w:type="dxa" w:w="100"/>
            </w:tcMar>
          </w:tcPr>
          <w:p>
            <w:r>
              <w:rPr>
                <w:b w:val="false"/>
                <w:bCs w:val="false"/>
                <w:color w:val="222222"/>
                <w:sz w:val="20"/>
                <w:szCs w:val="20"/>
              </w:rPr>
              <w:t xml:space="preserve">Incident Creation</w:t>
            </w:r>
          </w:p>
        </w:tc>
        <w:tc>
          <w:tcPr>
            <w:tcMar>
              <w:top w:type="dxa" w:w="60"/>
              <w:left w:type="dxa" w:w="100"/>
              <w:bottom w:type="dxa" w:w="60"/>
              <w:right w:type="dxa" w:w="100"/>
            </w:tcMar>
          </w:tcPr>
          <w:p>
            <w:r>
              <w:rPr>
                <w:b w:val="false"/>
                <w:bCs w:val="false"/>
                <w:color w:val="222222"/>
                <w:sz w:val="20"/>
                <w:szCs w:val="20"/>
              </w:rPr>
              <w:t xml:space="preserve">Jira ticket</w:t>
            </w:r>
          </w:p>
        </w:tc>
        <w:tc>
          <w:tcPr>
            <w:tcMar>
              <w:top w:type="dxa" w:w="60"/>
              <w:left w:type="dxa" w:w="100"/>
              <w:bottom w:type="dxa" w:w="60"/>
              <w:right w:type="dxa" w:w="100"/>
            </w:tcMar>
          </w:tcPr>
          <w:p>
            <w:r>
              <w:rPr>
                <w:b w:val="false"/>
                <w:bCs w:val="false"/>
                <w:color w:val="222222"/>
                <w:sz w:val="20"/>
                <w:szCs w:val="20"/>
              </w:rPr>
              <w:t xml:space="preserve">Passing</w:t>
            </w:r>
          </w:p>
        </w:tc>
      </w:tr>
      <w:tr>
        <w:tc>
          <w:tcPr>
            <w:shd w:fill="F2F5FA" w:color="auto" w:val="clear"/>
            <w:tcMar>
              <w:top w:type="dxa" w:w="60"/>
              <w:left w:type="dxa" w:w="100"/>
              <w:bottom w:type="dxa" w:w="60"/>
              <w:right w:type="dxa" w:w="100"/>
            </w:tcMar>
          </w:tcPr>
          <w:p>
            <w:r>
              <w:rPr>
                <w:b w:val="false"/>
                <w:bCs w:val="false"/>
                <w:color w:val="222222"/>
                <w:sz w:val="20"/>
                <w:szCs w:val="20"/>
              </w:rPr>
              <w:t xml:space="preserve">Certificate of Insurance Request</w:t>
            </w:r>
          </w:p>
        </w:tc>
        <w:tc>
          <w:tcPr>
            <w:shd w:fill="F2F5FA" w:color="auto" w:val="clear"/>
            <w:tcMar>
              <w:top w:type="dxa" w:w="60"/>
              <w:left w:type="dxa" w:w="100"/>
              <w:bottom w:type="dxa" w:w="60"/>
              <w:right w:type="dxa" w:w="100"/>
            </w:tcMar>
          </w:tcPr>
          <w:p>
            <w:r>
              <w:rPr>
                <w:b w:val="false"/>
                <w:bCs w:val="false"/>
                <w:color w:val="222222"/>
                <w:sz w:val="20"/>
                <w:szCs w:val="20"/>
              </w:rPr>
              <w:t xml:space="preserve">Jira ticket</w:t>
            </w:r>
          </w:p>
        </w:tc>
        <w:tc>
          <w:tcPr>
            <w:shd w:fill="F2F5FA" w:color="auto" w:val="clear"/>
            <w:tcMar>
              <w:top w:type="dxa" w:w="60"/>
              <w:left w:type="dxa" w:w="100"/>
              <w:bottom w:type="dxa" w:w="60"/>
              <w:right w:type="dxa" w:w="100"/>
            </w:tcMar>
          </w:tcPr>
          <w:p>
            <w:r>
              <w:rPr>
                <w:b w:val="false"/>
                <w:bCs w:val="false"/>
                <w:color w:val="222222"/>
                <w:sz w:val="20"/>
                <w:szCs w:val="20"/>
              </w:rPr>
              <w:t xml:space="preserve">Passing</w:t>
            </w:r>
          </w:p>
        </w:tc>
      </w:tr>
      <w:tr>
        <w:tc>
          <w:tcPr>
            <w:tcMar>
              <w:top w:type="dxa" w:w="60"/>
              <w:left w:type="dxa" w:w="100"/>
              <w:bottom w:type="dxa" w:w="60"/>
              <w:right w:type="dxa" w:w="100"/>
            </w:tcMar>
          </w:tcPr>
          <w:p>
            <w:r>
              <w:rPr>
                <w:b w:val="false"/>
                <w:bCs w:val="false"/>
                <w:color w:val="222222"/>
                <w:sz w:val="20"/>
                <w:szCs w:val="20"/>
              </w:rPr>
              <w:t xml:space="preserve">Expense Request</w:t>
            </w:r>
          </w:p>
        </w:tc>
        <w:tc>
          <w:tcPr>
            <w:tcMar>
              <w:top w:type="dxa" w:w="60"/>
              <w:left w:type="dxa" w:w="100"/>
              <w:bottom w:type="dxa" w:w="60"/>
              <w:right w:type="dxa" w:w="100"/>
            </w:tcMar>
          </w:tcPr>
          <w:p>
            <w:r>
              <w:rPr>
                <w:b w:val="false"/>
                <w:bCs w:val="false"/>
                <w:color w:val="222222"/>
                <w:sz w:val="20"/>
                <w:szCs w:val="20"/>
              </w:rPr>
              <w:t xml:space="preserve">Document</w:t>
            </w:r>
          </w:p>
        </w:tc>
        <w:tc>
          <w:tcPr>
            <w:tcMar>
              <w:top w:type="dxa" w:w="60"/>
              <w:left w:type="dxa" w:w="100"/>
              <w:bottom w:type="dxa" w:w="60"/>
              <w:right w:type="dxa" w:w="100"/>
            </w:tcMar>
          </w:tcPr>
          <w:p>
            <w:r>
              <w:rPr>
                <w:b w:val="false"/>
                <w:bCs w:val="false"/>
                <w:color w:val="222222"/>
                <w:sz w:val="20"/>
                <w:szCs w:val="20"/>
              </w:rPr>
              <w:t xml:space="preserve">Passing</w:t>
            </w:r>
          </w:p>
        </w:tc>
      </w:tr>
      <w:tr>
        <w:tc>
          <w:tcPr>
            <w:shd w:fill="F2F5FA" w:color="auto" w:val="clear"/>
            <w:tcMar>
              <w:top w:type="dxa" w:w="60"/>
              <w:left w:type="dxa" w:w="100"/>
              <w:bottom w:type="dxa" w:w="60"/>
              <w:right w:type="dxa" w:w="100"/>
            </w:tcMar>
          </w:tcPr>
          <w:p>
            <w:r>
              <w:rPr>
                <w:b w:val="false"/>
                <w:bCs w:val="false"/>
                <w:color w:val="222222"/>
                <w:sz w:val="20"/>
                <w:szCs w:val="20"/>
              </w:rPr>
              <w:t xml:space="preserve">Request Assessments</w:t>
            </w:r>
          </w:p>
        </w:tc>
        <w:tc>
          <w:tcPr>
            <w:shd w:fill="F2F5FA" w:color="auto" w:val="clear"/>
            <w:tcMar>
              <w:top w:type="dxa" w:w="60"/>
              <w:left w:type="dxa" w:w="100"/>
              <w:bottom w:type="dxa" w:w="60"/>
              <w:right w:type="dxa" w:w="100"/>
            </w:tcMar>
          </w:tcPr>
          <w:p>
            <w:r>
              <w:rPr>
                <w:b w:val="false"/>
                <w:bCs w:val="false"/>
                <w:color w:val="222222"/>
                <w:sz w:val="20"/>
                <w:szCs w:val="20"/>
              </w:rPr>
              <w:t xml:space="preserve">Document</w:t>
            </w:r>
          </w:p>
        </w:tc>
        <w:tc>
          <w:tcPr>
            <w:shd w:fill="F2F5FA" w:color="auto" w:val="clear"/>
            <w:tcMar>
              <w:top w:type="dxa" w:w="60"/>
              <w:left w:type="dxa" w:w="100"/>
              <w:bottom w:type="dxa" w:w="60"/>
              <w:right w:type="dxa" w:w="100"/>
            </w:tcMar>
          </w:tcPr>
          <w:p>
            <w:r>
              <w:rPr>
                <w:b w:val="false"/>
                <w:bCs w:val="false"/>
                <w:color w:val="222222"/>
                <w:sz w:val="20"/>
                <w:szCs w:val="20"/>
              </w:rPr>
              <w:t xml:space="preserve">Passing</w:t>
            </w:r>
          </w:p>
        </w:tc>
      </w:tr>
      <w:tr>
        <w:tc>
          <w:tcPr>
            <w:tcMar>
              <w:top w:type="dxa" w:w="60"/>
              <w:left w:type="dxa" w:w="100"/>
              <w:bottom w:type="dxa" w:w="60"/>
              <w:right w:type="dxa" w:w="100"/>
            </w:tcMar>
          </w:tcPr>
          <w:p>
            <w:r>
              <w:rPr>
                <w:b w:val="false"/>
                <w:bCs w:val="false"/>
                <w:color w:val="222222"/>
                <w:sz w:val="20"/>
                <w:szCs w:val="20"/>
              </w:rPr>
              <w:t xml:space="preserve">Facilities Request</w:t>
            </w:r>
          </w:p>
        </w:tc>
        <w:tc>
          <w:tcPr>
            <w:tcMar>
              <w:top w:type="dxa" w:w="60"/>
              <w:left w:type="dxa" w:w="100"/>
              <w:bottom w:type="dxa" w:w="60"/>
              <w:right w:type="dxa" w:w="100"/>
            </w:tcMar>
          </w:tcPr>
          <w:p>
            <w:r>
              <w:rPr>
                <w:b w:val="false"/>
                <w:bCs w:val="false"/>
                <w:color w:val="222222"/>
                <w:sz w:val="20"/>
                <w:szCs w:val="20"/>
              </w:rPr>
              <w:t xml:space="preserve">Document</w:t>
            </w:r>
          </w:p>
        </w:tc>
        <w:tc>
          <w:tcPr>
            <w:tcMar>
              <w:top w:type="dxa" w:w="60"/>
              <w:left w:type="dxa" w:w="100"/>
              <w:bottom w:type="dxa" w:w="60"/>
              <w:right w:type="dxa" w:w="100"/>
            </w:tcMar>
          </w:tcPr>
          <w:p>
            <w:r>
              <w:rPr>
                <w:b w:val="false"/>
                <w:bCs w:val="false"/>
                <w:color w:val="222222"/>
                <w:sz w:val="20"/>
                <w:szCs w:val="20"/>
              </w:rPr>
              <w:t xml:space="preserve">Passing</w:t>
            </w:r>
          </w:p>
        </w:tc>
      </w:tr>
      <w:tr>
        <w:tc>
          <w:tcPr>
            <w:shd w:fill="F2F5FA" w:color="auto" w:val="clear"/>
            <w:tcMar>
              <w:top w:type="dxa" w:w="60"/>
              <w:left w:type="dxa" w:w="100"/>
              <w:bottom w:type="dxa" w:w="60"/>
              <w:right w:type="dxa" w:w="100"/>
            </w:tcMar>
          </w:tcPr>
          <w:p>
            <w:r>
              <w:rPr>
                <w:b w:val="false"/>
                <w:bCs w:val="false"/>
                <w:color w:val="222222"/>
                <w:sz w:val="20"/>
                <w:szCs w:val="20"/>
              </w:rPr>
              <w:t xml:space="preserve">Security Exception Request</w:t>
            </w:r>
          </w:p>
        </w:tc>
        <w:tc>
          <w:tcPr>
            <w:shd w:fill="F2F5FA" w:color="auto" w:val="clear"/>
            <w:tcMar>
              <w:top w:type="dxa" w:w="60"/>
              <w:left w:type="dxa" w:w="100"/>
              <w:bottom w:type="dxa" w:w="60"/>
              <w:right w:type="dxa" w:w="100"/>
            </w:tcMar>
          </w:tcPr>
          <w:p>
            <w:r>
              <w:rPr>
                <w:b w:val="false"/>
                <w:bCs w:val="false"/>
                <w:color w:val="222222"/>
                <w:sz w:val="20"/>
                <w:szCs w:val="20"/>
              </w:rPr>
              <w:t xml:space="preserve">Jira ticket</w:t>
            </w:r>
          </w:p>
        </w:tc>
        <w:tc>
          <w:tcPr>
            <w:shd w:fill="F2F5FA" w:color="auto" w:val="clear"/>
            <w:tcMar>
              <w:top w:type="dxa" w:w="60"/>
              <w:left w:type="dxa" w:w="100"/>
              <w:bottom w:type="dxa" w:w="60"/>
              <w:right w:type="dxa" w:w="100"/>
            </w:tcMar>
          </w:tcPr>
          <w:p>
            <w:r>
              <w:rPr>
                <w:b w:val="false"/>
                <w:bCs w:val="false"/>
                <w:color w:val="222222"/>
                <w:sz w:val="20"/>
                <w:szCs w:val="20"/>
              </w:rPr>
              <w:t xml:space="preserve">Passing</w:t>
            </w:r>
          </w:p>
        </w:tc>
      </w:tr>
    </w:tbl>
    <w:p>
      <w:pPr>
        <w:spacing w:after="120"/>
      </w:pPr>
      <w:r>
        <w:rPr>
          <w:b/>
          <w:bCs/>
          <w:sz w:val="22"/>
          <w:szCs w:val="22"/>
        </w:rPr>
        <w:t xml:space="preserve">The takeaway: if the framework handles Salesforce, it can handle virtually any web application.</w:t>
      </w:r>
    </w:p>
    <w:p>
      <w:pPr>
        <w:pStyle w:val="Heading1"/>
        <w:spacing w:after="120" w:before="280"/>
      </w:pPr>
      <w:r>
        <w:rPr>
          <w:b/>
          <w:bCs/>
          <w:color w:val="2E5F9E"/>
          <w:sz w:val="28"/>
          <w:szCs w:val="28"/>
        </w:rPr>
        <w:t xml:space="preserve">7. Business Impact</w:t>
      </w:r>
    </w:p>
    <w:tbl>
      <w:tblPr>
        <w:tblW w:type="pct" w:w="100%"/>
        <w:tblBorders>
          <w:top w:val="single" w:color="D0D7E2" w:sz="2"/>
          <w:left w:val="single" w:color="D0D7E2" w:sz="2"/>
          <w:bottom w:val="single" w:color="D0D7E2" w:sz="2"/>
          <w:right w:val="single" w:color="D0D7E2" w:sz="2"/>
          <w:insideH w:val="single" w:color="D0D7E2" w:sz="2"/>
          <w:insideV w:val="single" w:color="D0D7E2" w:sz="2"/>
        </w:tblBorders>
      </w:tblPr>
      <w:tblGrid>
        <w:gridCol w:w="100"/>
        <w:gridCol w:w="100"/>
        <w:gridCol w:w="100"/>
        <w:gridCol w:w="100"/>
      </w:tblGrid>
      <w:tr>
        <w:trPr>
          <w:tblHeader/>
        </w:trPr>
        <w:tc>
          <w:tcPr>
            <w:shd w:fill="2E5F9E" w:color="auto" w:val="clear"/>
            <w:tcMar>
              <w:top w:type="dxa" w:w="60"/>
              <w:left w:type="dxa" w:w="100"/>
              <w:bottom w:type="dxa" w:w="60"/>
              <w:right w:type="dxa" w:w="100"/>
            </w:tcMar>
          </w:tcPr>
          <w:p>
            <w:r>
              <w:rPr>
                <w:b/>
                <w:bCs/>
                <w:color w:val="FFFFFF"/>
                <w:sz w:val="20"/>
                <w:szCs w:val="20"/>
              </w:rPr>
              <w:t xml:space="preserve">Activity</w:t>
            </w:r>
          </w:p>
        </w:tc>
        <w:tc>
          <w:tcPr>
            <w:shd w:fill="2E5F9E" w:color="auto" w:val="clear"/>
            <w:tcMar>
              <w:top w:type="dxa" w:w="60"/>
              <w:left w:type="dxa" w:w="100"/>
              <w:bottom w:type="dxa" w:w="60"/>
              <w:right w:type="dxa" w:w="100"/>
            </w:tcMar>
          </w:tcPr>
          <w:p>
            <w:r>
              <w:rPr>
                <w:b/>
                <w:bCs/>
                <w:color w:val="FFFFFF"/>
                <w:sz w:val="20"/>
                <w:szCs w:val="20"/>
              </w:rPr>
              <w:t xml:space="preserve">Traditional</w:t>
            </w:r>
          </w:p>
        </w:tc>
        <w:tc>
          <w:tcPr>
            <w:shd w:fill="2E5F9E" w:color="auto" w:val="clear"/>
            <w:tcMar>
              <w:top w:type="dxa" w:w="60"/>
              <w:left w:type="dxa" w:w="100"/>
              <w:bottom w:type="dxa" w:w="60"/>
              <w:right w:type="dxa" w:w="100"/>
            </w:tcMar>
          </w:tcPr>
          <w:p>
            <w:r>
              <w:rPr>
                <w:b/>
                <w:bCs/>
                <w:color w:val="FFFFFF"/>
                <w:sz w:val="20"/>
                <w:szCs w:val="20"/>
              </w:rPr>
              <w:t xml:space="preserve">AI-Driven</w:t>
            </w:r>
          </w:p>
        </w:tc>
        <w:tc>
          <w:tcPr>
            <w:shd w:fill="2E5F9E" w:color="auto" w:val="clear"/>
            <w:tcMar>
              <w:top w:type="dxa" w:w="60"/>
              <w:left w:type="dxa" w:w="100"/>
              <w:bottom w:type="dxa" w:w="60"/>
              <w:right w:type="dxa" w:w="100"/>
            </w:tcMar>
          </w:tcPr>
          <w:p>
            <w:r>
              <w:rPr>
                <w:b/>
                <w:bCs/>
                <w:color w:val="FFFFFF"/>
                <w:sz w:val="20"/>
                <w:szCs w:val="20"/>
              </w:rPr>
              <w:t xml:space="preserve">Improvement</w:t>
            </w:r>
          </w:p>
        </w:tc>
      </w:tr>
      <w:tr>
        <w:tc>
          <w:tcPr>
            <w:tcMar>
              <w:top w:type="dxa" w:w="60"/>
              <w:left w:type="dxa" w:w="100"/>
              <w:bottom w:type="dxa" w:w="60"/>
              <w:right w:type="dxa" w:w="100"/>
            </w:tcMar>
          </w:tcPr>
          <w:p>
            <w:r>
              <w:rPr>
                <w:b w:val="false"/>
                <w:bCs w:val="false"/>
                <w:color w:val="222222"/>
                <w:sz w:val="20"/>
                <w:szCs w:val="20"/>
              </w:rPr>
              <w:t xml:space="preserve">Understand requirement</w:t>
            </w:r>
          </w:p>
        </w:tc>
        <w:tc>
          <w:tcPr>
            <w:tcMar>
              <w:top w:type="dxa" w:w="60"/>
              <w:left w:type="dxa" w:w="100"/>
              <w:bottom w:type="dxa" w:w="60"/>
              <w:right w:type="dxa" w:w="100"/>
            </w:tcMar>
          </w:tcPr>
          <w:p>
            <w:r>
              <w:rPr>
                <w:b w:val="false"/>
                <w:bCs w:val="false"/>
                <w:color w:val="222222"/>
                <w:sz w:val="20"/>
                <w:szCs w:val="20"/>
              </w:rPr>
              <w:t xml:space="preserve">30 min</w:t>
            </w:r>
          </w:p>
        </w:tc>
        <w:tc>
          <w:tcPr>
            <w:tcMar>
              <w:top w:type="dxa" w:w="60"/>
              <w:left w:type="dxa" w:w="100"/>
              <w:bottom w:type="dxa" w:w="60"/>
              <w:right w:type="dxa" w:w="100"/>
            </w:tcMar>
          </w:tcPr>
          <w:p>
            <w:r>
              <w:rPr>
                <w:b w:val="false"/>
                <w:bCs w:val="false"/>
                <w:color w:val="222222"/>
                <w:sz w:val="20"/>
                <w:szCs w:val="20"/>
              </w:rPr>
              <w:t xml:space="preserve">seconds</w:t>
            </w:r>
          </w:p>
        </w:tc>
        <w:tc>
          <w:tcPr>
            <w:tcMar>
              <w:top w:type="dxa" w:w="60"/>
              <w:left w:type="dxa" w:w="100"/>
              <w:bottom w:type="dxa" w:w="60"/>
              <w:right w:type="dxa" w:w="100"/>
            </w:tcMar>
          </w:tcPr>
          <w:p>
            <w:r>
              <w:rPr>
                <w:b w:val="false"/>
                <w:bCs w:val="false"/>
                <w:color w:val="222222"/>
                <w:sz w:val="20"/>
                <w:szCs w:val="20"/>
              </w:rPr>
              <w:t xml:space="preserve">~99%</w:t>
            </w:r>
          </w:p>
        </w:tc>
      </w:tr>
      <w:tr>
        <w:tc>
          <w:tcPr>
            <w:shd w:fill="F2F5FA" w:color="auto" w:val="clear"/>
            <w:tcMar>
              <w:top w:type="dxa" w:w="60"/>
              <w:left w:type="dxa" w:w="100"/>
              <w:bottom w:type="dxa" w:w="60"/>
              <w:right w:type="dxa" w:w="100"/>
            </w:tcMar>
          </w:tcPr>
          <w:p>
            <w:r>
              <w:rPr>
                <w:b w:val="false"/>
                <w:bCs w:val="false"/>
                <w:color w:val="222222"/>
                <w:sz w:val="20"/>
                <w:szCs w:val="20"/>
              </w:rPr>
              <w:t xml:space="preserve">Create test cases</w:t>
            </w:r>
          </w:p>
        </w:tc>
        <w:tc>
          <w:tcPr>
            <w:shd w:fill="F2F5FA" w:color="auto" w:val="clear"/>
            <w:tcMar>
              <w:top w:type="dxa" w:w="60"/>
              <w:left w:type="dxa" w:w="100"/>
              <w:bottom w:type="dxa" w:w="60"/>
              <w:right w:type="dxa" w:w="100"/>
            </w:tcMar>
          </w:tcPr>
          <w:p>
            <w:r>
              <w:rPr>
                <w:b w:val="false"/>
                <w:bCs w:val="false"/>
                <w:color w:val="222222"/>
                <w:sz w:val="20"/>
                <w:szCs w:val="20"/>
              </w:rPr>
              <w:t xml:space="preserve">2 hours</w:t>
            </w:r>
          </w:p>
        </w:tc>
        <w:tc>
          <w:tcPr>
            <w:shd w:fill="F2F5FA" w:color="auto" w:val="clear"/>
            <w:tcMar>
              <w:top w:type="dxa" w:w="60"/>
              <w:left w:type="dxa" w:w="100"/>
              <w:bottom w:type="dxa" w:w="60"/>
              <w:right w:type="dxa" w:w="100"/>
            </w:tcMar>
          </w:tcPr>
          <w:p>
            <w:r>
              <w:rPr>
                <w:b w:val="false"/>
                <w:bCs w:val="false"/>
                <w:color w:val="222222"/>
                <w:sz w:val="20"/>
                <w:szCs w:val="20"/>
              </w:rPr>
              <w:t xml:space="preserve">seconds</w:t>
            </w:r>
          </w:p>
        </w:tc>
        <w:tc>
          <w:tcPr>
            <w:shd w:fill="F2F5FA" w:color="auto" w:val="clear"/>
            <w:tcMar>
              <w:top w:type="dxa" w:w="60"/>
              <w:left w:type="dxa" w:w="100"/>
              <w:bottom w:type="dxa" w:w="60"/>
              <w:right w:type="dxa" w:w="100"/>
            </w:tcMar>
          </w:tcPr>
          <w:p>
            <w:r>
              <w:rPr>
                <w:b w:val="false"/>
                <w:bCs w:val="false"/>
                <w:color w:val="222222"/>
                <w:sz w:val="20"/>
                <w:szCs w:val="20"/>
              </w:rPr>
              <w:t xml:space="preserve">~99%</w:t>
            </w:r>
          </w:p>
        </w:tc>
      </w:tr>
      <w:tr>
        <w:tc>
          <w:tcPr>
            <w:tcMar>
              <w:top w:type="dxa" w:w="60"/>
              <w:left w:type="dxa" w:w="100"/>
              <w:bottom w:type="dxa" w:w="60"/>
              <w:right w:type="dxa" w:w="100"/>
            </w:tcMar>
          </w:tcPr>
          <w:p>
            <w:r>
              <w:rPr>
                <w:b w:val="false"/>
                <w:bCs w:val="false"/>
                <w:color w:val="222222"/>
                <w:sz w:val="20"/>
                <w:szCs w:val="20"/>
              </w:rPr>
              <w:t xml:space="preserve">Discover locators</w:t>
            </w:r>
          </w:p>
        </w:tc>
        <w:tc>
          <w:tcPr>
            <w:tcMar>
              <w:top w:type="dxa" w:w="60"/>
              <w:left w:type="dxa" w:w="100"/>
              <w:bottom w:type="dxa" w:w="60"/>
              <w:right w:type="dxa" w:w="100"/>
            </w:tcMar>
          </w:tcPr>
          <w:p>
            <w:r>
              <w:rPr>
                <w:b w:val="false"/>
                <w:bCs w:val="false"/>
                <w:color w:val="222222"/>
                <w:sz w:val="20"/>
                <w:szCs w:val="20"/>
              </w:rPr>
              <w:t xml:space="preserve">4 hours</w:t>
            </w:r>
          </w:p>
        </w:tc>
        <w:tc>
          <w:tcPr>
            <w:tcMar>
              <w:top w:type="dxa" w:w="60"/>
              <w:left w:type="dxa" w:w="100"/>
              <w:bottom w:type="dxa" w:w="60"/>
              <w:right w:type="dxa" w:w="100"/>
            </w:tcMar>
          </w:tcPr>
          <w:p>
            <w:r>
              <w:rPr>
                <w:b w:val="false"/>
                <w:bCs w:val="false"/>
                <w:color w:val="222222"/>
                <w:sz w:val="20"/>
                <w:szCs w:val="20"/>
              </w:rPr>
              <w:t xml:space="preserve">~3 min</w:t>
            </w:r>
          </w:p>
        </w:tc>
        <w:tc>
          <w:tcPr>
            <w:tcMar>
              <w:top w:type="dxa" w:w="60"/>
              <w:left w:type="dxa" w:w="100"/>
              <w:bottom w:type="dxa" w:w="60"/>
              <w:right w:type="dxa" w:w="100"/>
            </w:tcMar>
          </w:tcPr>
          <w:p>
            <w:r>
              <w:rPr>
                <w:b w:val="false"/>
                <w:bCs w:val="false"/>
                <w:color w:val="222222"/>
                <w:sz w:val="20"/>
                <w:szCs w:val="20"/>
              </w:rPr>
              <w:t xml:space="preserve">~98%</w:t>
            </w:r>
          </w:p>
        </w:tc>
      </w:tr>
      <w:tr>
        <w:tc>
          <w:tcPr>
            <w:shd w:fill="F2F5FA" w:color="auto" w:val="clear"/>
            <w:tcMar>
              <w:top w:type="dxa" w:w="60"/>
              <w:left w:type="dxa" w:w="100"/>
              <w:bottom w:type="dxa" w:w="60"/>
              <w:right w:type="dxa" w:w="100"/>
            </w:tcMar>
          </w:tcPr>
          <w:p>
            <w:r>
              <w:rPr>
                <w:b w:val="false"/>
                <w:bCs w:val="false"/>
                <w:color w:val="222222"/>
                <w:sz w:val="20"/>
                <w:szCs w:val="20"/>
              </w:rPr>
              <w:t xml:space="preserve">Build automation</w:t>
            </w:r>
          </w:p>
        </w:tc>
        <w:tc>
          <w:tcPr>
            <w:shd w:fill="F2F5FA" w:color="auto" w:val="clear"/>
            <w:tcMar>
              <w:top w:type="dxa" w:w="60"/>
              <w:left w:type="dxa" w:w="100"/>
              <w:bottom w:type="dxa" w:w="60"/>
              <w:right w:type="dxa" w:w="100"/>
            </w:tcMar>
          </w:tcPr>
          <w:p>
            <w:r>
              <w:rPr>
                <w:b w:val="false"/>
                <w:bCs w:val="false"/>
                <w:color w:val="222222"/>
                <w:sz w:val="20"/>
                <w:szCs w:val="20"/>
              </w:rPr>
              <w:t xml:space="preserve">4 hours</w:t>
            </w:r>
          </w:p>
        </w:tc>
        <w:tc>
          <w:tcPr>
            <w:shd w:fill="F2F5FA" w:color="auto" w:val="clear"/>
            <w:tcMar>
              <w:top w:type="dxa" w:w="60"/>
              <w:left w:type="dxa" w:w="100"/>
              <w:bottom w:type="dxa" w:w="60"/>
              <w:right w:type="dxa" w:w="100"/>
            </w:tcMar>
          </w:tcPr>
          <w:p>
            <w:r>
              <w:rPr>
                <w:b w:val="false"/>
                <w:bCs w:val="false"/>
                <w:color w:val="222222"/>
                <w:sz w:val="20"/>
                <w:szCs w:val="20"/>
              </w:rPr>
              <w:t xml:space="preserve">~1 min</w:t>
            </w:r>
          </w:p>
        </w:tc>
        <w:tc>
          <w:tcPr>
            <w:shd w:fill="F2F5FA" w:color="auto" w:val="clear"/>
            <w:tcMar>
              <w:top w:type="dxa" w:w="60"/>
              <w:left w:type="dxa" w:w="100"/>
              <w:bottom w:type="dxa" w:w="60"/>
              <w:right w:type="dxa" w:w="100"/>
            </w:tcMar>
          </w:tcPr>
          <w:p>
            <w:r>
              <w:rPr>
                <w:b w:val="false"/>
                <w:bCs w:val="false"/>
                <w:color w:val="222222"/>
                <w:sz w:val="20"/>
                <w:szCs w:val="20"/>
              </w:rPr>
              <w:t xml:space="preserve">~99%</w:t>
            </w:r>
          </w:p>
        </w:tc>
      </w:tr>
      <w:tr>
        <w:tc>
          <w:tcPr>
            <w:tcMar>
              <w:top w:type="dxa" w:w="60"/>
              <w:left w:type="dxa" w:w="100"/>
              <w:bottom w:type="dxa" w:w="60"/>
              <w:right w:type="dxa" w:w="100"/>
            </w:tcMar>
          </w:tcPr>
          <w:p>
            <w:r>
              <w:rPr>
                <w:b w:val="false"/>
                <w:bCs w:val="false"/>
                <w:color w:val="222222"/>
                <w:sz w:val="20"/>
                <w:szCs w:val="20"/>
              </w:rPr>
              <w:t xml:space="preserve">Heal a broken locator</w:t>
            </w:r>
          </w:p>
        </w:tc>
        <w:tc>
          <w:tcPr>
            <w:tcMar>
              <w:top w:type="dxa" w:w="60"/>
              <w:left w:type="dxa" w:w="100"/>
              <w:bottom w:type="dxa" w:w="60"/>
              <w:right w:type="dxa" w:w="100"/>
            </w:tcMar>
          </w:tcPr>
          <w:p>
            <w:r>
              <w:rPr>
                <w:b w:val="false"/>
                <w:bCs w:val="false"/>
                <w:color w:val="222222"/>
                <w:sz w:val="20"/>
                <w:szCs w:val="20"/>
              </w:rPr>
              <w:t xml:space="preserve">1–4 hours</w:t>
            </w:r>
          </w:p>
        </w:tc>
        <w:tc>
          <w:tcPr>
            <w:tcMar>
              <w:top w:type="dxa" w:w="60"/>
              <w:left w:type="dxa" w:w="100"/>
              <w:bottom w:type="dxa" w:w="60"/>
              <w:right w:type="dxa" w:w="100"/>
            </w:tcMar>
          </w:tcPr>
          <w:p>
            <w:r>
              <w:rPr>
                <w:b w:val="false"/>
                <w:bCs w:val="false"/>
                <w:color w:val="222222"/>
                <w:sz w:val="20"/>
                <w:szCs w:val="20"/>
              </w:rPr>
              <w:t xml:space="preserve">~2 min</w:t>
            </w:r>
          </w:p>
        </w:tc>
        <w:tc>
          <w:tcPr>
            <w:tcMar>
              <w:top w:type="dxa" w:w="60"/>
              <w:left w:type="dxa" w:w="100"/>
              <w:bottom w:type="dxa" w:w="60"/>
              <w:right w:type="dxa" w:w="100"/>
            </w:tcMar>
          </w:tcPr>
          <w:p>
            <w:r>
              <w:rPr>
                <w:b w:val="false"/>
                <w:bCs w:val="false"/>
                <w:color w:val="222222"/>
                <w:sz w:val="20"/>
                <w:szCs w:val="20"/>
              </w:rPr>
              <w:t xml:space="preserve">~97%</w:t>
            </w:r>
          </w:p>
        </w:tc>
      </w:tr>
      <w:tr>
        <w:tc>
          <w:tcPr>
            <w:shd w:fill="F2F5FA" w:color="auto" w:val="clear"/>
            <w:tcMar>
              <w:top w:type="dxa" w:w="60"/>
              <w:left w:type="dxa" w:w="100"/>
              <w:bottom w:type="dxa" w:w="60"/>
              <w:right w:type="dxa" w:w="100"/>
            </w:tcMar>
          </w:tcPr>
          <w:p>
            <w:r>
              <w:rPr>
                <w:b w:val="false"/>
                <w:bCs w:val="false"/>
                <w:color w:val="222222"/>
                <w:sz w:val="20"/>
                <w:szCs w:val="20"/>
              </w:rPr>
              <w:t xml:space="preserve">Total per user story</w:t>
            </w:r>
          </w:p>
        </w:tc>
        <w:tc>
          <w:tcPr>
            <w:shd w:fill="F2F5FA" w:color="auto" w:val="clear"/>
            <w:tcMar>
              <w:top w:type="dxa" w:w="60"/>
              <w:left w:type="dxa" w:w="100"/>
              <w:bottom w:type="dxa" w:w="60"/>
              <w:right w:type="dxa" w:w="100"/>
            </w:tcMar>
          </w:tcPr>
          <w:p>
            <w:r>
              <w:rPr>
                <w:b w:val="false"/>
                <w:bCs w:val="false"/>
                <w:color w:val="222222"/>
                <w:sz w:val="20"/>
                <w:szCs w:val="20"/>
              </w:rPr>
              <w:t xml:space="preserve">1–2 days</w:t>
            </w:r>
          </w:p>
        </w:tc>
        <w:tc>
          <w:tcPr>
            <w:shd w:fill="F2F5FA" w:color="auto" w:val="clear"/>
            <w:tcMar>
              <w:top w:type="dxa" w:w="60"/>
              <w:left w:type="dxa" w:w="100"/>
              <w:bottom w:type="dxa" w:w="60"/>
              <w:right w:type="dxa" w:w="100"/>
            </w:tcMar>
          </w:tcPr>
          <w:p>
            <w:r>
              <w:rPr>
                <w:b w:val="false"/>
                <w:bCs w:val="false"/>
                <w:color w:val="222222"/>
                <w:sz w:val="20"/>
                <w:szCs w:val="20"/>
              </w:rPr>
              <w:t xml:space="preserve">6–10 min</w:t>
            </w:r>
          </w:p>
        </w:tc>
        <w:tc>
          <w:tcPr>
            <w:shd w:fill="F2F5FA" w:color="auto" w:val="clear"/>
            <w:tcMar>
              <w:top w:type="dxa" w:w="60"/>
              <w:left w:type="dxa" w:w="100"/>
              <w:bottom w:type="dxa" w:w="60"/>
              <w:right w:type="dxa" w:w="100"/>
            </w:tcMar>
          </w:tcPr>
          <w:p>
            <w:r>
              <w:rPr>
                <w:b w:val="false"/>
                <w:bCs w:val="false"/>
                <w:color w:val="222222"/>
                <w:sz w:val="20"/>
                <w:szCs w:val="20"/>
              </w:rPr>
              <w:t xml:space="preserve">~95%</w:t>
            </w:r>
          </w:p>
        </w:tc>
      </w:tr>
    </w:tbl>
    <w:p>
      <w:pPr>
        <w:pStyle w:val="Heading1"/>
        <w:spacing w:after="120" w:before="280"/>
      </w:pPr>
      <w:r>
        <w:rPr>
          <w:b/>
          <w:bCs/>
          <w:color w:val="2E5F9E"/>
          <w:sz w:val="28"/>
          <w:szCs w:val="28"/>
        </w:rPr>
        <w:t xml:space="preserve">8. Architecture Overview</w:t>
      </w:r>
    </w:p>
    <w:p>
      <w:pPr>
        <w:spacing w:after="120"/>
      </w:pPr>
      <w:r>
        <w:rPr>
          <w:sz w:val="22"/>
          <w:szCs w:val="22"/>
        </w:rPr>
        <w:t xml:space="preserve">The diagrams below illustrate how the framework turns a requirement into a verified, self-healing automated test across the full lifecycle, and how a single engine serves both Jira and Azure DevOps.</w:t>
      </w:r>
    </w:p>
    <w:p>
      <w:pPr>
        <w:spacing w:after="40" w:before="120"/>
        <w:jc w:val="center"/>
      </w:pPr>
      <w:r>
        <w:drawing>
          <wp:inline distT="0" distB="0" distL="0" distR="0">
            <wp:extent cx="5715000" cy="54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5400675"/>
                    </a:xfrm>
                    <a:prstGeom prst="rect">
                      <a:avLst/>
                    </a:prstGeom>
                  </pic:spPr>
                </pic:pic>
              </a:graphicData>
            </a:graphic>
          </wp:inline>
        </w:drawing>
      </w:r>
    </w:p>
    <w:p>
      <w:pPr>
        <w:spacing w:after="200"/>
        <w:jc w:val="center"/>
      </w:pPr>
      <w:r>
        <w:rPr>
          <w:i/>
          <w:iCs/>
          <w:color w:val="666666"/>
          <w:sz w:val="18"/>
          <w:szCs w:val="18"/>
        </w:rPr>
        <w:t xml:space="preserve">Figure 1 — System Architecture (four layers)</w:t>
      </w:r>
    </w:p>
    <w:p>
      <w:pPr>
        <w:spacing w:after="40" w:before="120"/>
        <w:jc w:val="center"/>
      </w:pPr>
      <w:r>
        <w:drawing>
          <wp:inline distT="0" distB="0" distL="0" distR="0">
            <wp:extent cx="5715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0050"/>
                    </a:xfrm>
                    <a:prstGeom prst="rect">
                      <a:avLst/>
                    </a:prstGeom>
                  </pic:spPr>
                </pic:pic>
              </a:graphicData>
            </a:graphic>
          </wp:inline>
        </w:drawing>
      </w:r>
    </w:p>
    <w:p>
      <w:pPr>
        <w:spacing w:after="200"/>
        <w:jc w:val="center"/>
      </w:pPr>
      <w:r>
        <w:rPr>
          <w:i/>
          <w:iCs/>
          <w:color w:val="666666"/>
          <w:sz w:val="18"/>
          <w:szCs w:val="18"/>
        </w:rPr>
        <w:t xml:space="preserve">Figure 2 — End-to-End Process (Requirement to Result)</w:t>
      </w:r>
    </w:p>
    <w:p>
      <w:pPr>
        <w:spacing w:after="40" w:before="120"/>
        <w:jc w:val="center"/>
      </w:pPr>
      <w:r>
        <w:drawing>
          <wp:inline distT="0" distB="0" distL="0" distR="0">
            <wp:extent cx="19240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7239000"/>
                    </a:xfrm>
                    <a:prstGeom prst="rect">
                      <a:avLst/>
                    </a:prstGeom>
                  </pic:spPr>
                </pic:pic>
              </a:graphicData>
            </a:graphic>
          </wp:inline>
        </w:drawing>
      </w:r>
    </w:p>
    <w:p>
      <w:pPr>
        <w:spacing w:after="200"/>
        <w:jc w:val="center"/>
      </w:pPr>
      <w:r>
        <w:rPr>
          <w:i/>
          <w:iCs/>
          <w:color w:val="666666"/>
          <w:sz w:val="18"/>
          <w:szCs w:val="18"/>
        </w:rPr>
        <w:t xml:space="preserve">Figure 3 — Self-Healing Locator Flow</w:t>
      </w:r>
    </w:p>
    <w:p>
      <w:pPr>
        <w:spacing w:after="40" w:before="120"/>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09900"/>
                    </a:xfrm>
                    <a:prstGeom prst="rect">
                      <a:avLst/>
                    </a:prstGeom>
                  </pic:spPr>
                </pic:pic>
              </a:graphicData>
            </a:graphic>
          </wp:inline>
        </w:drawing>
      </w:r>
    </w:p>
    <w:p>
      <w:pPr>
        <w:spacing w:after="200"/>
        <w:jc w:val="center"/>
      </w:pPr>
      <w:r>
        <w:rPr>
          <w:i/>
          <w:iCs/>
          <w:color w:val="666666"/>
          <w:sz w:val="18"/>
          <w:szCs w:val="18"/>
        </w:rPr>
        <w:t xml:space="preserve">Figure 4 — Dual ALM Integration (Jira and Azure DevOps)</w:t>
      </w:r>
    </w:p>
    <w:p>
      <w:pPr>
        <w:spacing w:after="40" w:before="120"/>
        <w:jc w:val="center"/>
      </w:pPr>
      <w:r>
        <w:drawing>
          <wp:inline distT="0" distB="0" distL="0" distR="0">
            <wp:extent cx="57150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2425"/>
                    </a:xfrm>
                    <a:prstGeom prst="rect">
                      <a:avLst/>
                    </a:prstGeom>
                  </pic:spPr>
                </pic:pic>
              </a:graphicData>
            </a:graphic>
          </wp:inline>
        </w:drawing>
      </w:r>
    </w:p>
    <w:p>
      <w:pPr>
        <w:spacing w:after="200"/>
        <w:jc w:val="center"/>
      </w:pPr>
      <w:r>
        <w:rPr>
          <w:i/>
          <w:iCs/>
          <w:color w:val="666666"/>
          <w:sz w:val="18"/>
          <w:szCs w:val="18"/>
        </w:rPr>
        <w:t xml:space="preserve">Figure 5 — Technology Stack</w:t>
      </w:r>
    </w:p>
    <w:p>
      <w:pPr>
        <w:pStyle w:val="Heading1"/>
        <w:spacing w:after="120" w:before="280"/>
      </w:pPr>
      <w:r>
        <w:rPr>
          <w:b/>
          <w:bCs/>
          <w:color w:val="2E5F9E"/>
          <w:sz w:val="28"/>
          <w:szCs w:val="28"/>
        </w:rPr>
        <w:t xml:space="preserve">9. Demonstrations Delivered</w:t>
      </w:r>
    </w:p>
    <w:p>
      <w:pPr>
        <w:spacing w:after="120"/>
      </w:pPr>
      <w:r>
        <w:rPr>
          <w:sz w:val="22"/>
          <w:szCs w:val="22"/>
        </w:rPr>
        <w:t xml:space="preserve">The framework was presented in two sessions:</w:t>
      </w:r>
    </w:p>
    <w:p>
      <w:pPr>
        <w:pStyle w:val="ListParagraph"/>
        <w:numPr>
          <w:ilvl w:val="0"/>
          <w:numId w:val="1"/>
        </w:numPr>
        <w:spacing w:after="60"/>
      </w:pPr>
      <w:r>
        <w:rPr>
          <w:sz w:val="22"/>
          <w:szCs w:val="22"/>
        </w:rPr>
        <w:t xml:space="preserve">TechExchange — internal technical showcase.</w:t>
      </w:r>
    </w:p>
    <w:p>
      <w:pPr>
        <w:pStyle w:val="ListParagraph"/>
        <w:numPr>
          <w:ilvl w:val="0"/>
          <w:numId w:val="1"/>
        </w:numPr>
        <w:spacing w:after="60"/>
      </w:pPr>
      <w:r>
        <w:rPr>
          <w:sz w:val="22"/>
          <w:szCs w:val="22"/>
        </w:rPr>
        <w:t xml:space="preserve">WestPoint — client demonstration.</w:t>
      </w:r>
    </w:p>
    <w:p>
      <w:pPr>
        <w:spacing w:after="120"/>
      </w:pPr>
      <w:r>
        <w:rPr>
          <w:sz w:val="22"/>
          <w:szCs w:val="22"/>
        </w:rPr>
        <w:t xml:space="preserve">Both demonstrated the complete requirement-to-result flow on a live application.</w:t>
      </w:r>
    </w:p>
    <w:p>
      <w:pPr>
        <w:pStyle w:val="Heading1"/>
        <w:spacing w:after="120" w:before="280"/>
      </w:pPr>
      <w:r>
        <w:rPr>
          <w:b/>
          <w:bCs/>
          <w:color w:val="2E5F9E"/>
          <w:sz w:val="28"/>
          <w:szCs w:val="28"/>
        </w:rPr>
        <w:t xml:space="preserve">10. Next Steps</w:t>
      </w:r>
    </w:p>
    <w:p>
      <w:pPr>
        <w:spacing w:after="120"/>
      </w:pPr>
      <w:r>
        <w:rPr>
          <w:sz w:val="22"/>
          <w:szCs w:val="22"/>
        </w:rPr>
        <w:t xml:space="preserve">The framework is ready to extend to additional applications and modules. Planned enhancements:</w:t>
      </w:r>
    </w:p>
    <w:p>
      <w:pPr>
        <w:pStyle w:val="ListParagraph"/>
        <w:numPr>
          <w:ilvl w:val="0"/>
          <w:numId w:val="1"/>
        </w:numPr>
        <w:spacing w:after="60"/>
      </w:pPr>
      <w:r>
        <w:rPr>
          <w:sz w:val="22"/>
          <w:szCs w:val="22"/>
        </w:rPr>
        <w:t xml:space="preserve">API test automation integration.</w:t>
      </w:r>
    </w:p>
    <w:p>
      <w:pPr>
        <w:pStyle w:val="ListParagraph"/>
        <w:numPr>
          <w:ilvl w:val="0"/>
          <w:numId w:val="1"/>
        </w:numPr>
        <w:spacing w:after="60"/>
      </w:pPr>
      <w:r>
        <w:rPr>
          <w:sz w:val="22"/>
          <w:szCs w:val="22"/>
        </w:rPr>
        <w:t xml:space="preserve">SQL / database validation integration.</w:t>
      </w:r>
    </w:p>
    <w:p>
      <w:pPr>
        <w:pStyle w:val="Heading1"/>
        <w:spacing w:after="120" w:before="280"/>
      </w:pPr>
      <w:r>
        <w:rPr>
          <w:b/>
          <w:bCs/>
          <w:color w:val="2E5F9E"/>
          <w:sz w:val="28"/>
          <w:szCs w:val="28"/>
        </w:rPr>
        <w:t xml:space="preserve">11. Conclusion</w:t>
      </w:r>
    </w:p>
    <w:p>
      <w:pPr>
        <w:spacing w:after="120"/>
      </w:pPr>
      <w:r>
        <w:rPr>
          <w:sz w:val="22"/>
          <w:szCs w:val="22"/>
        </w:rPr>
        <w:t xml:space="preserve">This PoC demonstrates a reusable, general-purpose framework that automates the entire testing lifecycle for any web application. The Salesforce case study proves it handles even the most challenging environments. The efficiency gains — a 100% pass rate and roughly 95% less effort — translate directly into faster delivery, lower maintenance cost, and higher confidence in quality.</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fa94a9050eee1c15752f8de1467e2fa33482e9.png"/><Relationship Id="rId8" Type="http://schemas.openxmlformats.org/officeDocument/2006/relationships/image" Target="media/f88a1f5036c14ec9e353460e64ae8bfd3897cb8a.png"/><Relationship Id="rId9" Type="http://schemas.openxmlformats.org/officeDocument/2006/relationships/image" Target="media/5c282d6612691e977207e3a9d710acfc3ab02ad2.png"/><Relationship Id="rId10" Type="http://schemas.openxmlformats.org/officeDocument/2006/relationships/image" Target="media/19cb15d910a7fea56372c8c7cbfb0479e249724e.png"/><Relationship Id="rId11" Type="http://schemas.openxmlformats.org/officeDocument/2006/relationships/image" Target="media/28803e93946f8f78db70d25bbc1b366624bc83a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Test Automation Across the Full Lifecycle</dc:title>
  <dc:creator>QA Automation Team</dc:creator>
  <dc:description>PoC Outcome — Requirement to Result</dc:description>
  <cp:lastModifiedBy>Un-named</cp:lastModifiedBy>
  <cp:revision>1</cp:revision>
  <dcterms:created xsi:type="dcterms:W3CDTF">2026-09-07T08:29:53.076Z</dcterms:created>
  <dcterms:modified xsi:type="dcterms:W3CDTF">2026-09-07T08:29:53.080Z</dcterms:modified>
</cp:coreProperties>
</file>

<file path=docProps/custom.xml><?xml version="1.0" encoding="utf-8"?>
<Properties xmlns="http://schemas.openxmlformats.org/officeDocument/2006/custom-properties" xmlns:vt="http://schemas.openxmlformats.org/officeDocument/2006/docPropsVTypes"/>
</file>