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1F1F1C6D" w:rsidR="005B2106" w:rsidRPr="00AB20AC" w:rsidRDefault="003C7DAF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F4C0558" w:rsidR="000708AF" w:rsidRPr="00353869" w:rsidRDefault="00EC3279" w:rsidP="000708AF">
            <w:r w:rsidRPr="00EC3279">
              <w:t>LTVIP2026TMIDS24962</w:t>
            </w:r>
          </w:p>
        </w:tc>
      </w:tr>
      <w:tr w:rsidR="006968DF" w:rsidRPr="00AB20AC" w14:paraId="44337B49" w14:textId="77777777" w:rsidTr="005C23C7">
        <w:tc>
          <w:tcPr>
            <w:tcW w:w="4508" w:type="dxa"/>
          </w:tcPr>
          <w:p w14:paraId="2497EB79" w14:textId="171BDB5C" w:rsidR="006968DF" w:rsidRPr="00AB20AC" w:rsidRDefault="006968DF" w:rsidP="006968D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56CBD1D1" w:rsidR="006968DF" w:rsidRPr="00AB20AC" w:rsidRDefault="006968DF" w:rsidP="006968DF">
            <w:pPr>
              <w:rPr>
                <w:rFonts w:cstheme="minorHAnsi"/>
              </w:rPr>
            </w:pPr>
            <w:r>
              <w:t>E</w:t>
            </w:r>
            <w:r w:rsidRPr="00353869">
              <w:t xml:space="preserve">mpowering </w:t>
            </w:r>
            <w:r>
              <w:t>I</w:t>
            </w:r>
            <w:r w:rsidRPr="00353869">
              <w:t>ndia: analysing the evolution of union budget allocations for sustainable growth</w:t>
            </w:r>
          </w:p>
        </w:tc>
      </w:tr>
      <w:tr w:rsidR="006968DF" w:rsidRPr="00AB20AC" w14:paraId="64738A3C" w14:textId="77777777" w:rsidTr="005C23C7">
        <w:tc>
          <w:tcPr>
            <w:tcW w:w="4508" w:type="dxa"/>
          </w:tcPr>
          <w:p w14:paraId="060D7EC2" w14:textId="77777777" w:rsidR="006968DF" w:rsidRPr="00AB20AC" w:rsidRDefault="006968DF" w:rsidP="006968D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12216803" w:rsidR="006968DF" w:rsidRPr="00AB20AC" w:rsidRDefault="006968DF" w:rsidP="006968DF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proofErr w:type="spellStart"/>
            <w:r w:rsidRPr="00B76D2E">
              <w:rPr>
                <w:rFonts w:cstheme="minorHAnsi"/>
                <w:b/>
                <w:bCs/>
              </w:rPr>
              <w:t>S.No</w:t>
            </w:r>
            <w:proofErr w:type="spellEnd"/>
            <w:r w:rsidRPr="00B76D2E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2D8D3392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 xml:space="preserve">Business stakeholders, renewable energy startups, EV manufacturers, and pharmaceutical companies lack clear and interactive insights into Union Budget allocations (2021–2024). The complexity of ministry-wise, category-wise, and scheme-wise budget data makes it difficult to </w:t>
            </w:r>
            <w:proofErr w:type="spellStart"/>
            <w:r w:rsidRPr="00353869">
              <w:rPr>
                <w:rFonts w:cstheme="minorHAnsi"/>
              </w:rPr>
              <w:t>analyze</w:t>
            </w:r>
            <w:proofErr w:type="spellEnd"/>
            <w:r w:rsidRPr="00353869">
              <w:rPr>
                <w:rFonts w:cstheme="minorHAnsi"/>
              </w:rPr>
              <w:t xml:space="preserve"> funding trends and make strategic investment decisions.</w:t>
            </w:r>
          </w:p>
        </w:tc>
      </w:tr>
      <w:tr w:rsidR="00AB20AC" w:rsidRPr="00AB20AC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28913702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The project provides a SQL-based data management system integrated with Tableau dashboards to visualize Union Budget allocations. It presents ministry-wise, scheme-wise, category-wise, revenue vs capital comparisons, and year-wise trends through interactive dashboards and stories to support data-driven decision-making.</w:t>
            </w:r>
          </w:p>
        </w:tc>
      </w:tr>
      <w:tr w:rsidR="00AB20AC" w:rsidRPr="00AB20A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398114CD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Combines multi-year Union Budget data (2021–2024) with structured SQL processing and interactive Tableau visualization. Includes calculated fields, filters, Top-5 comparisons, revenue vs capital analysis, and integrated web deployment using Flask for enhanced accessibility.</w:t>
            </w:r>
          </w:p>
        </w:tc>
      </w:tr>
      <w:tr w:rsidR="00AB20AC" w:rsidRPr="00AB20A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09B86392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Improves transparency and understanding of government budget allocations. Helps startups and industries align their strategies with national priorities such as renewable energy, EV adoption, and healthcare development. Encourages informed, data-driven strategic planning.</w:t>
            </w:r>
          </w:p>
        </w:tc>
      </w:tr>
      <w:tr w:rsidR="00AB20AC" w:rsidRPr="00AB20A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2A26A3C4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Can be extended as a subscription-based analytics platform providing advanced sector-specific insights, premium forecasting features, downloadable reports, and API-based access for enterprises or research institutions.</w:t>
            </w:r>
          </w:p>
        </w:tc>
      </w:tr>
      <w:tr w:rsidR="00604AAA" w:rsidRPr="00AB20AC" w14:paraId="3A7E9CD7" w14:textId="77777777" w:rsidTr="00B76D2E">
        <w:trPr>
          <w:trHeight w:val="817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3632C9E2" w:rsidR="00604AAA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Easily scalable by incorporating additional fiscal years, integrating real-time government data sources, adding predictive analytics (ML models), sector-specific deep analysis, and expanding to state budget analysis for more granular insights.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53869"/>
    <w:rsid w:val="003C4A8E"/>
    <w:rsid w:val="003C7DAF"/>
    <w:rsid w:val="003E3A16"/>
    <w:rsid w:val="004B2105"/>
    <w:rsid w:val="005B2106"/>
    <w:rsid w:val="00604389"/>
    <w:rsid w:val="00604AAA"/>
    <w:rsid w:val="006968DF"/>
    <w:rsid w:val="007A3AE5"/>
    <w:rsid w:val="007D3B4C"/>
    <w:rsid w:val="00975144"/>
    <w:rsid w:val="009D3AA0"/>
    <w:rsid w:val="00AB20AC"/>
    <w:rsid w:val="00AC6D16"/>
    <w:rsid w:val="00AC7F0A"/>
    <w:rsid w:val="00B76D2E"/>
    <w:rsid w:val="00DB6A25"/>
    <w:rsid w:val="00EC3279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vinay Merugumala</cp:lastModifiedBy>
  <cp:revision>12</cp:revision>
  <dcterms:created xsi:type="dcterms:W3CDTF">2022-09-18T16:51:00Z</dcterms:created>
  <dcterms:modified xsi:type="dcterms:W3CDTF">2026-02-20T11:19:00Z</dcterms:modified>
</cp:coreProperties>
</file>