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eastAsia="Times New Roman"/>
          <w:u w:val="single"/>
          <w:lang w:eastAsia="ru-RU"/>
        </w:rPr>
      </w:pPr>
      <w:r>
        <w:rPr>
          <w:rFonts w:eastAsia="Times New Roman"/>
          <w:u w:val="single"/>
          <w:lang w:val="uk-UA" w:eastAsia="ru-RU"/>
        </w:rPr>
        <w:t>Кременчуцький національний університет імені Михайла Остроградського</w:t>
      </w:r>
    </w:p>
    <w:p>
      <w:pPr>
        <w:pStyle w:val="Normal"/>
        <w:spacing w:lineRule="auto" w:line="240"/>
        <w:jc w:val="center"/>
        <w:rPr>
          <w:rFonts w:eastAsia="Times New Roman"/>
          <w:sz w:val="24"/>
          <w:szCs w:val="24"/>
          <w:lang w:val="uk-UA" w:eastAsia="ru-RU"/>
        </w:rPr>
      </w:pPr>
      <w:r>
        <w:rPr>
          <w:rFonts w:eastAsia="Times New Roman"/>
          <w:sz w:val="16"/>
          <w:szCs w:val="24"/>
          <w:lang w:val="uk-UA" w:eastAsia="ru-RU"/>
        </w:rPr>
        <w:t>(повне найменування вищого навчального закладу)</w:t>
      </w:r>
    </w:p>
    <w:p>
      <w:pPr>
        <w:pStyle w:val="Normal"/>
        <w:spacing w:lineRule="auto" w:line="240"/>
        <w:jc w:val="center"/>
        <w:rPr>
          <w:rFonts w:eastAsia="Times New Roman"/>
          <w:sz w:val="24"/>
          <w:szCs w:val="24"/>
          <w:lang w:val="uk-UA" w:eastAsia="ru-RU"/>
        </w:rPr>
      </w:pPr>
      <w:r>
        <w:rPr>
          <w:rFonts w:eastAsia="Times New Roman"/>
          <w:sz w:val="24"/>
          <w:szCs w:val="24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sz w:val="24"/>
          <w:szCs w:val="24"/>
          <w:u w:val="single"/>
          <w:lang w:eastAsia="ru-RU"/>
        </w:rPr>
      </w:pPr>
      <w:r>
        <w:rPr>
          <w:rFonts w:eastAsia="Times New Roman"/>
          <w:sz w:val="24"/>
          <w:szCs w:val="24"/>
          <w:u w:val="single"/>
          <w:lang w:val="uk-UA" w:eastAsia="ru-RU"/>
        </w:rPr>
        <w:t>Кафедра комп’ютерної інженерії та електроніки</w:t>
      </w:r>
    </w:p>
    <w:p>
      <w:pPr>
        <w:pStyle w:val="Normal"/>
        <w:spacing w:lineRule="auto" w:line="240"/>
        <w:jc w:val="center"/>
        <w:rPr>
          <w:rFonts w:eastAsia="Times New Roman"/>
          <w:sz w:val="16"/>
          <w:szCs w:val="24"/>
          <w:lang w:val="uk-UA" w:eastAsia="ru-RU"/>
        </w:rPr>
      </w:pPr>
      <w:r>
        <w:rPr>
          <w:rFonts w:eastAsia="Times New Roman"/>
          <w:sz w:val="16"/>
          <w:szCs w:val="24"/>
          <w:lang w:val="uk-UA" w:eastAsia="ru-RU"/>
        </w:rPr>
        <w:t>(повна назва кафедри)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Heading2"/>
        <w:rPr>
          <w:lang w:val="uk-UA"/>
        </w:rPr>
      </w:pPr>
      <w:r>
        <w:rPr>
          <w:b/>
          <w:color w:val="000000"/>
        </w:rPr>
        <w:t>ЛАБОРАТОРНА РОБОТА № 9</w:t>
      </w:r>
    </w:p>
    <w:p>
      <w:pPr>
        <w:pStyle w:val="Normal"/>
        <w:rPr>
          <w:lang w:val="uk-UA"/>
        </w:rPr>
      </w:pPr>
      <w:r>
        <w:rPr>
          <w:b/>
          <w:color w:val="000000"/>
        </w:rPr>
        <w:t xml:space="preserve">Тема: </w:t>
      </w:r>
      <w:r>
        <w:rPr>
          <w:color w:val="000000"/>
        </w:rPr>
        <w:t>Побудова надійного ПЗ та обробка виняткових ситуацій.</w:t>
      </w:r>
    </w:p>
    <w:p>
      <w:pPr>
        <w:pStyle w:val="Normal"/>
        <w:rPr>
          <w:lang w:val="uk-UA"/>
        </w:rPr>
      </w:pPr>
      <w:r>
        <w:rPr>
          <w:b/>
          <w:color w:val="000000"/>
        </w:rPr>
        <w:t xml:space="preserve">Мета роботи: </w:t>
      </w:r>
      <w:r>
        <w:rPr>
          <w:color w:val="000000"/>
        </w:rPr>
        <w:t>Опанувати кастомні винятки та підхід EAFP.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240"/>
        <w:ind w:hanging="0" w:start="4536"/>
        <w:jc w:val="start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  <w:t xml:space="preserve">Студента </w:t>
      </w:r>
      <w:r>
        <w:rPr>
          <w:rFonts w:eastAsia="Times New Roman"/>
          <w:u w:val="single"/>
          <w:shd w:fill="auto" w:val="clear"/>
          <w:lang w:val="uk-UA" w:eastAsia="ru-RU"/>
        </w:rPr>
        <w:t>ІІІ</w:t>
      </w:r>
      <w:r>
        <w:rPr>
          <w:rFonts w:eastAsia="Times New Roman"/>
          <w:shd w:fill="auto" w:val="clear"/>
          <w:lang w:val="uk-UA" w:eastAsia="ru-RU"/>
        </w:rPr>
        <w:t xml:space="preserve"> курсу </w:t>
      </w:r>
      <w:r>
        <w:rPr>
          <w:rFonts w:eastAsia="Times New Roman"/>
          <w:u w:val="single"/>
          <w:shd w:fill="auto" w:val="clear"/>
          <w:lang w:val="uk-UA" w:eastAsia="ru-RU"/>
        </w:rPr>
        <w:t>КІ-</w:t>
      </w:r>
      <w:r>
        <w:rPr>
          <w:rFonts w:eastAsia="Times New Roman"/>
          <w:u w:val="single"/>
          <w:shd w:fill="auto" w:val="clear"/>
          <w:lang w:val="uk-UA" w:eastAsia="ru-RU"/>
        </w:rPr>
        <w:t>24</w:t>
      </w:r>
      <w:r>
        <w:rPr>
          <w:rFonts w:eastAsia="Times New Roman"/>
          <w:u w:val="single"/>
          <w:shd w:fill="auto" w:val="clear"/>
          <w:lang w:val="uk-UA" w:eastAsia="ru-RU"/>
        </w:rPr>
        <w:t>-1</w:t>
      </w:r>
      <w:r>
        <w:rPr>
          <w:rFonts w:eastAsia="Times New Roman"/>
          <w:shd w:fill="auto" w:val="clear"/>
          <w:lang w:val="uk-UA" w:eastAsia="ru-RU"/>
        </w:rPr>
        <w:t xml:space="preserve"> гр</w:t>
      </w:r>
      <w:r>
        <w:rPr>
          <w:rFonts w:eastAsia="Times New Roman"/>
          <w:lang w:val="uk-UA" w:eastAsia="ru-RU"/>
        </w:rPr>
        <w:t>упи</w:t>
      </w:r>
    </w:p>
    <w:p>
      <w:pPr>
        <w:pStyle w:val="Normal"/>
        <w:spacing w:lineRule="auto" w:line="240"/>
        <w:ind w:hanging="0" w:start="4536"/>
        <w:jc w:val="start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  <w:t xml:space="preserve">Ступінь вищої освіти </w:t>
      </w:r>
      <w:r>
        <w:rPr>
          <w:rFonts w:eastAsia="Times New Roman"/>
          <w:u w:val="single"/>
          <w:shd w:fill="auto" w:val="clear"/>
          <w:lang w:val="uk-UA" w:eastAsia="ru-RU"/>
        </w:rPr>
        <w:t>бакалавр</w:t>
      </w:r>
    </w:p>
    <w:p>
      <w:pPr>
        <w:pStyle w:val="Normal"/>
        <w:spacing w:lineRule="auto" w:line="240"/>
        <w:ind w:hanging="0" w:start="4536"/>
        <w:rPr>
          <w:rFonts w:eastAsia="Times New Roman"/>
          <w:sz w:val="16"/>
          <w:szCs w:val="16"/>
          <w:lang w:val="uk-UA" w:eastAsia="ru-RU"/>
        </w:rPr>
      </w:pPr>
      <w:r>
        <w:rPr>
          <w:rFonts w:eastAsia="Times New Roman"/>
          <w:sz w:val="16"/>
          <w:szCs w:val="16"/>
          <w:lang w:val="uk-UA" w:eastAsia="ru-RU"/>
        </w:rPr>
        <w:t xml:space="preserve">                                                              </w:t>
      </w:r>
      <w:r>
        <w:rPr>
          <w:rFonts w:eastAsia="Times New Roman"/>
          <w:sz w:val="16"/>
          <w:szCs w:val="16"/>
          <w:lang w:val="uk-UA" w:eastAsia="ru-RU"/>
        </w:rPr>
        <w:t>(бакалавр, магістр)</w:t>
      </w:r>
    </w:p>
    <w:p>
      <w:pPr>
        <w:pStyle w:val="Normal"/>
        <w:spacing w:lineRule="auto" w:line="240"/>
        <w:ind w:hanging="0" w:start="4536"/>
        <w:jc w:val="start"/>
        <w:rPr>
          <w:rFonts w:eastAsia="Times New Roman"/>
          <w:lang w:eastAsia="ru-RU"/>
        </w:rPr>
      </w:pPr>
      <w:r>
        <w:rPr>
          <w:rFonts w:eastAsia="Times New Roman"/>
          <w:lang w:val="en-US" w:eastAsia="ru-RU"/>
        </w:rPr>
        <w:t>C</w:t>
      </w:r>
      <w:r>
        <w:rPr>
          <w:rFonts w:eastAsia="Times New Roman"/>
          <w:lang w:val="uk-UA" w:eastAsia="ru-RU"/>
        </w:rPr>
        <w:t xml:space="preserve">пеціальність </w:t>
      </w:r>
      <w:r>
        <w:rPr>
          <w:rFonts w:eastAsia="Times New Roman"/>
          <w:u w:val="single"/>
          <w:shd w:fill="auto" w:val="clear"/>
          <w:lang w:val="uk-UA" w:eastAsia="ru-RU"/>
        </w:rPr>
        <w:t>123 – «Комп’ютерна інженерія»</w:t>
      </w:r>
    </w:p>
    <w:p>
      <w:pPr>
        <w:pStyle w:val="Normal"/>
        <w:tabs>
          <w:tab w:val="clear" w:pos="708"/>
          <w:tab w:val="left" w:pos="9356" w:leader="none"/>
        </w:tabs>
        <w:spacing w:lineRule="auto" w:line="240"/>
        <w:ind w:hanging="0" w:start="4536" w:end="-2"/>
        <w:jc w:val="start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  <w:t xml:space="preserve">Освітня програма </w:t>
      </w:r>
      <w:r>
        <w:rPr>
          <w:rFonts w:eastAsia="Times New Roman" w:cs="Times New Roman"/>
          <w:sz w:val="28"/>
          <w:szCs w:val="28"/>
          <w:u w:val="single"/>
          <w:lang w:val="uk-UA" w:eastAsia="ru-RU"/>
        </w:rPr>
        <w:t>Програмування на Python. Базовий рівень</w:t>
      </w:r>
    </w:p>
    <w:p>
      <w:pPr>
        <w:pStyle w:val="Normal"/>
        <w:tabs>
          <w:tab w:val="clear" w:pos="708"/>
          <w:tab w:val="left" w:pos="9356" w:leader="none"/>
        </w:tabs>
        <w:spacing w:lineRule="auto" w:line="240"/>
        <w:ind w:hanging="0" w:start="4536" w:end="-2"/>
        <w:jc w:val="start"/>
        <w:rPr>
          <w:highlight w:val="none"/>
          <w:shd w:fill="auto" w:val="clear"/>
        </w:rPr>
      </w:pPr>
      <w:r>
        <w:rPr>
          <w:rFonts w:eastAsia="Times New Roman"/>
          <w:u w:val="single"/>
          <w:shd w:fill="auto" w:val="clear"/>
          <w:lang w:val="uk-UA" w:eastAsia="ru-RU"/>
        </w:rPr>
        <w:t>Огоновського Олександра Євгенійовича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  <w:t>м. Кременчук 202</w:t>
      </w:r>
      <w:r>
        <w:rPr>
          <w:rFonts w:eastAsia="Times New Roman"/>
          <w:lang w:val="uk-UA" w:eastAsia="ru-RU"/>
        </w:rPr>
        <w:t>6</w:t>
      </w:r>
      <w:r>
        <w:rPr>
          <w:rFonts w:eastAsia="Times New Roman"/>
          <w:lang w:val="uk-UA" w:eastAsia="ru-RU"/>
        </w:rPr>
        <w:t xml:space="preserve"> рік</w:t>
      </w:r>
      <w:r>
        <w:rPr/>
        <w:br w:type="page"/>
      </w:r>
    </w:p>
    <w:p>
      <w:pPr>
        <w:pStyle w:val="Heading3"/>
        <w:keepNext/>
        <w:spacing w:before="200" w:after="120"/>
      </w:pPr>
      <w:r>
        <w:rPr>
          <w:color w:val="000000"/>
        </w:rPr>
        <w:t>1.1 Порядок виконання роботи</w:t>
      </w:r>
    </w:p>
    <w:p>
      <w:pPr>
        <w:pStyle w:val="Heading4"/>
        <w:keepNext/>
        <w:spacing w:before="200" w:after="120"/>
      </w:pPr>
      <w:r>
        <w:rPr>
          <w:color w:val="000000"/>
        </w:rPr>
        <w:t>1.1.1 Мета та технічна постановка задачі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У варіанті 15 реалізовано валідацію конфігурації контролера пам'яті DDR5. Програма перевіряє CAS latency tCL, напругу VDD і частоту передачі даних. Для кожного класу помилки створено спеціалізований виняток із числовими атрибутами стану. Тестовий стенд демонструє перехоплення помилок, відновлення безпечної конфігурації та обчислення коефіцієнта програмного відновлення.</w:t>
      </w:r>
    </w:p>
    <w:p>
      <w:pPr>
        <w:pStyle w:val="Style14"/>
        <w:keepNext/>
        <w:spacing w:after="160"/>
        <w:jc w:val="center"/>
      </w:pPr>
      <w:r>
        <w:rPr>
          <w:color w:val="000000"/>
        </w:rPr>
        <w:t>Таблиця 1.1 – Параметри контролера DDR5 для варіанта 15</w:t>
      </w:r>
    </w:p>
    <w:tbl>
      <w:tblPr>
        <w:tblStyle w:val="a6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40" w:line="240" w:lineRule="auto"/>
              <w:jc w:val="center"/>
            </w:pPr>
            <w:r>
              <w:rPr/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Параметр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40" w:line="240" w:lineRule="auto"/>
              <w:jc w:val="center"/>
            </w:pPr>
            <w:r>
              <w:rPr/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Допустима межа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40" w:line="240" w:lineRule="auto"/>
              <w:jc w:val="center"/>
            </w:pPr>
            <w:r>
              <w:rPr/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Виняток при порушенні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center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tCL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28…40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CASLatencyConflictError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center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VDD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1.10 ± 0.05 В; 1.05…1.15 В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VDDOverVoltageError або VDDUnderVoltageError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center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Частота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4800…6400 MT/s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DataRateOutOfRangeError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center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Некоректний тип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Числове значення для кожного параметра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MemoryTimingError із ланцюжком причини</w:t>
            </w:r>
          </w:p>
        </w:tc>
      </w:tr>
    </w:tbl>
    <w:p>
      <w:pPr>
        <w:spacing w:after="120" w:line="276" w:lineRule="auto"/>
        <w:jc w:val="both"/>
      </w:pPr>
    </w:p>
    <w:p>
      <w:pPr>
        <w:pStyle w:val="Heading4"/>
        <w:keepNext/>
        <w:spacing w:before="200" w:after="120"/>
      </w:pPr>
      <w:r>
        <w:rPr>
          <w:color w:val="000000"/>
        </w:rPr>
        <w:t>1.1.2 Проєктування ієрархії винятків</w:t>
      </w:r>
    </w:p>
    <w:p>
      <w:pPr>
        <w:keepNext/>
        <w:jc w:val="center"/>
      </w:pPr>
      <w:r>
        <w:rPr/>
        <w:drawing>
          <wp:inline xmlns:a="http://schemas.openxmlformats.org/drawingml/2006/main">
            <wp:extent cx="5715000" cy="384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b9_exception_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4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4"/>
        <w:keepNext/>
        <w:spacing w:after="160"/>
        <w:jc w:val="center"/>
      </w:pPr>
      <w:r>
        <w:rPr>
          <w:color w:val="000000"/>
        </w:rPr>
        <w:t>Рисунок 1.1 – UML-діаграма ієрархії користувацьких винятків DDR5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Базовий клас MemoryTimingError зберігає повідомлення та код помилки. Похідні класи інкапсулюють параметри конкретного порушення. Порядок обробників у тестовому стенді відповідає спадкуванню: спочатку перехоплюються спеціалізовані класи, а потім базовий клас.</w:t>
      </w:r>
    </w:p>
    <w:p>
      <w:pPr>
        <w:pStyle w:val="Heading4"/>
        <w:keepNext/>
        <w:spacing w:before="200" w:after="120"/>
      </w:pPr>
      <w:r>
        <w:rPr>
          <w:color w:val="000000"/>
        </w:rPr>
        <w:t>1.1.3 Валідація та відновлення конфігурації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Функція _read_number() застосовує стиль EAFP: вона намагається перетворити значення на потрібний числовий тип і, якщо перетворення не вдається, створює MemoryTimingError через raise ... from cause. Так зберігається першопричина ValueError або TypeError в атрибуті __cause__. Після перехоплення винятку функція recover_configuration() обмежує параметр допустимим діапазоном або повертає профіль {tcl: 36, vdd: 1.10, data_rate_mt_s: 5600}.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Конструкція try-except-else-finally відокремлює успішний сценарій від гілок відновлення. Блок finally завершує роботу з журналом для кожної конфігурації. У виконаному стенді один сценарій є валідним, п'ять збоїв виявлено і всі п'ять успішно відновлено, тому P_recovery дорівнює 5/5 = 1.00.</w:t>
      </w:r>
    </w:p>
    <w:p>
      <w:pPr>
        <w:pStyle w:val="Heading4"/>
        <w:keepNext/>
        <w:spacing w:before="200" w:after="120"/>
      </w:pPr>
      <w:r>
        <w:rPr>
          <w:color w:val="000000"/>
        </w:rPr>
        <w:t>1.1.4 Результати виконання</w:t>
      </w:r>
    </w:p>
    <w:p>
      <w:pPr>
        <w:keepNext/>
        <w:jc w:val="center"/>
      </w:pPr>
      <w:r>
        <w:rPr/>
        <w:drawing>
          <wp:inline xmlns:a="http://schemas.openxmlformats.org/drawingml/2006/main">
            <wp:extent cx="5806440" cy="2927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b9_01_excep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27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4"/>
        <w:keepNext/>
        <w:spacing w:after="160"/>
        <w:jc w:val="center"/>
      </w:pPr>
      <w:r>
        <w:rPr>
          <w:color w:val="000000"/>
        </w:rPr>
        <w:t>Рисунок 1.2 – Скриншот виконання тестового стенду контролера DDR5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Консольний вивід містить валідний сценарій, порушення меж tCL, VDD і частоти, а також помилку типу VDD з відображенням її першопричини. Для кожного відновлюваного сценарію показано finally, безпечну конфігурацію та підсумкове значення P_recovery = 1.00.</w:t>
      </w:r>
    </w:p>
    <w:p>
      <w:pPr>
        <w:pStyle w:val="Heading3"/>
        <w:keepNext/>
        <w:spacing w:before="200" w:after="120"/>
      </w:pPr>
      <w:r>
        <w:rPr>
          <w:color w:val="000000"/>
        </w:rPr>
        <w:t>1.2 Програмний код</w:t>
      </w:r>
    </w:p>
    <w:p>
      <w:pPr>
        <w:pStyle w:val="Heading4"/>
        <w:keepNext/>
        <w:spacing w:before="200" w:after="120"/>
      </w:pPr>
      <w:r>
        <w:rPr>
          <w:color w:val="000000"/>
        </w:rPr>
        <w:t>1.2.1 Модуль користувацьких винятків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Файл custom_exceptions.py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"""Лабораторна робота № 9, варіант 15: винятки контролера DDR5."""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from __future__ import annotations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class MemoryTimingError(Exception):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"""Базовий доменний виняток для некоректної конфігурації DDR5."""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def __init__(self, message: str, error_code: int = 9000) -&gt; None: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super().__init__(message)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self.error_code = error_code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def __str__(self) -&gt; str: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return f"[DDR5-{self.error_code}] {super().__str__()}"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class CASLatencyConflictError(MemoryTimingError):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"""Сигналізує про tCL поза допустимим числовим діапазоном."""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def __init__(self, cas_latency: int, minimum: int = 28, maximum: int = 40) -&gt; None: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self.cas_latency = cas_latency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self.minimum = minimum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self.maximum = maximum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super().__init__(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f"tCL = {cas_latency} не належить діапазону [{minimum}; {maximum}].",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error_code=9001,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class VDDOverVoltageError(MemoryTimingError):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"""Сигналізує про перевищення верхньої межі напруги VDD."""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def __init__(self, voltage: float, maximum: float = 1.15) -&gt; None: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self.voltage = voltage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self.maximum = maximum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super().__init__(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f"VDD = {voltage:.3f} В перевищує верхню межу {maximum:.3f} В.",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error_code=9002,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class VDDUnderVoltageError(MemoryTimingError):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"""Сигналізує про занижену напругу VDD."""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def __init__(self, voltage: float, minimum: float = 1.05) -&gt; None: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self.voltage = voltage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self.minimum = minimum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super().__init__(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f"VDD = {voltage:.3f} В нижча за межу {minimum:.3f} В.",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error_code=9003,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class DataRateOutOfRangeError(MemoryTimingError):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"""Сигналізує про частоту DDR5 поза діапазоном 4800…6400 MT/s."""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def __init__(self, data_rate_mt_s: int, minimum: int = 4800, maximum: int = 6400) -&gt; None: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self.data_rate_mt_s = data_rate_mt_s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self.minimum = minimum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self.maximum = maximum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super().__init__(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f"Частота {data_rate_mt_s} MT/s не належить діапазону [{minimum}; {maximum}] MT/s.",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error_code=9004,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)</w:t>
      </w:r>
    </w:p>
    <w:p>
      <w:pPr>
        <w:pStyle w:val="Heading4"/>
        <w:keepNext/>
        <w:spacing w:before="200" w:after="120"/>
      </w:pPr>
      <w:r>
        <w:rPr>
          <w:color w:val="000000"/>
        </w:rPr>
        <w:t>1.2.2 Модуль валідації та тестового стенду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Файл device_validator.py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"""Лабораторна робота № 9, варіант 15.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Валідація конфігурації контролера пам'яті DDR5, власні винятки,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ланцюжки ``raise ... from ...`` та тестовий стенд відновлення.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from __future__ import annotations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import math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from collections.abc import Mapping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from typing import Any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from custom_exceptions import 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CASLatencyConflictError,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DataRateOutOfRangeError,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MemoryTimingError,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VDDOverVoltageError,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VDDUnderVoltageError,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MIN_TCL = 28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MAX_TCL = 40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NOMINAL_VDD = 1.10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MIN_VDD = 1.05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MAX_VDD = 1.15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MIN_DATA_RATE = 4800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MAX_DATA_RATE = 6400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SAFE_CONFIGURATION = {"tcl": 36, "vdd": NOMINAL_VDD, "data_rate_mt_s": 5600}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def _read_number(config: Mapping[str, Any], key: str, target_type: type[float] | type[int]) -&gt; float | int: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"""Читає числовий параметр, зберігаючи першопричину помилки перетворення."""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key not in config: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raise MemoryTimingError(f"Відсутній обов'язковий параметр '{key}'.", error_code=9005)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try: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value = target_type(config[key])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except (TypeError, ValueError) as cause: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raise MemoryTimingError(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f"Параметр '{key}' повинен бути числом; отримано {config[key]!r}.", error_code=9006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) from cause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not math.isfinite(float(value)):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raise MemoryTimingError(f"Параметр '{key}' повинен бути скінченним числом.", error_code=9007)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return value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def validate_ddr5_configuration(config: Mapping[str, Any]) -&gt; dict[str, float | int]: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"""Валідує tCL, VDD і частоту передачі даних контролера DDR5."""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cas_latency = int(_read_number(config, "tcl", int))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vdd = float(_read_number(config, "vdd", float))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data_rate = int(_read_number(config, "data_rate_mt_s", int))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not MIN_TCL &lt;= cas_latency &lt;= MAX_TCL: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raise CASLatencyConflictError(cas_latency, MIN_TCL, MAX_TCL)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vdd &gt; MAX_VDD: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raise VDDOverVoltageError(vdd, MAX_VDD)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vdd &lt; MIN_VDD: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raise VDDUnderVoltageError(vdd, MIN_VDD)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not MIN_DATA_RATE &lt;= data_rate &lt;= MAX_DATA_RATE: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raise DataRateOutOfRangeError(data_rate, MIN_DATA_RATE, MAX_DATA_RATE)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return {"tcl": cas_latency, "vdd": vdd, "data_rate_mt_s": data_rate}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def recover_configuration(error: MemoryTimingError) -&gt; dict[str, float | int]: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"""Повертає безпечний профіль після локалізації помилки конфігурації."""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recovered = dict(SAFE_CONFIGURATION)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isinstance(error, CASLatencyConflictError):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recovered["tcl"] = min(max(error.cas_latency, MIN_TCL), MAX_TCL)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action = "tCL обмежено безпечним діапазоном"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elif isinstance(error, VDDOverVoltageError):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recovered["vdd"] = MAX_VDD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action = "VDD знижено до верхньої безпечної межі"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elif isinstance(error, VDDUnderVoltageError):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recovered["vdd"] = MIN_VDD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action = "VDD підвищено до нижньої безпечної межі"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elif isinstance(error, DataRateOutOfRangeError):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recovered["data_rate_mt_s"] = min(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max(error.data_rate_mt_s, MIN_DATA_RATE), MAX_DATA_RATE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action = "частоту обмежено безпечним діапазоном"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else: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action = "використано повністю безпечний профіль за замовчуванням"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  Відновлення: {action}.")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return recovered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def run_fault_tolerance_testbench() -&gt; None: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"""Демонструє ``try-except-else-finally`` для всіх сценаріїв варіанта 15."""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scenarios: list[tuple[str, dict[str, Any]]] = [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("Валідна конфігурація", {"tcl": 36, "vdd": 1.10, "data_rate_mt_s": 5600}),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("Конфлікт CAS latency", {"tcl": 24, "vdd": 1.10, "data_rate_mt_s": 5600}),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("Перенапруга VDD", {"tcl": 36, "vdd": 1.18, "data_rate_mt_s": 5600}),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("Недостатня VDD", {"tcl": 36, "vdd": 1.00, "data_rate_mt_s": 5600}),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("Неприпустима частота", {"tcl": 36, "vdd": 1.10, "data_rate_mt_s": 7200}),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("Некоректний тип VDD", {"tcl": 36, "vdd": "high", "data_rate_mt_s": 5600}),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]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successes = 0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detected_faults = 0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recovered_faults = 0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separator = "=" * 94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print(separator)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print(f"{'ЛБ9, ВАРІАНТ 15 — ВІДМОВОСТІЙКІСТЬ КОНТРОЛЕРА DDR5':^94}")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print(separator)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for number, (title, config) in enumerate(scenarios, start=1):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print(f"\nСценарій {number}: {title}")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print(f"  Вхідна конфігурація: {config}")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try: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validated = validate_ddr5_configuration(config)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except CASLatencyConflictError as error: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detected_faults += 1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print(f"  Перехоплено {type(error).__name__}: {error}")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recovered = recover_configuration(error)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except VDDOverVoltageError as error: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detected_faults += 1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print(f"  Перехоплено {type(error).__name__}: {error}")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recovered = recover_configuration(error)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except VDDUnderVoltageError as error: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detected_faults += 1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print(f"  Перехоплено {type(error).__name__}: {error}")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recovered = recover_configuration(error)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except DataRateOutOfRangeError as error: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detected_faults += 1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print(f"  Перехоплено {type(error).__name__}: {error}")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recovered = recover_configuration(error)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except MemoryTimingError as error: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detected_faults += 1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print(f"  Перехоплено базовий {type(error).__name__}: {error}")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if error.__cause__ is not None: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print(f"  Ланцюжок причини: {type(error.__cause__).__name__}: {error.__cause__}")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recovered = recover_configuration(error)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else: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successes += 1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print(f"  Успіх: валідна конфігурація {validated}.")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continue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finally: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print("  FINALLY: журнал конфігурації закрито, стан контролера зафіксовано.")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try: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validate_ddr5_configuration(recovered)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except MemoryTimingError as recovery_error: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print(f"  Відновлення не вдалося: {recovery_error}")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else: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recovered_faults += 1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print(f"  Відновлення успішне: {recovered}.")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p_recovery = recovered_faults / detected_faults if detected_faults else 1.0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print("\n" + separator)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print("ПІДСУМКОВІ МЕТРИКИ")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  Валідних сценаріїв: {successes}")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  Виявлених збоїв: {detected_faults}")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  Успішно відновлених збоїв: {recovered_faults}")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  P_recovery = {recovered_faults}/{detected_faults} = {p_recovery:.2f}")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print(separator)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if __name__ == "__main__":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run_fault_tolerance_testbench()</w:t>
      </w:r>
    </w:p>
    <w:p>
      <w:pPr>
        <w:pStyle w:val="Heading3"/>
        <w:keepNext/>
        <w:spacing w:before="200" w:after="120"/>
      </w:pPr>
      <w:r>
        <w:rPr>
          <w:color w:val="000000"/>
        </w:rPr>
        <w:t>1.3 Відповіді на контрольні питання</w:t>
      </w:r>
    </w:p>
    <w:p>
      <w:pPr>
        <w:pStyle w:val="Heading4"/>
        <w:keepNext/>
        <w:spacing w:before="200" w:after="120"/>
      </w:pPr>
      <w:r>
        <w:rPr>
          <w:color w:val="000000"/>
        </w:rPr>
        <w:t>1.3.1 BaseException і Exception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BaseException є коренем ієрархії винятків. Його прямі системні похідні, зокрема KeyboardInterrupt і SystemExit, керують життєвим циклом процесу та зазвичай не повинні перехоплюватися прикладним кодом. Прикладні помилки створюють від Exception, тому except Exception не приховує системне завершення або переривання користувача.</w:t>
      </w:r>
    </w:p>
    <w:p>
      <w:pPr>
        <w:pStyle w:val="Heading4"/>
        <w:keepNext/>
        <w:spacing w:before="200" w:after="120"/>
      </w:pPr>
      <w:r>
        <w:rPr>
          <w:color w:val="000000"/>
        </w:rPr>
        <w:t>1.3.2 Розкручування стека викликів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Після створення винятку CPython припиняє нормальне виконання поточного кадру, шукає відповідний except і послідовно повертається через кадри викликів. Під час цього локальні посилання кадру стають недоступними після його завершення, а сам PyFrameObject може бути звільнений, якщо на нього не лишилося посилань. Якщо обробник не знайдено, виняток доходить до верхнього рівня.</w:t>
      </w:r>
    </w:p>
    <w:p>
      <w:pPr>
        <w:pStyle w:val="Heading4"/>
        <w:keepNext/>
        <w:spacing w:before="200" w:after="120"/>
      </w:pPr>
      <w:r>
        <w:rPr>
          <w:color w:val="000000"/>
        </w:rPr>
        <w:t>1.3.3 Exception chaining і __cause__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Конструкція raise NewError(...) from cause створює явний ланцюжок винятків відповідно до PEP 3134. Атрибут __cause__ нового винятку посилається на першопричину, а трасування показує обидві помилки. Це дає змогу подати прикладну помилку у термінах предметної області, не втрачаючи технічну причину збою.</w:t>
      </w:r>
    </w:p>
    <w:p>
      <w:pPr>
        <w:pStyle w:val="Heading4"/>
        <w:keepNext/>
        <w:spacing w:before="200" w:after="120"/>
      </w:pPr>
      <w:r>
        <w:rPr>
          <w:color w:val="000000"/>
        </w:rPr>
        <w:t>1.3.4 EAFP і LBYL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LBYL спочатку перевіряє умову, а потім виконує дію; між цими операціями стан у багатопотоковій системі може змінитися, що створює TOCTOU-гонитву. EAFP виконує дію в try та обробляє фактичну помилку. Тому для операцій, які можуть завершитися винятком через змінний зовнішній стан, EAFP точніше відображає момент перевірки.</w:t>
      </w:r>
    </w:p>
    <w:p>
      <w:pPr>
        <w:pStyle w:val="Heading4"/>
        <w:keepNext/>
        <w:spacing w:before="200" w:after="120"/>
      </w:pPr>
      <w:r>
        <w:rPr>
          <w:color w:val="000000"/>
        </w:rPr>
        <w:t>1.3.5 Порядок блоків except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Похідні класи треба перехоплювати раніше за базові, тому що один виняток належить також усім базовим класам. Якщо спочатку розмістити except Exception, він перехопить і спеціалізовані винятки, а наступні блоки стануть недосяжними. Це позбавляє програму можливості виконати точне відновлення для конкретної помилки.</w:t>
      </w:r>
    </w:p>
    <w:p>
      <w:pPr>
        <w:pStyle w:val="Heading4"/>
        <w:keepNext/>
        <w:spacing w:before="200" w:after="120"/>
      </w:pPr>
      <w:r>
        <w:rPr>
          <w:color w:val="000000"/>
        </w:rPr>
        <w:t>1.3.6 Блок else у try-except-else-finally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else виконується лише тоді, коли в try не виникло винятку. Винесення коду успішного сценарію в else скорочує try до операцій, які справді можуть згенерувати очікувані винятки, і не дозволяє випадково перехопити помилку, що з'явилася вже після успішної валідації.</w:t>
      </w:r>
    </w:p>
    <w:p>
      <w:pPr>
        <w:pStyle w:val="Heading3"/>
        <w:keepNext/>
        <w:spacing w:before="200" w:after="120"/>
      </w:pPr>
      <w:r>
        <w:rPr>
          <w:color w:val="000000"/>
        </w:rPr>
        <w:t>1.4 Репозиторій та висновки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Вихідний код лабораторної роботи зафіксовано в репозиторії: https://github.com/sobof1/python-labs/tree/f5c6dc95acadda8ce085cfae9b164391bffece50/lb9.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У роботі побудовано надійний валідатор конфігурації DDR5 з ієрархією кастомних винятків. Порівняно з числовими кодами помилок, винятки передають тип порушення, його параметри та контекст у місце обробки. Підхід EAFP разом із raise ... from зберігає першопричину помилки, а механізм відновлення дає змогу продовжувати обробку наступних сценаріїв після локалізації збою.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c4ca3"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cs="Times New Roman" w:eastAsia="Calibri" w:eastAsiaTheme="minorHAnsi"/>
      <w:color w:val="auto"/>
      <w:kern w:val="0"/>
      <w:sz w:val="28"/>
      <w:szCs w:val="28"/>
      <w:lang w:val="ru-RU" w:eastAsia="en-US" w:bidi="ar-SA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616a56"/>
    <w:pPr>
      <w:keepNext w:val="true"/>
      <w:keepLines/>
      <w:ind w:hanging="0"/>
      <w:jc w:val="center"/>
      <w:outlineLvl w:val="1"/>
    </w:pPr>
    <w:rPr>
      <w:rFonts w:eastAsia="" w:cs="" w:cstheme="majorBidi" w:eastAsiaTheme="majorEastAsia"/>
      <w:b/>
      <w:szCs w:val="26"/>
    </w:rPr>
  </w:style>
  <w:style w:type="paragraph" w:styleId="Heading3">
    <w:name w:val="heading 3"/>
    <w:basedOn w:val="ListParagraph"/>
    <w:next w:val="Normal"/>
    <w:link w:val="3"/>
    <w:autoRedefine/>
    <w:uiPriority w:val="9"/>
    <w:unhideWhenUsed/>
    <w:qFormat/>
    <w:rsid w:val="00860e6a"/>
    <w:pPr>
      <w:ind w:hanging="0" w:start="0"/>
      <w:jc w:val="center"/>
      <w:outlineLvl w:val="2"/>
    </w:pPr>
    <w:rPr>
      <w:b/>
      <w:bCs/>
      <w:lang w:val="uk-UA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b729e0"/>
    <w:pPr>
      <w:keepNext w:val="true"/>
      <w:keepLines/>
      <w:spacing w:before="40" w:after="0"/>
      <w:outlineLvl w:val="3"/>
    </w:pPr>
    <w:rPr>
      <w:rFonts w:eastAsia="" w:cs="" w:cstheme="majorBidi" w:eastAsiaTheme="majorEastAsia"/>
      <w:b/>
      <w:iCs/>
      <w:color w:themeColor="text1" w:val="000000"/>
    </w:rPr>
  </w:style>
  <w:style w:type="paragraph" w:styleId="Heading5">
    <w:name w:val="heading 5"/>
    <w:basedOn w:val="Normal"/>
    <w:next w:val="Normal"/>
    <w:link w:val="5"/>
    <w:uiPriority w:val="9"/>
    <w:unhideWhenUsed/>
    <w:qFormat/>
    <w:rsid w:val="0072340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Назва Знак"/>
    <w:basedOn w:val="DefaultParagraphFont"/>
    <w:link w:val="Title"/>
    <w:uiPriority w:val="10"/>
    <w:qFormat/>
    <w:rsid w:val="00616a56"/>
    <w:rPr>
      <w:rFonts w:ascii="Times New Roman" w:hAnsi="Times New Roman" w:eastAsia="" w:cs="" w:cstheme="majorBidi" w:eastAsiaTheme="majorEastAsia"/>
      <w:caps/>
      <w:kern w:val="2"/>
      <w:sz w:val="28"/>
      <w:szCs w:val="56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616a56"/>
    <w:rPr>
      <w:rFonts w:ascii="Times New Roman" w:hAnsi="Times New Roman" w:eastAsia="" w:cs="" w:cstheme="majorBidi" w:eastAsiaTheme="majorEastAsia"/>
      <w:b/>
      <w:sz w:val="28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860e6a"/>
    <w:rPr>
      <w:rFonts w:ascii="Times New Roman" w:hAnsi="Times New Roman" w:cs="Times New Roman"/>
      <w:b/>
      <w:bCs/>
      <w:sz w:val="28"/>
      <w:szCs w:val="28"/>
      <w:lang w:val="uk-UA"/>
    </w:rPr>
  </w:style>
  <w:style w:type="character" w:styleId="Style11" w:customStyle="1">
    <w:name w:val="Верхній колонтитул Знак"/>
    <w:basedOn w:val="DefaultParagraphFont"/>
    <w:link w:val="Header"/>
    <w:uiPriority w:val="99"/>
    <w:qFormat/>
    <w:rsid w:val="00860e6a"/>
    <w:rPr>
      <w:rFonts w:ascii="Times New Roman" w:hAnsi="Times New Roman" w:cs="Times New Roman"/>
      <w:sz w:val="28"/>
      <w:szCs w:val="28"/>
    </w:rPr>
  </w:style>
  <w:style w:type="character" w:styleId="Style12" w:customStyle="1">
    <w:name w:val="Нижній колонтитул Знак"/>
    <w:basedOn w:val="DefaultParagraphFont"/>
    <w:link w:val="Footer"/>
    <w:uiPriority w:val="99"/>
    <w:qFormat/>
    <w:rsid w:val="00860e6a"/>
    <w:rPr>
      <w:rFonts w:ascii="Times New Roman" w:hAnsi="Times New Roman" w:cs="Times New Roman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b729e0"/>
    <w:rPr>
      <w:rFonts w:ascii="Times New Roman" w:hAnsi="Times New Roman" w:eastAsia="" w:cs="" w:cstheme="majorBidi" w:eastAsiaTheme="majorEastAsia"/>
      <w:b/>
      <w:iCs/>
      <w:color w:themeColor="text1" w:val="000000"/>
      <w:sz w:val="28"/>
      <w:szCs w:val="28"/>
    </w:rPr>
  </w:style>
  <w:style w:type="character" w:styleId="Style13" w:customStyle="1">
    <w:name w:val="РисТабл Знак"/>
    <w:basedOn w:val="DefaultParagraphFont"/>
    <w:link w:val="Style14"/>
    <w:qFormat/>
    <w:rsid w:val="009c4ca3"/>
    <w:rPr>
      <w:rFonts w:ascii="Times New Roman" w:hAnsi="Times New Roman" w:cs="Times New Roman"/>
      <w:sz w:val="28"/>
      <w:szCs w:val="28"/>
    </w:rPr>
  </w:style>
  <w:style w:type="character" w:styleId="5" w:customStyle="1">
    <w:name w:val="Заголовок 5 Знак"/>
    <w:basedOn w:val="DefaultParagraphFont"/>
    <w:link w:val="Heading5"/>
    <w:uiPriority w:val="9"/>
    <w:qFormat/>
    <w:rsid w:val="0072340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link w:val="Style10"/>
    <w:uiPriority w:val="10"/>
    <w:qFormat/>
    <w:rsid w:val="00616a56"/>
    <w:pPr>
      <w:spacing w:before="0" w:after="0"/>
      <w:ind w:hanging="0"/>
      <w:contextualSpacing/>
      <w:jc w:val="center"/>
    </w:pPr>
    <w:rPr>
      <w:rFonts w:eastAsia="" w:cs="" w:cstheme="majorBidi" w:eastAsiaTheme="majorEastAsia"/>
      <w:caps/>
      <w:kern w:val="2"/>
      <w:szCs w:val="56"/>
    </w:rPr>
  </w:style>
  <w:style w:type="paragraph" w:styleId="ListParagraph">
    <w:name w:val="List Paragraph"/>
    <w:basedOn w:val="Normal"/>
    <w:uiPriority w:val="34"/>
    <w:qFormat/>
    <w:rsid w:val="00616a56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860e6a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2"/>
    <w:uiPriority w:val="99"/>
    <w:unhideWhenUsed/>
    <w:rsid w:val="00860e6a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Style14" w:customStyle="1">
    <w:name w:val="РисТабл"/>
    <w:basedOn w:val="Normal"/>
    <w:link w:val="Style13"/>
    <w:qFormat/>
    <w:rsid w:val="009c4ca3"/>
    <w:pPr>
      <w:ind w:hanging="0"/>
      <w:jc w:val="center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2"/>
    <w:uiPriority w:val="39"/>
    <w:rsid w:val="004719b8"/>
    <w:pPr>
      <w:spacing w:after="0" w:line="240" w:lineRule="auto"/>
    </w:pPr>
    <w:rPr>
      <w:sz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<Relationship Id="rId8" Type="http://schemas.openxmlformats.org/officeDocument/2006/relationships/customXml" Target="../customXml/item4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F93BCC7E9A594D942B07735E066745" ma:contentTypeVersion="11" ma:contentTypeDescription="Створення нового документа." ma:contentTypeScope="" ma:versionID="4c5462c8a7ac5c86063d1c2093b16879">
  <xsd:schema xmlns:xsd="http://www.w3.org/2001/XMLSchema" xmlns:xs="http://www.w3.org/2001/XMLSchema" xmlns:p="http://schemas.microsoft.com/office/2006/metadata/properties" xmlns:ns2="df319128-b2ed-42de-8789-b4adef60ea6a" xmlns:ns3="816a5173-e6b7-4048-8975-0a9fee7f47b5" targetNamespace="http://schemas.microsoft.com/office/2006/metadata/properties" ma:root="true" ma:fieldsID="24ce8a9d8aa1b41a77cb42385bc3dd64" ns2:_="" ns3:_="">
    <xsd:import namespace="df319128-b2ed-42de-8789-b4adef60ea6a"/>
    <xsd:import namespace="816a5173-e6b7-4048-8975-0a9fee7f4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319128-b2ed-42de-8789-b4adef60ea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6a5173-e6b7-4048-8975-0a9fee7f4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E75357-D25D-4626-9FC1-C10001E4AD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319128-b2ed-42de-8789-b4adef60ea6a"/>
    <ds:schemaRef ds:uri="816a5173-e6b7-4048-8975-0a9fee7f47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D6841B-DE8B-401E-9723-EC761F6874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D4F321-6DC9-4BA6-9976-4A21EACA31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9583C3E-7A83-4FD6-8269-1CF62C98AAF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LibreOffice/26.2.6.3$Linux_X86_64 LibreOffice_project/620$Build-3</Application>
  <AppVersion>15.0000</AppVersion>
  <Pages>2</Pages>
  <Words>147</Words>
  <Characters>1005</Characters>
  <CharactersWithSpaces>1186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2022-09-21T18:00:00Z</dcterms:created>
  <dc:creator>Кирило  ВАДУРІН</dc:creator>
  <dc:description/>
  <dc:language>ru-RU</dc:language>
  <cp:lastModifiedBy/>
  <dcterms:modified xsi:type="dcterms:W3CDTF">2026-09-15T19:10:40Z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0x010100BBF93BCC7E9A594D942B07735E066745</vt:lpwstr>
  </property>
</Properties>
</file>