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3D7251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337 Golden Tulip Aguas Claras Resort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3D7251">
              <w:rPr>
                <w:rFonts w:ascii="Times New Roman" w:hAnsi="Times New Roman" w:cs="Times New Roman"/>
                <w:i/>
                <w:lang w:val="es-ES"/>
              </w:rPr>
              <w:t>(100)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Dirección</w:t>
            </w:r>
            <w:r w:rsidR="00DF1357" w:rsidRPr="003D7251">
              <w:rPr>
                <w:rFonts w:ascii="Times New Roman" w:hAnsi="Times New Roman" w:cs="Times New Roman"/>
                <w:i/>
                <w:lang w:val="es-ES"/>
              </w:rPr>
              <w:t xml:space="preserve"> / (0) DirecciÃ³n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3200019983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09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DirecciÃ³n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Traslado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3D7251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3D7251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Informático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proofErr w:type="spellStart"/>
            <w:r w:rsidRPr="003D7251">
              <w:rPr>
                <w:rFonts w:ascii="Times New Roman" w:hAnsi="Times New Roman" w:cs="Times New Roman"/>
                <w:i/>
                <w:lang w:val="es-ES"/>
              </w:rPr>
              <w:t>Yiliem</w:t>
            </w:r>
            <w:proofErr w:type="spellEnd"/>
            <w:r w:rsidRPr="003D7251">
              <w:rPr>
                <w:rFonts w:ascii="Times New Roman" w:hAnsi="Times New Roman" w:cs="Times New Roman"/>
                <w:i/>
                <w:lang w:val="es-ES"/>
              </w:rPr>
              <w:t xml:space="preserve">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04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Firma: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10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F73AA0">
              <w:rPr>
                <w:rFonts w:ascii="Times New Roman" w:hAnsi="Times New Roman" w:cs="Times New Roman"/>
                <w:lang w:val="es-ES"/>
              </w:rPr>
              <w:t>Libys Delgado Ramirez (JEFEJARDINERIA)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F73AA0">
              <w:rPr>
                <w:rFonts w:ascii="Times New Roman" w:hAnsi="Times New Roman" w:cs="Times New Roman"/>
                <w:lang w:val="es-ES"/>
              </w:rPr>
              <w:t>ENCARGADO RECEPCIÓN Y PIZARRA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(JEFE2SSTT)</w:t>
            </w:r>
            <w:bookmarkEnd w:id="0"/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ENCARGADO RECEPCIÓN Y PIZARRA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157E11"/>
    <w:rsid w:val="003D7251"/>
    <w:rsid w:val="003E5C2A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D73A8C"/>
    <w:rsid w:val="00DF1357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Usuario de Windows</cp:lastModifiedBy>
  <cp:revision>19</cp:revision>
  <cp:lastPrinted>2017-06-29T19:29:00Z</cp:lastPrinted>
  <dcterms:created xsi:type="dcterms:W3CDTF">2017-05-18T13:15:00Z</dcterms:created>
  <dcterms:modified xsi:type="dcterms:W3CDTF">2018-06-09T20:35:00Z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