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left"/>
      </w:pPr>
      <w:r>
        <w:rPr>
          <w:rFonts w:ascii="Times New Roman" w:hAnsi="Times New Roman"/>
          <w:color w:val="000000"/>
          <w:sz w:val="24"/>
        </w:rPr>
        <w:t xml:space="preserve">MAKERERE UNIVERSITY</w:t>
      </w:r>
    </w:p>
    <w:p>
      <w:pPr>
        <w:pStyle w:val="BodyText"/>
        <w:jc w:val="both"/>
      </w:pPr>
      <w:r>
        <w:rPr>
          <w:rFonts w:ascii="Times New Roman" w:hAnsi="Times New Roman"/>
          <w:color w:val="000000"/>
          <w:sz w:val="24"/>
        </w:rPr>
        <w:t xml:space="preserve">COLLEGE OF COMPUTING AND INFORMATION SCIENCES</w:t>
      </w:r>
    </w:p>
    <w:p>
      <w:pPr>
        <w:pStyle w:val="BodyText"/>
        <w:jc w:val="both"/>
      </w:pPr>
      <w:r>
        <w:rPr>
          <w:rFonts w:ascii="Times New Roman" w:hAnsi="Times New Roman"/>
          <w:color w:val="000000"/>
          <w:sz w:val="24"/>
        </w:rPr>
        <w:t xml:space="preserve">DEPARTMENT OF NETWORKS</w:t>
      </w:r>
    </w:p>
    <w:p>
      <w:pPr>
        <w:pStyle w:val="BodyText"/>
        <w:jc w:val="both"/>
      </w:pPr>
      <w:r>
        <w:rPr>
          <w:rFonts w:ascii="Times New Roman" w:hAnsi="Times New Roman"/>
          <w:b/>
          <w:bCs/>
          <w:color w:val="000000"/>
          <w:sz w:val="24"/>
        </w:rPr>
        <w:t xml:space="preserve">DESIGN AND IMPLEMENTATION OF A CONFLICT-AWARE EDGE SYNCHRONISATION RUNTIME FOR OFFLINE-FIRST DISTRIBUTED DHIS2 WORKFLOWS</w:t>
      </w:r>
    </w:p>
    <w:p>
      <w:pPr>
        <w:pStyle w:val="BodyText"/>
        <w:jc w:val="both"/>
      </w:pPr>
      <w:r>
        <w:rPr>
          <w:rFonts w:ascii="Times New Roman" w:hAnsi="Times New Roman"/>
          <w:b/>
          <w:bCs/>
          <w:color w:val="000000"/>
          <w:sz w:val="24"/>
        </w:rPr>
        <w:t xml:space="preserve">PROJECT CONCEPT PAPER</w:t>
      </w:r>
    </w:p>
    <w:p>
      <w:pPr>
        <w:pStyle w:val="BodyText"/>
        <w:jc w:val="both"/>
      </w:pPr>
      <w:r>
        <w:rPr>
          <w:rFonts w:ascii="Times New Roman" w:hAnsi="Times New Roman"/>
          <w:color w:val="000000"/>
          <w:sz w:val="24"/>
        </w:rPr>
        <w:t xml:space="preserve">STEPHEN OCAYA</w:t>
      </w:r>
    </w:p>
    <w:p>
      <w:pPr>
        <w:pStyle w:val="BodyText"/>
        <w:jc w:val="both"/>
      </w:pPr>
      <w:r>
        <w:rPr>
          <w:rFonts w:ascii="Times New Roman" w:hAnsi="Times New Roman"/>
          <w:color w:val="000000"/>
          <w:sz w:val="24"/>
        </w:rPr>
        <w:t xml:space="preserve">Registration No.: 2013/HD05/501U | Student No.: 1400704918</w:t>
      </w:r>
    </w:p>
    <w:p>
      <w:pPr>
        <w:pStyle w:val="BodyText"/>
        <w:jc w:val="both"/>
      </w:pPr>
      <w:r>
        <w:rPr>
          <w:rFonts w:ascii="Times New Roman" w:hAnsi="Times New Roman"/>
          <w:color w:val="000000"/>
          <w:sz w:val="24"/>
        </w:rPr>
        <w:t xml:space="preserve">MSc Data Communications and Software Engineering — Software Engineering Option</w:t>
      </w:r>
    </w:p>
    <w:p>
      <w:pPr>
        <w:pStyle w:val="BodyText"/>
        <w:jc w:val="both"/>
      </w:pPr>
      <w:r>
        <w:rPr>
          <w:rFonts w:ascii="Times New Roman" w:hAnsi="Times New Roman"/>
          <w:color w:val="000000"/>
          <w:sz w:val="24"/>
        </w:rPr>
        <w:t xml:space="preserve">Supervisor: [To be confirmed]</w:t>
      </w:r>
    </w:p>
    <w:p>
      <w:pPr>
        <w:pStyle w:val="BodyText"/>
        <w:jc w:val="both"/>
      </w:pPr>
      <w:r>
        <w:rPr>
          <w:rFonts w:ascii="Times New Roman" w:hAnsi="Times New Roman"/>
          <w:color w:val="000000"/>
          <w:sz w:val="24"/>
        </w:rPr>
        <w:t xml:space="preserve">October 2026</w:t>
      </w:r>
    </w:p>
    <w:bookmarkStart w:id="28" w:name="concept-paper"/>
    <w:p>
      <w:pPr>
        <w:pStyle w:val="Heading1"/>
        <w:jc w:val="left"/>
      </w:pPr>
      <w:r>
        <w:rPr>
          <w:rFonts w:ascii="Times New Roman" w:hAnsi="Times New Roman"/>
          <w:color w:val="000000"/>
        </w:rPr>
        <w:t xml:space="preserve">CONCEPT PAPER</w:t>
      </w:r>
    </w:p>
    <w:bookmarkStart w:id="20" w:name="background-and-rationale"/>
    <w:p>
      <w:pPr>
        <w:pStyle w:val="Heading2"/>
        <w:jc w:val="left"/>
      </w:pPr>
      <w:r>
        <w:rPr>
          <w:rFonts w:ascii="Times New Roman" w:hAnsi="Times New Roman"/>
          <w:color w:val="000000"/>
        </w:rPr>
        <w:t xml:space="preserve">Background and Rationale</w:t>
      </w:r>
    </w:p>
    <w:p>
      <w:pPr>
        <w:pStyle w:val="FirstParagraph"/>
        <w:jc w:val="both"/>
      </w:pPr>
      <w:r>
        <w:rPr>
          <w:rFonts w:ascii="Times New Roman" w:hAnsi="Times New Roman"/>
          <w:color w:val="000000"/>
          <w:sz w:val="24"/>
        </w:rPr>
        <w:t xml:space="preserve">District Health Information Software 2 (DHIS2) supports aggregate, event and Tracker workflows across distributed organisations [1]. Centrally hosted deployments can interrupt shared workflow execution during internet outages. DHIS2 Android Capture and other supported offline applications can hold local metadata and records [2], [3], but device-local capture does not inherently provide a common, reliable execution environment for multiple users. Existing local DHIS2 deployments present another possibility, yet raise configuration, operations and central-consolidation demands [6].</w:t>
      </w:r>
    </w:p>
    <w:bookmarkEnd w:id="20"/>
    <w:bookmarkStart w:id="21" w:name="statement-of-the-problem"/>
    <w:p>
      <w:pPr>
        <w:pStyle w:val="Heading2"/>
        <w:jc w:val="left"/>
      </w:pPr>
      <w:r>
        <w:rPr>
          <w:rFonts w:ascii="Times New Roman" w:hAnsi="Times New Roman"/>
          <w:color w:val="000000"/>
        </w:rPr>
        <w:t xml:space="preserve">Statement of the Problem</w:t>
      </w:r>
    </w:p>
    <w:p>
      <w:pPr>
        <w:pStyle w:val="FirstParagraph"/>
        <w:jc w:val="both"/>
      </w:pPr>
      <w:r>
        <w:rPr>
          <w:rFonts w:ascii="Times New Roman" w:hAnsi="Times New Roman"/>
          <w:color w:val="000000"/>
          <w:sz w:val="24"/>
        </w:rPr>
        <w:t xml:space="preserve">Centrally hosted DHIS2 installations commonly require internet connectivity for shared application services and interdependent multi-user workflows. Device-level offline capture does not inherently provide a fully functional, persistent local operating environment in which authorised users can authenticate, read and update common records, apply supported rules and complete linked activities while the central installation is inaccessible. Browser-held unsynchronised data may be deleted, evicted or lost following device failure. Independently hosted site installations improve local availability but introduce infrastructure, metadata, concurrency and reconciliation challenges. The project therefore addresses the need for a designed and experimentally evaluated, conflict-aware edge runtime enabling full local execution of</w:t>
      </w:r>
      <w:r>
        <w:rPr>
          <w:rFonts w:ascii="Times New Roman" w:hAnsi="Times New Roman"/>
          <w:color w:val="000000"/>
          <w:sz w:val="24"/>
        </w:rPr>
        <w:t xml:space="preserve"> </w:t>
      </w:r>
      <w:r>
        <w:rPr>
          <w:rFonts w:ascii="Times New Roman" w:hAnsi="Times New Roman"/>
          <w:i/>
          <w:iCs/>
          <w:color w:val="000000"/>
          <w:sz w:val="24"/>
        </w:rPr>
        <w:t xml:space="preserve">supported</w:t>
      </w:r>
      <w:r>
        <w:rPr>
          <w:rFonts w:ascii="Times New Roman" w:hAnsi="Times New Roman"/>
          <w:color w:val="000000"/>
          <w:sz w:val="24"/>
        </w:rPr>
        <w:t xml:space="preserve"> </w:t>
      </w:r>
      <w:r>
        <w:rPr>
          <w:rFonts w:ascii="Times New Roman" w:hAnsi="Times New Roman"/>
          <w:color w:val="000000"/>
          <w:sz w:val="24"/>
        </w:rPr>
        <w:t xml:space="preserve">DHIS2 workflows and reliable background consolidation with the authoritative central installation.</w:t>
      </w:r>
    </w:p>
    <w:bookmarkEnd w:id="21"/>
    <w:bookmarkStart w:id="22" w:name="general-objective"/>
    <w:p>
      <w:pPr>
        <w:pStyle w:val="Heading2"/>
        <w:jc w:val="left"/>
      </w:pPr>
      <w:r>
        <w:rPr>
          <w:rFonts w:ascii="Times New Roman" w:hAnsi="Times New Roman"/>
          <w:color w:val="000000"/>
        </w:rPr>
        <w:t xml:space="preserve">General Objective</w:t>
      </w:r>
    </w:p>
    <w:p>
      <w:pPr>
        <w:pStyle w:val="FirstParagraph"/>
        <w:jc w:val="both"/>
      </w:pPr>
      <w:r>
        <w:rPr>
          <w:rFonts w:ascii="Times New Roman" w:hAnsi="Times New Roman"/>
          <w:color w:val="000000"/>
          <w:sz w:val="24"/>
        </w:rPr>
        <w:t xml:space="preserve">To design, implement and experimentally evaluate a conflict-aware Edge DHIS2 Runtime for full local execution of supported workflows through authenticated, durable and shared multi-user services independently of continuous internet access, with asynchronous central synchronisation.</w:t>
      </w:r>
    </w:p>
    <w:bookmarkEnd w:id="22"/>
    <w:bookmarkStart w:id="23" w:name="specific-objectives"/>
    <w:p>
      <w:pPr>
        <w:pStyle w:val="Heading2"/>
        <w:jc w:val="left"/>
      </w:pPr>
      <w:r>
        <w:rPr>
          <w:rFonts w:ascii="Times New Roman" w:hAnsi="Times New Roman"/>
          <w:color w:val="000000"/>
        </w:rPr>
        <w:t xml:space="preserve">Specific Objectives</w:t>
      </w:r>
    </w:p>
    <w:p>
      <w:pPr>
        <w:numPr>
          <w:ilvl w:val="0"/>
          <w:numId w:val="1001"/>
        </w:numPr>
        <w:jc w:val="both"/>
      </w:pPr>
      <w:r>
        <w:rPr>
          <w:rFonts w:ascii="Times New Roman" w:hAnsi="Times New Roman"/>
          <w:color w:val="000000"/>
          <w:sz w:val="24"/>
        </w:rPr>
        <w:t xml:space="preserve">Analyse the application, metadata, security, shared persistence, concurrency and synchronisation requirements for selected aggregate, event and Tracker workflows.</w:t>
      </w:r>
    </w:p>
    <w:p>
      <w:pPr>
        <w:numPr>
          <w:ilvl w:val="0"/>
          <w:numId w:val="1001"/>
        </w:numPr>
        <w:jc w:val="both"/>
      </w:pPr>
      <w:r>
        <w:rPr>
          <w:rFonts w:ascii="Times New Roman" w:hAnsi="Times New Roman"/>
          <w:color w:val="000000"/>
          <w:sz w:val="24"/>
        </w:rPr>
        <w:t xml:space="preserve">Design the edge runtime, shared repository, conflict-management policies and independent synchronisation architecture.</w:t>
      </w:r>
    </w:p>
    <w:p>
      <w:pPr>
        <w:numPr>
          <w:ilvl w:val="0"/>
          <w:numId w:val="1001"/>
        </w:numPr>
        <w:jc w:val="both"/>
      </w:pPr>
      <w:r>
        <w:rPr>
          <w:rFonts w:ascii="Times New Roman" w:hAnsi="Times New Roman"/>
          <w:color w:val="000000"/>
          <w:sz w:val="24"/>
        </w:rPr>
        <w:t xml:space="preserve">Implement authenticated local workflow services, persistent shared transactions, recovery and central data/metadata reconciliation.</w:t>
      </w:r>
    </w:p>
    <w:p>
      <w:pPr>
        <w:numPr>
          <w:ilvl w:val="0"/>
          <w:numId w:val="1001"/>
        </w:numPr>
        <w:jc w:val="both"/>
      </w:pPr>
      <w:r>
        <w:rPr>
          <w:rFonts w:ascii="Times New Roman" w:hAnsi="Times New Roman"/>
          <w:color w:val="000000"/>
          <w:sz w:val="24"/>
        </w:rPr>
        <w:t xml:space="preserve">Evaluate local functional compatibility, continuity, shared visibility, conflict handling, durability, central acceptance and resource use under controlled connectivity conditions.</w:t>
      </w:r>
    </w:p>
    <w:bookmarkEnd w:id="23"/>
    <w:bookmarkStart w:id="24" w:name="proposed-software-solution-and-scope"/>
    <w:p>
      <w:pPr>
        <w:pStyle w:val="Heading2"/>
        <w:jc w:val="left"/>
      </w:pPr>
      <w:r>
        <w:rPr>
          <w:rFonts w:ascii="Times New Roman" w:hAnsi="Times New Roman"/>
          <w:color w:val="000000"/>
        </w:rPr>
        <w:t xml:space="preserve">Proposed Software Solution and Scope</w:t>
      </w:r>
    </w:p>
    <w:p>
      <w:pPr>
        <w:pStyle w:val="FirstParagraph"/>
        <w:jc w:val="both"/>
      </w:pPr>
      <w:r>
        <w:rPr>
          <w:rFonts w:ascii="Times New Roman" w:hAnsi="Times New Roman"/>
          <w:color w:val="000000"/>
          <w:sz w:val="24"/>
        </w:rPr>
        <w:t xml:space="preserve">A local edge server will be the primary application endpoint for authorised LAN clients both when the internet is available and when it is unavailable. It will execute the selected application functions, retain relevant metadata, apply supported validation and access rules, and durably commit locally accepted transactions. All authorised local clients will access the same working records; conflicting writes will be detected and handled using defined policies. The background synchroniser will journal changes, track actual central acknowledgements, retry interrupted operations and preserve unresolved conflicts for review. This separates routine local workflow execution from remote data consolidation. Edge computing [5] and local-first principles [4] motivate this arrangement, but DHIS2-specific semantic compatibility must be verified rather than assumed.</w:t>
      </w:r>
    </w:p>
    <w:p>
      <w:pPr>
        <w:pStyle w:val="BodyText"/>
        <w:jc w:val="both"/>
      </w:pPr>
      <w:r>
        <w:rPr>
          <w:rFonts w:ascii="Times New Roman" w:hAnsi="Times New Roman"/>
          <w:color w:val="000000"/>
          <w:sz w:val="24"/>
        </w:rPr>
        <w:t xml:space="preserve">The prototype will target an explicitly versioned subset of DHIS2 aggregate, event and Tracker operations. It will not promise offline execution of every DHIS2 module or resilience after local server, LAN or power failure. Direct client-to-client replication and production rollout are excluded.</w:t>
      </w:r>
    </w:p>
    <w:bookmarkEnd w:id="24"/>
    <w:bookmarkStart w:id="25" w:name="development-and-evaluation-approach"/>
    <w:p>
      <w:pPr>
        <w:pStyle w:val="Heading2"/>
        <w:jc w:val="left"/>
      </w:pPr>
      <w:r>
        <w:rPr>
          <w:rFonts w:ascii="Times New Roman" w:hAnsi="Times New Roman"/>
          <w:color w:val="000000"/>
        </w:rPr>
        <w:t xml:space="preserve">Development and Evaluation Approach</w:t>
      </w:r>
    </w:p>
    <w:p>
      <w:pPr>
        <w:pStyle w:val="FirstParagraph"/>
        <w:jc w:val="both"/>
      </w:pPr>
      <w:r>
        <w:rPr>
          <w:rFonts w:ascii="Times New Roman" w:hAnsi="Times New Roman"/>
          <w:color w:val="000000"/>
          <w:sz w:val="24"/>
        </w:rPr>
        <w:t xml:space="preserve">The Plan B project will use iterative design science activities: requirements specification, comparison of full-instance/compatibility-service/hybrid alternatives, prototype implementation, and controlled experimental evaluation [7], [8]. Synthetic data and at least two clients will exercise connected operation, prolonged internet interruption with the local LAN functioning, and reconnection while local work continues. Tests will include permissions, rule parity, concurrent writes, application restart, durable transactions, uncertain acknowledgements and central metadata changes.</w:t>
      </w:r>
    </w:p>
    <w:p>
      <w:pPr>
        <w:pStyle w:val="BodyText"/>
        <w:jc w:val="both"/>
      </w:pPr>
      <w:r>
        <w:rPr>
          <w:rFonts w:ascii="Times New Roman" w:hAnsi="Times New Roman"/>
          <w:color w:val="000000"/>
          <w:sz w:val="24"/>
        </w:rPr>
        <w:t xml:space="preserve">Results will report supported-workflow completion, time until committed local records are visible to another client, agreement with central validation, precision and recall of conflict detection, lost/duplicate updates, central acceptance and backlog recovery time. Acceptance criteria will be specified in the requirements specification; failed and unresolved operations will remain visible in the results.</w:t>
      </w:r>
    </w:p>
    <w:bookmarkEnd w:id="25"/>
    <w:bookmarkStart w:id="26" w:name="expected-outputs"/>
    <w:p>
      <w:pPr>
        <w:pStyle w:val="Heading2"/>
        <w:jc w:val="left"/>
      </w:pPr>
      <w:r>
        <w:rPr>
          <w:rFonts w:ascii="Times New Roman" w:hAnsi="Times New Roman"/>
          <w:color w:val="000000"/>
        </w:rPr>
        <w:t xml:space="preserve">Expected Outputs</w:t>
      </w:r>
    </w:p>
    <w:p>
      <w:pPr>
        <w:pStyle w:val="FirstParagraph"/>
        <w:jc w:val="both"/>
      </w:pPr>
      <w:r>
        <w:rPr>
          <w:rFonts w:ascii="Times New Roman" w:hAnsi="Times New Roman"/>
          <w:color w:val="000000"/>
          <w:sz w:val="24"/>
        </w:rPr>
        <w:t xml:space="preserve">The project will produce a requirements specification, architecture decision record and diagrams, a functional edge runtime and synchroniser, reproducible synthetic tests, and a documented correctness/performance evaluation. The contribution is a verifiable, shared local operating environment for supported workflows, not simply offline data capture or deferred upload.</w:t>
      </w:r>
    </w:p>
    <w:bookmarkEnd w:id="26"/>
    <w:bookmarkStart w:id="27" w:name="references"/>
    <w:p>
      <w:pPr>
        <w:pStyle w:val="Heading2"/>
        <w:jc w:val="left"/>
      </w:pPr>
      <w:r>
        <w:rPr>
          <w:rFonts w:ascii="Times New Roman" w:hAnsi="Times New Roman"/>
          <w:color w:val="000000"/>
        </w:rPr>
        <w:t xml:space="preserve">REFERENCES</w:t>
      </w:r>
    </w:p>
    <w:p>
      <w:pPr>
        <w:pStyle w:val="FirstParagraph"/>
        <w:jc w:val="both"/>
      </w:pPr>
      <w:r>
        <w:rPr>
          <w:rFonts w:ascii="Times New Roman" w:hAnsi="Times New Roman"/>
          <w:color w:val="000000"/>
          <w:sz w:val="24"/>
        </w:rPr>
        <w:t xml:space="preserve">=1.3em</w:t>
      </w:r>
    </w:p>
    <w:p>
      <w:pPr>
        <w:pStyle w:val="BodyText"/>
        <w:jc w:val="both"/>
      </w:pPr>
      <w:r>
        <w:rPr>
          <w:rFonts w:ascii="Times New Roman" w:hAnsi="Times New Roman"/>
          <w:color w:val="000000"/>
          <w:sz w:val="24"/>
        </w:rPr>
        <w:t xml:space="preserve">[1] DHIS2,</w:t>
      </w:r>
      <w:r>
        <w:rPr>
          <w:rFonts w:ascii="Times New Roman" w:hAnsi="Times New Roman"/>
          <w:color w:val="000000"/>
          <w:sz w:val="24"/>
        </w:rPr>
        <w:t xml:space="preserve"> </w:t>
      </w:r>
      <w:r>
        <w:rPr>
          <w:rFonts w:ascii="Times New Roman" w:hAnsi="Times New Roman"/>
          <w:color w:val="000000"/>
          <w:sz w:val="24"/>
        </w:rPr>
        <w:t xml:space="preserve">“</w:t>
      </w:r>
      <w:r>
        <w:rPr>
          <w:rFonts w:ascii="Times New Roman" w:hAnsi="Times New Roman"/>
          <w:color w:val="000000"/>
          <w:sz w:val="24"/>
        </w:rPr>
        <w:t xml:space="preserve">DHIS2 Documentation: DHIS2 Core and platform overview</w:t>
      </w:r>
      <w:r>
        <w:rPr>
          <w:rFonts w:ascii="Times New Roman" w:hAnsi="Times New Roman"/>
          <w:color w:val="000000"/>
          <w:sz w:val="24"/>
        </w:rPr>
        <w:t xml:space="preserve">”</w:t>
      </w:r>
      <w:r>
        <w:rPr>
          <w:rFonts w:ascii="Times New Roman" w:hAnsi="Times New Roman"/>
          <w:color w:val="000000"/>
          <w:sz w:val="24"/>
        </w:rPr>
        <w:t xml:space="preserve">. https://docs.dhis2.org/</w:t>
      </w:r>
    </w:p>
    <w:p>
      <w:pPr>
        <w:pStyle w:val="BodyText"/>
        <w:jc w:val="both"/>
      </w:pPr>
      <w:r>
        <w:rPr>
          <w:rFonts w:ascii="Times New Roman" w:hAnsi="Times New Roman"/>
          <w:color w:val="000000"/>
          <w:sz w:val="24"/>
        </w:rPr>
        <w:t xml:space="preserve">=1.3em</w:t>
      </w:r>
    </w:p>
    <w:p>
      <w:pPr>
        <w:pStyle w:val="BodyText"/>
        <w:jc w:val="both"/>
      </w:pPr>
      <w:r>
        <w:rPr>
          <w:rFonts w:ascii="Times New Roman" w:hAnsi="Times New Roman"/>
          <w:color w:val="000000"/>
          <w:sz w:val="24"/>
        </w:rPr>
        <w:t xml:space="preserve">[2] DHIS2,</w:t>
      </w:r>
      <w:r>
        <w:rPr>
          <w:rFonts w:ascii="Times New Roman" w:hAnsi="Times New Roman"/>
          <w:color w:val="000000"/>
          <w:sz w:val="24"/>
        </w:rPr>
        <w:t xml:space="preserve"> </w:t>
      </w:r>
      <w:r>
        <w:rPr>
          <w:rFonts w:ascii="Times New Roman" w:hAnsi="Times New Roman"/>
          <w:color w:val="000000"/>
          <w:sz w:val="24"/>
        </w:rPr>
        <w:t xml:space="preserve">“</w:t>
      </w:r>
      <w:r>
        <w:rPr>
          <w:rFonts w:ascii="Times New Roman" w:hAnsi="Times New Roman"/>
          <w:color w:val="000000"/>
          <w:sz w:val="24"/>
        </w:rPr>
        <w:t xml:space="preserve">DHIS2 Android Implementation</w:t>
      </w:r>
      <w:r>
        <w:rPr>
          <w:rFonts w:ascii="Times New Roman" w:hAnsi="Times New Roman"/>
          <w:color w:val="000000"/>
          <w:sz w:val="24"/>
        </w:rPr>
        <w:t xml:space="preserve">”</w:t>
      </w:r>
      <w:r>
        <w:rPr>
          <w:rFonts w:ascii="Times New Roman" w:hAnsi="Times New Roman"/>
          <w:color w:val="000000"/>
          <w:sz w:val="24"/>
        </w:rPr>
        <w:t xml:space="preserve">. https://docs.dhis2.org/en/full/implement/android-implementation.html</w:t>
      </w:r>
    </w:p>
    <w:p>
      <w:pPr>
        <w:pStyle w:val="BodyText"/>
        <w:jc w:val="both"/>
      </w:pPr>
      <w:r>
        <w:rPr>
          <w:rFonts w:ascii="Times New Roman" w:hAnsi="Times New Roman"/>
          <w:color w:val="000000"/>
          <w:sz w:val="24"/>
        </w:rPr>
        <w:t xml:space="preserve">=1.3em</w:t>
      </w:r>
    </w:p>
    <w:p>
      <w:pPr>
        <w:pStyle w:val="BodyText"/>
        <w:jc w:val="both"/>
      </w:pPr>
      <w:r>
        <w:rPr>
          <w:rFonts w:ascii="Times New Roman" w:hAnsi="Times New Roman"/>
          <w:color w:val="000000"/>
          <w:sz w:val="24"/>
        </w:rPr>
        <w:t xml:space="preserve">[3] DHIS2,</w:t>
      </w:r>
      <w:r>
        <w:rPr>
          <w:rFonts w:ascii="Times New Roman" w:hAnsi="Times New Roman"/>
          <w:color w:val="000000"/>
          <w:sz w:val="24"/>
        </w:rPr>
        <w:t xml:space="preserve"> </w:t>
      </w:r>
      <w:r>
        <w:rPr>
          <w:rFonts w:ascii="Times New Roman" w:hAnsi="Times New Roman"/>
          <w:color w:val="000000"/>
          <w:sz w:val="24"/>
        </w:rPr>
        <w:t xml:space="preserve">“</w:t>
      </w:r>
      <w:r>
        <w:rPr>
          <w:rFonts w:ascii="Times New Roman" w:hAnsi="Times New Roman"/>
          <w:color w:val="000000"/>
          <w:sz w:val="24"/>
        </w:rPr>
        <w:t xml:space="preserve">Android SDK: Overview</w:t>
      </w:r>
      <w:r>
        <w:rPr>
          <w:rFonts w:ascii="Times New Roman" w:hAnsi="Times New Roman"/>
          <w:color w:val="000000"/>
          <w:sz w:val="24"/>
        </w:rPr>
        <w:t xml:space="preserve">”</w:t>
      </w:r>
      <w:r>
        <w:rPr>
          <w:rFonts w:ascii="Times New Roman" w:hAnsi="Times New Roman"/>
          <w:color w:val="000000"/>
          <w:sz w:val="24"/>
        </w:rPr>
        <w:t xml:space="preserve">. https://developers.dhis2.org/docs/mobile/android-sdk/overview/</w:t>
      </w:r>
    </w:p>
    <w:p>
      <w:pPr>
        <w:pStyle w:val="BodyText"/>
        <w:jc w:val="both"/>
      </w:pPr>
      <w:r>
        <w:rPr>
          <w:rFonts w:ascii="Times New Roman" w:hAnsi="Times New Roman"/>
          <w:color w:val="000000"/>
          <w:sz w:val="24"/>
        </w:rPr>
        <w:t xml:space="preserve">=1.3em</w:t>
      </w:r>
    </w:p>
    <w:p>
      <w:pPr>
        <w:pStyle w:val="BodyText"/>
        <w:jc w:val="both"/>
      </w:pPr>
      <w:r>
        <w:rPr>
          <w:rFonts w:ascii="Times New Roman" w:hAnsi="Times New Roman"/>
          <w:color w:val="000000"/>
          <w:sz w:val="24"/>
        </w:rPr>
        <w:t xml:space="preserve">[4] Martin Kleppmann; Adam Wiggins; Peter van Hardenberg; Mark McGranaghan,</w:t>
      </w:r>
      <w:r>
        <w:rPr>
          <w:rFonts w:ascii="Times New Roman" w:hAnsi="Times New Roman"/>
          <w:color w:val="000000"/>
          <w:sz w:val="24"/>
        </w:rPr>
        <w:t xml:space="preserve"> </w:t>
      </w:r>
      <w:r>
        <w:rPr>
          <w:rFonts w:ascii="Times New Roman" w:hAnsi="Times New Roman"/>
          <w:color w:val="000000"/>
          <w:sz w:val="24"/>
        </w:rPr>
        <w:t xml:space="preserve">“</w:t>
      </w:r>
      <w:r>
        <w:rPr>
          <w:rFonts w:ascii="Times New Roman" w:hAnsi="Times New Roman"/>
          <w:color w:val="000000"/>
          <w:sz w:val="24"/>
        </w:rPr>
        <w:t xml:space="preserve">Local-first software: You own your data, in spite of the cloud</w:t>
      </w:r>
      <w:r>
        <w:rPr>
          <w:rFonts w:ascii="Times New Roman" w:hAnsi="Times New Roman"/>
          <w:color w:val="000000"/>
          <w:sz w:val="24"/>
        </w:rPr>
        <w:t xml:space="preserve">”</w:t>
      </w:r>
      <w:r>
        <w:rPr>
          <w:rFonts w:ascii="Times New Roman" w:hAnsi="Times New Roman"/>
          <w:color w:val="000000"/>
          <w:sz w:val="24"/>
        </w:rPr>
        <w:t xml:space="preserve">, 2019. https://doi.org/10.1145/3359591.3359737</w:t>
      </w:r>
    </w:p>
    <w:p>
      <w:pPr>
        <w:pStyle w:val="BodyText"/>
        <w:jc w:val="both"/>
      </w:pPr>
      <w:r>
        <w:rPr>
          <w:rFonts w:ascii="Times New Roman" w:hAnsi="Times New Roman"/>
          <w:color w:val="000000"/>
          <w:sz w:val="24"/>
        </w:rPr>
        <w:t xml:space="preserve">=1.3em</w:t>
      </w:r>
    </w:p>
    <w:p>
      <w:pPr>
        <w:pStyle w:val="BodyText"/>
        <w:jc w:val="both"/>
      </w:pPr>
      <w:r>
        <w:rPr>
          <w:rFonts w:ascii="Times New Roman" w:hAnsi="Times New Roman"/>
          <w:color w:val="000000"/>
          <w:sz w:val="24"/>
        </w:rPr>
        <w:t xml:space="preserve">[5] Mahadev Satyanarayanan,</w:t>
      </w:r>
      <w:r>
        <w:rPr>
          <w:rFonts w:ascii="Times New Roman" w:hAnsi="Times New Roman"/>
          <w:color w:val="000000"/>
          <w:sz w:val="24"/>
        </w:rPr>
        <w:t xml:space="preserve"> </w:t>
      </w:r>
      <w:r>
        <w:rPr>
          <w:rFonts w:ascii="Times New Roman" w:hAnsi="Times New Roman"/>
          <w:color w:val="000000"/>
          <w:sz w:val="24"/>
        </w:rPr>
        <w:t xml:space="preserve">“</w:t>
      </w:r>
      <w:r>
        <w:rPr>
          <w:rFonts w:ascii="Times New Roman" w:hAnsi="Times New Roman"/>
          <w:color w:val="000000"/>
          <w:sz w:val="24"/>
        </w:rPr>
        <w:t xml:space="preserve">The emergence of edge computing</w:t>
      </w:r>
      <w:r>
        <w:rPr>
          <w:rFonts w:ascii="Times New Roman" w:hAnsi="Times New Roman"/>
          <w:color w:val="000000"/>
          <w:sz w:val="24"/>
        </w:rPr>
        <w:t xml:space="preserve">”</w:t>
      </w:r>
      <w:r>
        <w:rPr>
          <w:rFonts w:ascii="Times New Roman" w:hAnsi="Times New Roman"/>
          <w:color w:val="000000"/>
          <w:sz w:val="24"/>
        </w:rPr>
        <w:t xml:space="preserve">, 2017. https://doi.org/10.1109/MC.2017.9</w:t>
      </w:r>
    </w:p>
    <w:p>
      <w:pPr>
        <w:pStyle w:val="BodyText"/>
        <w:jc w:val="both"/>
      </w:pPr>
      <w:r>
        <w:rPr>
          <w:rFonts w:ascii="Times New Roman" w:hAnsi="Times New Roman"/>
          <w:color w:val="000000"/>
          <w:sz w:val="24"/>
        </w:rPr>
        <w:t xml:space="preserve">=1.3em</w:t>
      </w:r>
    </w:p>
    <w:p>
      <w:pPr>
        <w:pStyle w:val="BodyText"/>
        <w:jc w:val="both"/>
      </w:pPr>
      <w:r>
        <w:rPr>
          <w:rFonts w:ascii="Times New Roman" w:hAnsi="Times New Roman"/>
          <w:color w:val="000000"/>
          <w:sz w:val="24"/>
        </w:rPr>
        <w:t xml:space="preserve">[6] DHIS2,</w:t>
      </w:r>
      <w:r>
        <w:rPr>
          <w:rFonts w:ascii="Times New Roman" w:hAnsi="Times New Roman"/>
          <w:color w:val="000000"/>
          <w:sz w:val="24"/>
        </w:rPr>
        <w:t xml:space="preserve"> </w:t>
      </w:r>
      <w:r>
        <w:rPr>
          <w:rFonts w:ascii="Times New Roman" w:hAnsi="Times New Roman"/>
          <w:color w:val="000000"/>
          <w:sz w:val="24"/>
        </w:rPr>
        <w:t xml:space="preserve">“</w:t>
      </w:r>
      <w:r>
        <w:rPr>
          <w:rFonts w:ascii="Times New Roman" w:hAnsi="Times New Roman"/>
          <w:color w:val="000000"/>
          <w:sz w:val="24"/>
        </w:rPr>
        <w:t xml:space="preserve">DHIS2 End User Manual, version 2.31: Distributed deployment and synchronisation</w:t>
      </w:r>
      <w:r>
        <w:rPr>
          <w:rFonts w:ascii="Times New Roman" w:hAnsi="Times New Roman"/>
          <w:color w:val="000000"/>
          <w:sz w:val="24"/>
        </w:rPr>
        <w:t xml:space="preserve">”</w:t>
      </w:r>
      <w:r>
        <w:rPr>
          <w:rFonts w:ascii="Times New Roman" w:hAnsi="Times New Roman"/>
          <w:color w:val="000000"/>
          <w:sz w:val="24"/>
        </w:rPr>
        <w:t xml:space="preserve">. https://docs.dhis2.org/archive/en/2.31/user/html/dhis2_user_manual_en_full.html</w:t>
      </w:r>
    </w:p>
    <w:p>
      <w:pPr>
        <w:pStyle w:val="BodyText"/>
        <w:jc w:val="both"/>
      </w:pPr>
      <w:r>
        <w:rPr>
          <w:rFonts w:ascii="Times New Roman" w:hAnsi="Times New Roman"/>
          <w:color w:val="000000"/>
          <w:sz w:val="24"/>
        </w:rPr>
        <w:t xml:space="preserve">=1.3em</w:t>
      </w:r>
    </w:p>
    <w:p>
      <w:pPr>
        <w:pStyle w:val="BodyText"/>
        <w:jc w:val="both"/>
      </w:pPr>
      <w:r>
        <w:rPr>
          <w:rFonts w:ascii="Times New Roman" w:hAnsi="Times New Roman"/>
          <w:color w:val="000000"/>
          <w:sz w:val="24"/>
        </w:rPr>
        <w:t xml:space="preserve">[7] Emelie Engström; Margaret-Anne Storey; Per Runeson; Martin Höst; Maria Teresa Baldassarre,</w:t>
      </w:r>
      <w:r>
        <w:rPr>
          <w:rFonts w:ascii="Times New Roman" w:hAnsi="Times New Roman"/>
          <w:color w:val="000000"/>
          <w:sz w:val="24"/>
        </w:rPr>
        <w:t xml:space="preserve"> </w:t>
      </w:r>
      <w:r>
        <w:rPr>
          <w:rFonts w:ascii="Times New Roman" w:hAnsi="Times New Roman"/>
          <w:color w:val="000000"/>
          <w:sz w:val="24"/>
        </w:rPr>
        <w:t xml:space="preserve">“</w:t>
      </w:r>
      <w:r>
        <w:rPr>
          <w:rFonts w:ascii="Times New Roman" w:hAnsi="Times New Roman"/>
          <w:color w:val="000000"/>
          <w:sz w:val="24"/>
        </w:rPr>
        <w:t xml:space="preserve">How software engineering research aligns with design science: A review</w:t>
      </w:r>
      <w:r>
        <w:rPr>
          <w:rFonts w:ascii="Times New Roman" w:hAnsi="Times New Roman"/>
          <w:color w:val="000000"/>
          <w:sz w:val="24"/>
        </w:rPr>
        <w:t xml:space="preserve">”</w:t>
      </w:r>
      <w:r>
        <w:rPr>
          <w:rFonts w:ascii="Times New Roman" w:hAnsi="Times New Roman"/>
          <w:color w:val="000000"/>
          <w:sz w:val="24"/>
        </w:rPr>
        <w:t xml:space="preserve">, 2020. https://doi.org/10.1007/s10664-020-09818-7</w:t>
      </w:r>
    </w:p>
    <w:p>
      <w:pPr>
        <w:pStyle w:val="BodyText"/>
        <w:jc w:val="both"/>
      </w:pPr>
      <w:r>
        <w:rPr>
          <w:rFonts w:ascii="Times New Roman" w:hAnsi="Times New Roman"/>
          <w:color w:val="000000"/>
          <w:sz w:val="24"/>
        </w:rPr>
        <w:t xml:space="preserve">=1.3em</w:t>
      </w:r>
    </w:p>
    <w:p>
      <w:pPr>
        <w:pStyle w:val="BodyText"/>
        <w:jc w:val="both"/>
      </w:pPr>
      <w:r>
        <w:rPr>
          <w:rFonts w:ascii="Times New Roman" w:hAnsi="Times New Roman"/>
          <w:color w:val="000000"/>
          <w:sz w:val="24"/>
        </w:rPr>
        <w:t xml:space="preserve">[8] Jan vom Brocke; Alan Hevner; Alexander Maedche,</w:t>
      </w:r>
      <w:r>
        <w:rPr>
          <w:rFonts w:ascii="Times New Roman" w:hAnsi="Times New Roman"/>
          <w:color w:val="000000"/>
          <w:sz w:val="24"/>
        </w:rPr>
        <w:t xml:space="preserve"> </w:t>
      </w:r>
      <w:r>
        <w:rPr>
          <w:rFonts w:ascii="Times New Roman" w:hAnsi="Times New Roman"/>
          <w:color w:val="000000"/>
          <w:sz w:val="24"/>
        </w:rPr>
        <w:t xml:space="preserve">“</w:t>
      </w:r>
      <w:r>
        <w:rPr>
          <w:rFonts w:ascii="Times New Roman" w:hAnsi="Times New Roman"/>
          <w:color w:val="000000"/>
          <w:sz w:val="24"/>
        </w:rPr>
        <w:t xml:space="preserve">Introduction to Design Science Research</w:t>
      </w:r>
      <w:r>
        <w:rPr>
          <w:rFonts w:ascii="Times New Roman" w:hAnsi="Times New Roman"/>
          <w:color w:val="000000"/>
          <w:sz w:val="24"/>
        </w:rPr>
        <w:t xml:space="preserve">”</w:t>
      </w:r>
      <w:r>
        <w:rPr>
          <w:rFonts w:ascii="Times New Roman" w:hAnsi="Times New Roman"/>
          <w:color w:val="000000"/>
          <w:sz w:val="24"/>
        </w:rPr>
        <w:t xml:space="preserve">, 2020. https://doi.org/10.1007/978-3-030-46781-4_1</w:t>
      </w:r>
    </w:p>
    <w:bookmarkEnd w:id="27"/>
    <w:bookmarkEnd w:id="28"/>
    <w:sectPr>
      <w:pgSz w:h="16834" w:w="11909"/>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69" w:lineRule="auto"/>
    </w:pPr>
    <w:rPr>
      <w:rFonts w:ascii="Times New Roman" w:hAnsi="Times New Roman"/>
      <w:color w:val="000000"/>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hAnsi="Times New Roman"/>
      <w:b/>
      <w:color w:val="000000"/>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color w:val="000000"/>
      <w:sz w:val="24"/>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b/>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b/>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b/>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b/>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b/>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b/>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2026-10-21T11:58:12Z</dcterms:created>
  <dcterms:modified xsi:type="dcterms:W3CDTF">2026-10-21T11:58:12Z</dcterms:modified>
</cp:coreProperties>
</file>

<file path=docProps/custom.xml><?xml version="1.0" encoding="utf-8"?>
<Properties xmlns="http://schemas.openxmlformats.org/officeDocument/2006/custom-properties" xmlns:vt="http://schemas.openxmlformats.org/officeDocument/2006/docPropsVTypes"/>
</file>