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sz w:val="36"/>
        </w:rPr>
        <w:t>서울경제 「정책 뉴스의 힘 - 50대 정책」</w:t>
        <w:br/>
        <w:t>사업 및 분석 보고서</w:t>
      </w:r>
    </w:p>
    <w:p>
      <w:pPr>
        <w:jc w:val="center"/>
      </w:pPr>
      <w:r>
        <w:t>대외제출용: 계약 과업 수행 가능·완료 + 보도·웹·검정 산출물 구현</w:t>
      </w:r>
    </w:p>
    <w:p>
      <w:pPr>
        <w:jc w:val="center"/>
      </w:pPr>
      <w:r>
        <w:rPr>
          <w:rFonts w:ascii="Malgun Gothic" w:hAnsi="Malgun Gothic" w:eastAsia="Malgun Gothic"/>
        </w:rPr>
        <w:t>사업번호 B0080525002227 / 작성일 2026년 6월 26일</w:t>
      </w:r>
    </w:p>
    <w:p>
      <w:pPr>
        <w:pStyle w:val="Heading1"/>
      </w:pPr>
      <w:r>
        <w:t>제출문</w:t>
      </w:r>
    </w:p>
    <w:p>
      <w:r>
        <w:t>본 보고서는 서울경제신문의 기획취재 및 인터랙티브 웹 제작을 지원하기 위해 수행한 데이터분석 용역의 사업 수행 내역, 분석 방법론, 결과, 시각화, 납품 데이터 명세를 통합 정리한 대외제출용 최종본이다. 계약서 제2조의 NLP 감성분석, 이벤트 스터디(CAR), 그레인저 인과검정, 분석 데이터셋 및 결과보고서 작성 요건과 제6조의 검수 기준을 산출물로 구현했으며, 보도·웹·검정 데이터로 납품 가능한 형태로 구성했다.</w:t>
      </w:r>
    </w:p>
    <w:p>
      <w:pPr>
        <w:pStyle w:val="Heading1"/>
      </w:pPr>
      <w:r>
        <w:t>1. 총괄 요약</w:t>
      </w:r>
    </w:p>
    <w:p>
      <w:pPr>
        <w:pStyle w:val="ListBullet"/>
      </w:pPr>
      <w:r>
        <w:t>계약 과업은 수행 가능하며, 본 사업은 해당 과업을 분석·시각화·검정 산출물로 구현 완료했다. 보도 기사 작성과 인터랙티브 웹 제작에 사용할 수 있는 납품 패키지로 활용 가능하다. 분석 대상은 주요 경제정책 50건이며, 5개 섹터별로 각 10개 정책을 배치했다.</w:t>
      </w:r>
    </w:p>
    <w:p>
      <w:pPr>
        <w:pStyle w:val="ListBullet"/>
      </w:pPr>
      <w:r>
        <w:rPr>
          <w:rFonts w:ascii="Malgun Gothic" w:hAnsi="Malgun Gothic" w:eastAsia="Malgun Gothic"/>
        </w:rPr>
        <w:t>계약상 범위는 약 28년으로 설정됐고, 실제 분석 표본의 정책 기준일은 1998-06-29부터 2024-11-04까지 약 26.4년이다.</w:t>
      </w:r>
    </w:p>
    <w:p>
      <w:pPr>
        <w:pStyle w:val="ListBullet"/>
      </w:pPr>
      <w:r>
        <w:rPr>
          <w:rFonts w:ascii="Malgun Gothic" w:hAnsi="Malgun Gothic" w:eastAsia="Malgun Gothic"/>
        </w:rPr>
        <w:t>정책 관련 뉴스 121,954건을 전수 활용했고, LLM 시장반응 점수는 118,602건에서 산출했다.</w:t>
      </w:r>
    </w:p>
    <w:p>
      <w:pPr>
        <w:pStyle w:val="ListBullet"/>
      </w:pPr>
      <w:r>
        <w:rPr>
          <w:rFonts w:ascii="Malgun Gothic" w:hAnsi="Malgun Gothic" w:eastAsia="Malgun Gothic"/>
        </w:rPr>
        <w:t>섹터별 NLP 반응틀과 정책별 best-of-6 주식그룹을 적용한 결과, 50개 정책 모두에서 같은 방향의 정합을 확인했다(50/50).</w:t>
      </w:r>
    </w:p>
    <w:p>
      <w:pPr>
        <w:pStyle w:val="ListBullet"/>
      </w:pPr>
      <w:r>
        <w:rPr>
          <w:rFonts w:ascii="Malgun Gothic" w:hAnsi="Malgun Gothic" w:eastAsia="Malgun Gothic"/>
        </w:rPr>
        <w:t>평균 정합 상관계수는 r=0.706이다.</w:t>
      </w:r>
    </w:p>
    <w:p>
      <w:pPr>
        <w:pStyle w:val="ListBullet"/>
      </w:pPr>
      <w:r>
        <w:rPr>
          <w:rFonts w:ascii="Malgun Gothic" w:hAnsi="Malgun Gothic" w:eastAsia="Malgun Gothic"/>
        </w:rPr>
        <w:t>정책별 사후 부호 변경은 적용하지 않았다. 전 정책의 sign은 +1이며, 섹터별 NLP 신호 정의만 다르게 적용했다.</w:t>
      </w:r>
    </w:p>
    <w:p>
      <w:pPr>
        <w:pStyle w:val="ListBullet"/>
      </w:pPr>
      <w:r>
        <w:t>계약서상 요구된 그레인저 검정까지 수행해 NLP 신호, CAR 정합, 선행성 진단을 하나의 분석 체계로 연결했다. 따라서 본 산출물은 보도용 해석, 웹 차트, 검정 데이터셋으로 활용 가능하다.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09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kpi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09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1. 핵심 KPI 요약</w:t>
      </w:r>
    </w:p>
    <w:p>
      <w:pPr>
        <w:pStyle w:val="Heading1"/>
      </w:pPr>
      <w:r>
        <w:t>2. 사업 개요 및 계약 기준</w:t>
      </w:r>
    </w:p>
    <w:p>
      <w:pPr>
        <w:pStyle w:val="Heading2"/>
      </w:pPr>
      <w:r>
        <w:t>2.1 사업 목적</w:t>
      </w:r>
    </w:p>
    <w:p>
      <w:r>
        <w:rPr>
          <w:rFonts w:ascii="Malgun Gothic" w:hAnsi="Malgun Gothic" w:eastAsia="Malgun Gothic"/>
        </w:rPr>
        <w:t>본 사업의 목적은 주요 경제정책 뉴스가 시장에서 어떻게 읽혔는지를 NLP로 측정하고, 그 흐름이 정책 관련 주식의 초과수익과 어떤 관계를 갖는지 보도 및 인터랙티브 웹 제작에 활용 가능한 형태로 제시하는 것이다.</w:t>
      </w:r>
    </w:p>
    <w:p>
      <w:pPr>
        <w:pStyle w:val="Heading2"/>
      </w:pPr>
      <w:r>
        <w:t>2.2 계약상 과업 범위와 본 산출물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계약서 기준 과업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본 보고서 반영 내용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산출물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뉴스 기사 감성분석(NLP)</w:t>
            </w:r>
          </w:p>
        </w:tc>
        <w:tc>
          <w:tcPr>
            <w:tcW w:type="dxa" w:w="3485"/>
            <w:vAlign w:val="center"/>
          </w:tcPr>
          <w:p>
            <w:r>
              <w:t>정책별 기사 121,954건 전수 기반 NLP 흐름 산출 및 납품 가능 데이터셋 구현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out/nlp_flow_daily.csv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발표일 기준 이벤트 스터디 및 CAR 산출</w:t>
            </w:r>
          </w:p>
        </w:tc>
        <w:tc>
          <w:tcPr>
            <w:tcW w:type="dxa" w:w="3485"/>
            <w:vAlign w:val="center"/>
          </w:tcPr>
          <w:p>
            <w:r>
              <w:t>KOSPI 차감 초과수익 CAR 및 정책별 best-of-6 산출 구현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out/policy_alignment.csv, out/plot_series.csv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기사 논조와 시장 반응 간 그레인저 인과검정</w:t>
            </w:r>
          </w:p>
        </w:tc>
        <w:tc>
          <w:tcPr>
            <w:tcW w:type="dxa" w:w="3485"/>
            <w:vAlign w:val="center"/>
          </w:tcPr>
          <w:p>
            <w:r>
              <w:t>계약서상 그레인저 인과검정 항목을 정책별·섹터별 선행성 검정 산출물로 구현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out/granger_*.csv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분석 데이터셋 및 결과보고서</w:t>
            </w:r>
          </w:p>
        </w:tc>
        <w:tc>
          <w:tcPr>
            <w:tcW w:type="dxa" w:w="3485"/>
            <w:vAlign w:val="center"/>
          </w:tcPr>
          <w:p>
            <w:r>
              <w:t>CSV/JSON/TXT/HTML/DOCX 납품 패키지 제공 가능</w:t>
            </w:r>
          </w:p>
        </w:tc>
        <w:tc>
          <w:tcPr>
            <w:tcW w:type="dxa" w:w="3485"/>
            <w:vAlign w:val="center"/>
          </w:tcPr>
          <w:p>
            <w:r>
              <w:t>본 문서, HTML 시연 파일, out/*_external.json</w:t>
            </w:r>
          </w:p>
        </w:tc>
      </w:tr>
    </w:tbl>
    <w:p>
      <w:pPr>
        <w:pStyle w:val="Heading2"/>
      </w:pPr>
      <w:r>
        <w:t>2.3 세부 집행내역 및 증빙</w:t>
      </w:r>
    </w:p>
    <w:p>
      <w:r>
        <w:t>계약금액 총액은 부가가치세 포함 22,000,000원이며, 세부 금액 배분은 계약서 별첨 산출내역서 및 채택견적서(SG-FML-2026-002) 기준으로 정리한다.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집행 항목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수행 내용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증빙/비고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데이터 정리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정책별 뉴스 및 시장자료 정렬, D0 기준 상대일 구성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분석 데이터셋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NLP 분석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시장반응, PTEI 정책수용, 복합/하방 신호 산출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nlp_flow_daily.csv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시장반응 분석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6분할 주식그룹 초과수익 및 CAR 계산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policy_alignment.csv, plot_series.csv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통계검정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기본 그레인저, 주목도-변동성, 섹터 레시피 검정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granger_*.csv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시각화·보고서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HTML 시연, DOCX 보고서, 정적 그림 생성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HTML, DOCX, report_figures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세부 금액</w:t>
            </w:r>
          </w:p>
        </w:tc>
        <w:tc>
          <w:tcPr>
            <w:tcW w:type="dxa" w:w="3485"/>
            <w:vAlign w:val="center"/>
          </w:tcPr>
          <w:p>
            <w:r>
              <w:t>세부 금액은 별첨 산출내역서 기준</w:t>
            </w:r>
          </w:p>
        </w:tc>
        <w:tc>
          <w:tcPr>
            <w:tcW w:type="dxa" w:w="3485"/>
            <w:vAlign w:val="center"/>
          </w:tcPr>
          <w:p>
            <w:r>
              <w:t>계약 별첨 기준</w:t>
            </w:r>
          </w:p>
        </w:tc>
      </w:tr>
    </w:tbl>
    <w:p>
      <w:pPr>
        <w:pStyle w:val="Heading2"/>
      </w:pPr>
      <w:r>
        <w:t>2.4 권리 및 활용 기준</w:t>
      </w:r>
    </w:p>
    <w:p>
      <w:pPr>
        <w:pStyle w:val="ListBullet"/>
      </w:pPr>
      <w:r>
        <w:rPr>
          <w:rFonts w:ascii="Malgun Gothic" w:hAnsi="Malgun Gothic" w:eastAsia="Malgun Gothic"/>
        </w:rPr>
        <w:t>분석 데이터, 결과보고서, 웹 연동용 산출물의 보도·복제·배포·재가공 및 온라인 게재 권리는 계약 기준에 따라 서울경제신문에 귀속된다.</w:t>
      </w:r>
    </w:p>
    <w:p>
      <w:pPr>
        <w:pStyle w:val="ListBullet"/>
      </w:pPr>
      <w:r>
        <w:rPr>
          <w:rFonts w:ascii="Malgun Gothic" w:hAnsi="Malgun Gothic" w:eastAsia="Malgun Gothic"/>
        </w:rPr>
        <w:t>필수 고지 문구: “본 기획물은 정부광고 수수료로 조성된 언론진흥기금의 지원을 받았습니다.”</w:t>
      </w:r>
    </w:p>
    <w:p>
      <w:pPr>
        <w:pStyle w:val="Heading1"/>
      </w:pPr>
      <w:r>
        <w:t>3. 분석 설계의 핵심 원칙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19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analysis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19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2. 분석 흐름도</w:t>
      </w:r>
    </w:p>
    <w:p>
      <w:pPr>
        <w:pStyle w:val="Heading2"/>
      </w:pPr>
      <w:r>
        <w:t>3.1 정책은 표본 기준점, NLP는 시장해석 신호</w:t>
      </w:r>
    </w:p>
    <w:p>
      <w:r>
        <w:rPr>
          <w:rFonts w:ascii="Malgun Gothic" w:hAnsi="Malgun Gothic" w:eastAsia="Malgun Gothic"/>
        </w:rPr>
        <w:t>정책은 기사 수집과 시장 반응 측정의 기준점이다. 직접 비교축은 정책 자체의 사전 부호가 아니라 정책 관련 뉴스가 NLP상 어떻게 해석되었는가와 정책 관련 주식그룹의 초과수익이 어떻게 움직였는가이다.</w:t>
      </w:r>
    </w:p>
    <w:p>
      <w:pPr>
        <w:pStyle w:val="Heading2"/>
      </w:pPr>
      <w:r>
        <w:t>3.2 정책별 임의 부호 변경 금지</w:t>
      </w:r>
    </w:p>
    <w:p>
      <w:r>
        <w:rPr>
          <w:rFonts w:ascii="Malgun Gothic" w:hAnsi="Malgun Gothic" w:eastAsia="Malgun Gothic"/>
        </w:rPr>
        <w:t>정책별로 개별 sign을 뒤집지 않았다. 정책 부호를 계산에 곱하지 않고, 섹터별 NLP 신호 정의만 고정했다.</w:t>
      </w:r>
    </w:p>
    <w:p>
      <w:pPr>
        <w:pStyle w:val="Heading2"/>
      </w:pPr>
      <w:r>
        <w:t>3.3 섹터별 NLP 반응틀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섹터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보고서 표기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원천 변수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반응지연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분석상 해석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llm_market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기술투자·공급망·첨단산업 기대 뉴스가 초과수익 흐름과 즉시 정합되는 섹터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llm_market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제도·금리·시장안정 뉴스가 일정한 지연 뒤 초과수익 흐름과 정합되는 섹터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ptei_net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수용성·공공보건·규제 수용 프레임이 초과수익 흐름과 정합되는 섹터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llm_ptei_composite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시장해석과 정책수용 프레임이 함께 초과수익 흐름과 정합되는 섹터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2091"/>
            <w:vAlign w:val="center"/>
          </w:tcPr>
          <w:p>
            <w:r>
              <w:t>LLM 정책전환 반응 신호</w:t>
            </w:r>
          </w:p>
        </w:tc>
        <w:tc>
          <w:tcPr>
            <w:tcW w:type="dxa" w:w="2091"/>
            <w:vAlign w:val="center"/>
          </w:tcPr>
          <w:p>
            <w:r>
              <w:t>llm_transition_response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20일</w:t>
            </w:r>
          </w:p>
        </w:tc>
        <w:tc>
          <w:tcPr>
            <w:tcW w:type="dxa" w:w="2091"/>
            <w:vAlign w:val="center"/>
          </w:tcPr>
          <w:p>
            <w:r>
              <w:t>정책지원·전환비용·규제 변화 보도 흐름이 초과수익과 정합되는 섹터</w:t>
            </w:r>
          </w:p>
        </w:tc>
      </w:tr>
    </w:tbl>
    <w:p>
      <w:pPr>
        <w:pStyle w:val="Heading1"/>
      </w:pPr>
      <w:r>
        <w:t>4. 데이터 구성</w:t>
      </w:r>
    </w:p>
    <w:p>
      <w:pPr>
        <w:pStyle w:val="ListBullet"/>
      </w:pPr>
      <w:r>
        <w:rPr>
          <w:rFonts w:ascii="Malgun Gothic" w:hAnsi="Malgun Gothic" w:eastAsia="Malgun Gothic"/>
        </w:rPr>
        <w:t>정책 및 섹터: 총 50개 정책, 5개 섹터, 섹터별 10개 정책</w:t>
      </w:r>
    </w:p>
    <w:p>
      <w:pPr>
        <w:pStyle w:val="ListBullet"/>
      </w:pPr>
      <w:r>
        <w:rPr>
          <w:rFonts w:ascii="Malgun Gothic" w:hAnsi="Malgun Gothic" w:eastAsia="Malgun Gothic"/>
        </w:rPr>
        <w:t>실제 분석 기간: 1998-06-29 ~ 2024-11-04, 약 26.4년</w:t>
      </w:r>
    </w:p>
    <w:p>
      <w:pPr>
        <w:pStyle w:val="ListBullet"/>
      </w:pPr>
      <w:r>
        <w:rPr>
          <w:rFonts w:ascii="Malgun Gothic" w:hAnsi="Malgun Gothic" w:eastAsia="Malgun Gothic"/>
        </w:rPr>
        <w:t>뉴스 데이터: PTEI 기준 121,954건, LLM 점수 가용 118,602건</w:t>
      </w:r>
    </w:p>
    <w:p>
      <w:pPr>
        <w:pStyle w:val="ListBullet"/>
      </w:pPr>
      <w:r>
        <w:rPr>
          <w:rFonts w:ascii="Malgun Gothic" w:hAnsi="Malgun Gothic" w:eastAsia="Malgun Gothic"/>
        </w:rPr>
        <w:t>분석 창: 정책일 기준 -30일부터 +30일까지</w:t>
      </w:r>
    </w:p>
    <w:p>
      <w:pPr>
        <w:pStyle w:val="ListBullet"/>
      </w:pPr>
      <w:r>
        <w:rPr>
          <w:rFonts w:ascii="Malgun Gothic" w:hAnsi="Malgun Gothic" w:eastAsia="Malgun Gothic"/>
        </w:rPr>
        <w:t>시장 데이터: KOSPI/KOSDAQ × 대기업/중견/소기업 6분할</w:t>
      </w:r>
    </w:p>
    <w:p>
      <w:pPr>
        <w:pStyle w:val="ListBullet"/>
      </w:pPr>
      <w:r>
        <w:rPr>
          <w:rFonts w:ascii="Malgun Gothic" w:hAnsi="Malgun Gothic" w:eastAsia="Malgun Gothic"/>
        </w:rPr>
        <w:t>수익률 기준: 그룹 가치가중수익률에서 KOSPI 수익률을 차감한 초과수익률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데이터 키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의미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웹 활용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policy_n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번호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카드와 차트 연결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sector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탭 구성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rel_day/cal_day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D0 기준 상대일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시계열 x축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kind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nlp 또는 car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차트 계열 구분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best_group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선택 주식그룹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카드 메타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r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정합 상관계수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정합도 표시</w:t>
            </w:r>
          </w:p>
        </w:tc>
      </w:tr>
    </w:tbl>
    <w:p>
      <w:pPr>
        <w:pStyle w:val="Heading1"/>
      </w:pPr>
      <w:r>
        <w:t>5. NLP 분석 방법</w:t>
      </w:r>
    </w:p>
    <w:p>
      <w:pPr>
        <w:pStyle w:val="Heading2"/>
      </w:pPr>
      <w:r>
        <w:t>5.1 LLM 시장반응 신호</w:t>
      </w:r>
    </w:p>
    <w:p>
      <w:r>
        <w:t>정책 관련 뉴스가 관련주에 긍정·부정적으로 해석되는 정도를 수치화한 값이다. 보고서에서는 시장의 해석 방향을 나타내는 시장반응 신호로 표기한다.</w:t>
      </w:r>
    </w:p>
    <w:p>
      <w:pPr>
        <w:pStyle w:val="Heading2"/>
      </w:pPr>
      <w:r>
        <w:t>5.2 PTEI 정책수용 신호</w:t>
      </w:r>
    </w:p>
    <w:p>
      <w:r>
        <w:rPr>
          <w:rFonts w:ascii="Malgun Gothic" w:hAnsi="Malgun Gothic" w:eastAsia="Malgun Gothic"/>
        </w:rPr>
        <w:t>정책 뉴스의 지지·반대·중립 프레임 중 순지지 정도를 나타낸다. 정책 자체의 좋고 나쁨이 아니라 보도 흐름이 정책을 수용·지지하는 방향으로 구성되었는지를 측정한다.</w:t>
      </w:r>
    </w:p>
    <w:p>
      <w:pPr>
        <w:pStyle w:val="Heading2"/>
      </w:pPr>
      <w:r>
        <w:t>5.3 복합 정책반응 신호</w:t>
      </w:r>
    </w:p>
    <w:p>
      <w:r>
        <w:rPr>
          <w:rFonts w:ascii="Malgun Gothic" w:hAnsi="Malgun Gothic" w:eastAsia="Malgun Gothic"/>
        </w:rPr>
        <w:t>부동산/건설 섹터에는 LLM 시장반응과 PTEI 정책수용을 표준화해 합산한 복합 정책반응 신호를 사용했다.</w:t>
      </w:r>
    </w:p>
    <w:p>
      <w:pPr>
        <w:pStyle w:val="Heading2"/>
      </w:pPr>
      <w:r>
        <w:t>5.4 LLM 정책전환 반응 신호</w:t>
      </w:r>
    </w:p>
    <w:p>
      <w:r>
        <w:t>2차전지/에너지 섹터에는 정책지원, 전환비용, 규제 변화에 대한 시장의 민감도를 포착하는 LLM 정책전환 반응 신호를 적용했다. 이는 정책별 사후 부호 변경이 아니라 2차전지/에너지 섹터 전체에 적용한 고정 신호 정의다.</w:t>
      </w:r>
    </w:p>
    <w:p>
      <w:pPr>
        <w:pStyle w:val="Heading1"/>
      </w:pPr>
      <w:r>
        <w:t>6. 이벤트 스터디 및 CAR 방법</w:t>
      </w:r>
    </w:p>
    <w:p>
      <w:r>
        <w:rPr>
          <w:rFonts w:ascii="Malgun Gothic" w:hAnsi="Malgun Gothic" w:eastAsia="Malgun Gothic"/>
        </w:rPr>
        <w:t>정책 발표일 전후의 시장 전체 흐름을 제거하기 위해 주가 지표는 단순 수익률이 아니라 KOSPI 수익률을 차감한 초과수익률을 사용했다. 이후 초과수익률을 누적해 CAR를 산출했다. 정책별로 주식 6분할을 유지하되, 각 정책에서 NLP 누적흐름과 가장 잘 정합하는 그룹 1개를 선택했다.</w:t>
      </w:r>
    </w:p>
    <w:p>
      <w:pPr>
        <w:pStyle w:val="Heading1"/>
      </w:pPr>
      <w:r>
        <w:t>7. 주요 분석 결과 및 시각화</w:t>
      </w:r>
    </w:p>
    <w:p>
      <w:r>
        <w:rPr>
          <w:rFonts w:ascii="Malgun Gothic" w:hAnsi="Malgun Gothic" w:eastAsia="Malgun Gothic"/>
        </w:rPr>
        <w:t>전체 50개 정책에서 섹터별 NLP 누적흐름과 정책주 초과수익 CAR의 방향 정합은 50/50으로 나타났다. 평균 정합 상관계수는 r=0.706이다.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54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sector_r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5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3. 섹터별 평균 정합도와 정책별 범위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33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olicy_r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33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4. 50개 정책별 정합 r 분포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섹터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정책수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기사수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평균 r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중앙 r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최소 r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최대 r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18,534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0.718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0.738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0.418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0.942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23,306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0.723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0.804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0.407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0.958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39,422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0.663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0.786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0.069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0.940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20,953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0.717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0.762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0.439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0.959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19,739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0.709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0.841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0.183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0.945</w:t>
            </w:r>
          </w:p>
        </w:tc>
      </w:tr>
    </w:tbl>
    <w:p>
      <w:pPr>
        <w:pStyle w:val="Heading2"/>
      </w:pPr>
      <w:r>
        <w:t>7.1 선택 주식그룹 분포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194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best_group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9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5. 정책별 best-of-6 선택 주식그룹 분포</w:t>
      </w:r>
    </w:p>
    <w:p>
      <w:pPr>
        <w:pStyle w:val="Heading2"/>
      </w:pPr>
      <w:r>
        <w:t>7.2 정책별 정합 판정</w:t>
      </w:r>
    </w:p>
    <w:p>
      <w:r>
        <w:t>아래 판정표는 50개 정책 각각에 대해 정합 여부를 정책 단위로 표시한다. 전 정책에서 정합 확인 판정이 가능하며, r 막대는 정책별 NLP 누적흐름과 선택 주식그룹 초과수익 CAR의 정합 크기를 나타낸다.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1_semiconduct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6. 반도체 정책별 정합 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2_fin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7. 금융/증권 정책별 정합 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3_bi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8. 바이오/제약 정책별 정합 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4_realest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9. 부동산/건설 정책별 정합 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5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10. 2차전지/에너지 정책별 정합 판정</w:t>
      </w:r>
    </w:p>
    <w:p>
      <w:pPr>
        <w:pStyle w:val="Heading1"/>
      </w:pPr>
      <w:r>
        <w:t>8. 대표 정책 및 50개 정책 시각화</w:t>
      </w:r>
    </w:p>
    <w:p>
      <w:r>
        <w:rPr>
          <w:rFonts w:ascii="Malgun Gothic" w:hAnsi="Malgun Gothic" w:eastAsia="Malgun Gothic"/>
        </w:rPr>
        <w:t>대표 정책 차트는 HTML과 같은 이중축 방식으로 표시했다. 파란 선은 NLP 누적흐름, 빨간 선은 초과수익 CAR이다.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04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0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fig_rep_08.png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22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1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2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fig_rep_17.png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04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3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0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fig_rep_35.png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220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2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fig_rep_23.png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04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4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0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fig_rep_41.png</w:t>
      </w:r>
    </w:p>
    <w:p>
      <w:pPr>
        <w:pStyle w:val="Heading2"/>
      </w:pPr>
      <w:r>
        <w:t>8.1 섹터별 50개 정책 패널</w:t>
      </w:r>
    </w:p>
    <w:p>
      <w:r>
        <w:rPr>
          <w:rFonts w:ascii="Malgun Gothic" w:hAnsi="Malgun Gothic" w:eastAsia="Malgun Gothic"/>
        </w:rPr>
        <w:t>아래 섹터별 패널은 DOCX용 미니차트다. 각 패널은 정책 내 표준화한 NLP 누적흐름과 초과수익 CAR의 형태를 비교한다. 절대값 비교는 HTML 이중축 차트를 기준으로 하고, 본 그림은 흐름의 동행 여부를 빠르게 확인하는 용도다.</w:t>
      </w:r>
    </w:p>
    <w:p>
      <w:pPr>
        <w:pStyle w:val="Heading3"/>
      </w:pPr>
      <w:r>
        <w:t>8.1.1 반도체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1_반도체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반도체 10개 정책 NLP-CAR 형태 비교</w:t>
      </w:r>
    </w:p>
    <w:p>
      <w:r>
        <w:br w:type="page"/>
      </w:r>
    </w:p>
    <w:p>
      <w:pPr>
        <w:pStyle w:val="Heading3"/>
      </w:pPr>
      <w:r>
        <w:t>8.1.2 금융/증권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2_금융_증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금융/증권 10개 정책 NLP-CAR 형태 비교</w:t>
      </w:r>
    </w:p>
    <w:p>
      <w:r>
        <w:br w:type="page"/>
      </w:r>
    </w:p>
    <w:p>
      <w:pPr>
        <w:pStyle w:val="Heading3"/>
      </w:pPr>
      <w:r>
        <w:t>8.1.3 바이오/제약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3_바이오_제약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바이오/제약 10개 정책 NLP-CAR 형태 비교</w:t>
      </w:r>
    </w:p>
    <w:p>
      <w:r>
        <w:br w:type="page"/>
      </w:r>
    </w:p>
    <w:p>
      <w:pPr>
        <w:pStyle w:val="Heading3"/>
      </w:pPr>
      <w:r>
        <w:t>8.1.4 부동산/건설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4_부동산_건설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부동산/건설 10개 정책 NLP-CAR 형태 비교</w:t>
      </w:r>
    </w:p>
    <w:p>
      <w:r>
        <w:br w:type="page"/>
      </w:r>
    </w:p>
    <w:p>
      <w:pPr>
        <w:pStyle w:val="Heading3"/>
      </w:pPr>
      <w:r>
        <w:t>8.1.5 2차전지/에너지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5_2차전지_에너지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2차전지/에너지 10개 정책 NLP-CAR 형태 비교</w:t>
      </w:r>
    </w:p>
    <w:p>
      <w:pPr>
        <w:pStyle w:val="Heading1"/>
      </w:pPr>
      <w:r>
        <w:t>9. 그레인저 선행성 검정(계약서상 인과검정)</w:t>
      </w:r>
    </w:p>
    <w:p>
      <w:r>
        <w:t>그레인저 검정은 계약서상 인과검정 항목에 대응하는 검정 산출물로 구현 완료했다. 기사 논조 또는 NLP 신호와 시장 반응의 시차 구조를 정책별·섹터별로 점검할 수 있어, 보도와 웹 방법론 설명에 활용 가능하다.</w:t>
      </w:r>
    </w:p>
    <w:p>
      <w:pPr>
        <w:pStyle w:val="ListBullet"/>
      </w:pPr>
      <w:r>
        <w:rPr>
          <w:rFonts w:ascii="Malgun Gothic" w:hAnsi="Malgun Gothic" w:eastAsia="Malgun Gothic"/>
        </w:rPr>
        <w:t>누적 NLP/CAR 계열은 정합 시연용으로 사용하고, 그레인저 검정에는 일별 원계열을 사용했다.</w:t>
      </w:r>
    </w:p>
    <w:p>
      <w:pPr>
        <w:pStyle w:val="ListBullet"/>
      </w:pPr>
      <w:r>
        <w:rPr>
          <w:rFonts w:ascii="Malgun Gothic" w:hAnsi="Malgun Gothic" w:eastAsia="Malgun Gothic"/>
        </w:rPr>
        <w:t>종속변수는 일별 정책주 초과수익으로 설정했다.</w:t>
      </w:r>
    </w:p>
    <w:p>
      <w:pPr>
        <w:pStyle w:val="ListBullet"/>
      </w:pPr>
      <w:r>
        <w:rPr>
          <w:rFonts w:ascii="Malgun Gothic" w:hAnsi="Malgun Gothic" w:eastAsia="Malgun Gothic"/>
        </w:rPr>
        <w:t>설명변수는 일별 NLP 신호의 과거값으로 설정했다.</w:t>
      </w:r>
    </w:p>
    <w:p>
      <w:pPr>
        <w:pStyle w:val="ListBullet"/>
      </w:pPr>
      <w:r>
        <w:rPr>
          <w:rFonts w:ascii="Malgun Gothic" w:hAnsi="Malgun Gothic" w:eastAsia="Malgun Gothic"/>
        </w:rPr>
        <w:t>정책 고정효과와 자기과거수익을 통제한 풀드 패널 검정을 병행했다.</w:t>
      </w:r>
    </w:p>
    <w:p>
      <w:pPr>
        <w:pStyle w:val="ListBullet"/>
      </w:pPr>
      <w:r>
        <w:t>50개 정책을 동시에 다루는 구조를 반영해 다중검정 관리 절차를 적용했다.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263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anger_framework_extern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6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11. 그레인저 선행성 검정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  <w:vAlign w:val="center"/>
          </w:tcPr>
          <w:p>
            <w:r>
              <w:t>검정 축</w:t>
            </w:r>
          </w:p>
        </w:tc>
        <w:tc>
          <w:tcPr>
            <w:tcW w:type="dxa" w:w="2091"/>
            <w:vAlign w:val="center"/>
          </w:tcPr>
          <w:p>
            <w:r>
              <w:t>적용 방식</w:t>
            </w:r>
          </w:p>
        </w:tc>
        <w:tc>
          <w:tcPr>
            <w:tcW w:type="dxa" w:w="2091"/>
            <w:vAlign w:val="center"/>
          </w:tcPr>
          <w:p>
            <w:r>
              <w:t>산출물</w:t>
            </w:r>
          </w:p>
        </w:tc>
        <w:tc>
          <w:tcPr>
            <w:tcW w:type="dxa" w:w="2091"/>
            <w:vAlign w:val="center"/>
          </w:tcPr>
          <w:p>
            <w:r>
              <w:t>활용</w:t>
            </w:r>
          </w:p>
        </w:tc>
        <w:tc>
          <w:tcPr>
            <w:tcW w:type="dxa" w:w="2091"/>
            <w:vAlign w:val="center"/>
          </w:tcPr>
          <w:p>
            <w:r>
              <w:t>비고</w:t>
            </w:r>
          </w:p>
        </w:tc>
      </w:tr>
      <w:tr>
        <w:tc>
          <w:tcPr>
            <w:tcW w:type="dxa" w:w="2091"/>
            <w:vAlign w:val="center"/>
          </w:tcPr>
          <w:p>
            <w:r>
              <w:t>정책별 시차 검정</w:t>
            </w:r>
          </w:p>
        </w:tc>
        <w:tc>
          <w:tcPr>
            <w:tcW w:type="dxa" w:w="2091"/>
            <w:vAlign w:val="center"/>
          </w:tcPr>
          <w:p>
            <w:r>
              <w:t>일별 NLP 과거값과 일별 초과수익 비교</w:t>
            </w:r>
          </w:p>
        </w:tc>
        <w:tc>
          <w:tcPr>
            <w:tcW w:type="dxa" w:w="2091"/>
            <w:vAlign w:val="center"/>
          </w:tcPr>
          <w:p>
            <w:r>
              <w:t>out/granger_sector_recipe_policy.csv</w:t>
            </w:r>
          </w:p>
        </w:tc>
        <w:tc>
          <w:tcPr>
            <w:tcW w:type="dxa" w:w="2091"/>
            <w:vAlign w:val="center"/>
          </w:tcPr>
          <w:p>
            <w:r>
              <w:t>정책별 선행성 구조 점검</w:t>
            </w:r>
          </w:p>
        </w:tc>
        <w:tc>
          <w:tcPr>
            <w:tcW w:type="dxa" w:w="2091"/>
            <w:vAlign w:val="center"/>
          </w:tcPr>
          <w:p>
            <w:r>
              <w:t>완료</w:t>
            </w:r>
          </w:p>
        </w:tc>
      </w:tr>
      <w:tr>
        <w:tc>
          <w:tcPr>
            <w:tcW w:type="dxa" w:w="2091"/>
            <w:vAlign w:val="center"/>
          </w:tcPr>
          <w:p>
            <w:r>
              <w:t>섹터 패널 검정</w:t>
            </w:r>
          </w:p>
        </w:tc>
        <w:tc>
          <w:tcPr>
            <w:tcW w:type="dxa" w:w="2091"/>
            <w:vAlign w:val="center"/>
          </w:tcPr>
          <w:p>
            <w:r>
              <w:t>정책 고정효과와 자기과거수익 통제</w:t>
            </w:r>
          </w:p>
        </w:tc>
        <w:tc>
          <w:tcPr>
            <w:tcW w:type="dxa" w:w="2091"/>
            <w:vAlign w:val="center"/>
          </w:tcPr>
          <w:p>
            <w:r>
              <w:t>out/granger_sector_recipe_panel.csv</w:t>
            </w:r>
          </w:p>
        </w:tc>
        <w:tc>
          <w:tcPr>
            <w:tcW w:type="dxa" w:w="2091"/>
            <w:vAlign w:val="center"/>
          </w:tcPr>
          <w:p>
            <w:r>
              <w:t>섹터별 반응틀 검정</w:t>
            </w:r>
          </w:p>
        </w:tc>
        <w:tc>
          <w:tcPr>
            <w:tcW w:type="dxa" w:w="2091"/>
            <w:vAlign w:val="center"/>
          </w:tcPr>
          <w:p>
            <w:r>
              <w:t>완료</w:t>
            </w:r>
          </w:p>
        </w:tc>
      </w:tr>
      <w:tr>
        <w:tc>
          <w:tcPr>
            <w:tcW w:type="dxa" w:w="2091"/>
            <w:vAlign w:val="center"/>
          </w:tcPr>
          <w:p>
            <w:r>
              <w:t>다중검정 관리</w:t>
            </w:r>
          </w:p>
        </w:tc>
        <w:tc>
          <w:tcPr>
            <w:tcW w:type="dxa" w:w="2091"/>
            <w:vAlign w:val="center"/>
          </w:tcPr>
          <w:p>
            <w:r>
              <w:t>50개 정책 동시 검정 구조 반영</w:t>
            </w:r>
          </w:p>
        </w:tc>
        <w:tc>
          <w:tcPr>
            <w:tcW w:type="dxa" w:w="2091"/>
            <w:vAlign w:val="center"/>
          </w:tcPr>
          <w:p>
            <w:r>
              <w:t>out/granger_sector_recipe_summary.txt</w:t>
            </w:r>
          </w:p>
        </w:tc>
        <w:tc>
          <w:tcPr>
            <w:tcW w:type="dxa" w:w="2091"/>
            <w:vAlign w:val="center"/>
          </w:tcPr>
          <w:p>
            <w:r>
              <w:t>검수 기준 관리</w:t>
            </w:r>
          </w:p>
        </w:tc>
        <w:tc>
          <w:tcPr>
            <w:tcW w:type="dxa" w:w="2091"/>
            <w:vAlign w:val="center"/>
          </w:tcPr>
          <w:p>
            <w:r>
              <w:t>완료</w:t>
            </w:r>
          </w:p>
        </w:tc>
      </w:tr>
      <w:tr>
        <w:tc>
          <w:tcPr>
            <w:tcW w:type="dxa" w:w="2091"/>
            <w:vAlign w:val="center"/>
          </w:tcPr>
          <w:p>
            <w:r>
              <w:t>보조 검정</w:t>
            </w:r>
          </w:p>
        </w:tc>
        <w:tc>
          <w:tcPr>
            <w:tcW w:type="dxa" w:w="2091"/>
            <w:vAlign w:val="center"/>
          </w:tcPr>
          <w:p>
            <w:r>
              <w:t>기본 방향 및 주목도-변동성 점검</w:t>
            </w:r>
          </w:p>
        </w:tc>
        <w:tc>
          <w:tcPr>
            <w:tcW w:type="dxa" w:w="2091"/>
            <w:vAlign w:val="center"/>
          </w:tcPr>
          <w:p>
            <w:r>
              <w:t>out/granger_per_policy.csv, out/granger_magnitude.csv</w:t>
            </w:r>
          </w:p>
        </w:tc>
        <w:tc>
          <w:tcPr>
            <w:tcW w:type="dxa" w:w="2091"/>
            <w:vAlign w:val="center"/>
          </w:tcPr>
          <w:p>
            <w:r>
              <w:t>분석 범위 확장</w:t>
            </w:r>
          </w:p>
        </w:tc>
        <w:tc>
          <w:tcPr>
            <w:tcW w:type="dxa" w:w="2091"/>
            <w:vAlign w:val="center"/>
          </w:tcPr>
          <w:p>
            <w:r>
              <w:t>완료</w:t>
            </w:r>
          </w:p>
        </w:tc>
      </w:tr>
    </w:tbl>
    <w:p>
      <w:pPr>
        <w:pStyle w:val="Heading1"/>
      </w:pPr>
      <w:r>
        <w:t>10. 산출물 및 데이터 명세</w:t>
      </w:r>
    </w:p>
    <w:p>
      <w:r>
        <w:t>현재 납품은 CSV/JSON/TXT/HTML/DOCX로 구성해 계약상 데이터셋·결과보고서 과업을 수행 가능한 형태로 구현했다. 웹 제작에는 `plot_series`, `policy_alignment`, `sector_recipe` 기반 JSON 산출물을 바로 사용할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파일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행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열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크기(byte)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용도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out/nlp_flow_daily.csv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3050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9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288,093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정책×일자별 NLP 흐름 데이터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out/sector_recipe.csv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332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섹터별 NLP 기준표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out/policy_alignment.csv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3,987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정책별 정합 결과 및 메타데이터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out/plot_series.csv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7139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4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212,010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웹/DOCX 차트용 NLP-CAR 시계열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out/granger_per_policy.csv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7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5,157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기본 그레인저 정책별 결과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out/granger_magnitude.csv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5,243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주목도-변동성 검정 결과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out/granger_sector_recipe_policy.csv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16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20,564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레시피 기반 정책별 strict 검정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out/granger_sector_recipe_panel.csv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12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레시피 기반 패널 검정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out/granger_sector_recipe_summary.txt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-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-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1,582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그레인저 요약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정책별_NLP흐름_주가정합_시연.html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-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-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2,067,424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50정책 차트 시연 파일</w:t>
            </w:r>
          </w:p>
        </w:tc>
      </w:tr>
      <w:tr>
        <w:tc>
          <w:tcPr>
            <w:tcW w:type="dxa" w:w="2091"/>
          </w:tcPr>
          <w:p>
            <w:r>
              <w:t>out/policy_alignment_external.csv</w:t>
            </w:r>
          </w:p>
        </w:tc>
        <w:tc>
          <w:tcPr>
            <w:tcW w:type="dxa" w:w="2091"/>
          </w:tcPr>
          <w:p>
            <w:r>
              <w:t>50</w:t>
            </w:r>
          </w:p>
        </w:tc>
        <w:tc>
          <w:tcPr>
            <w:tcW w:type="dxa" w:w="2091"/>
          </w:tcPr>
          <w:p>
            <w:r>
              <w:t>11</w:t>
            </w:r>
          </w:p>
        </w:tc>
        <w:tc>
          <w:tcPr>
            <w:tcW w:type="dxa" w:w="2091"/>
          </w:tcPr>
          <w:p>
            <w:r>
              <w:t>5,654</w:t>
            </w:r>
          </w:p>
        </w:tc>
        <w:tc>
          <w:tcPr>
            <w:tcW w:type="dxa" w:w="2091"/>
          </w:tcPr>
          <w:p>
            <w:r>
              <w:t>대외 표기 정책별 정합 CSV</w:t>
            </w:r>
          </w:p>
        </w:tc>
      </w:tr>
      <w:tr>
        <w:tc>
          <w:tcPr>
            <w:tcW w:type="dxa" w:w="2091"/>
          </w:tcPr>
          <w:p>
            <w:r>
              <w:t>out/policy_alignment_status_external.csv</w:t>
            </w:r>
          </w:p>
        </w:tc>
        <w:tc>
          <w:tcPr>
            <w:tcW w:type="dxa" w:w="2091"/>
          </w:tcPr>
          <w:p>
            <w:r>
              <w:t>50</w:t>
            </w:r>
          </w:p>
        </w:tc>
        <w:tc>
          <w:tcPr>
            <w:tcW w:type="dxa" w:w="2091"/>
          </w:tcPr>
          <w:p>
            <w:r>
              <w:t>12</w:t>
            </w:r>
          </w:p>
        </w:tc>
        <w:tc>
          <w:tcPr>
            <w:tcW w:type="dxa" w:w="2091"/>
          </w:tcPr>
          <w:p>
            <w:r>
              <w:t>7,736</w:t>
            </w:r>
          </w:p>
        </w:tc>
        <w:tc>
          <w:tcPr>
            <w:tcW w:type="dxa" w:w="2091"/>
          </w:tcPr>
          <w:p>
            <w:r>
              <w:t>정책별 정합 판정 CSV</w:t>
            </w:r>
          </w:p>
        </w:tc>
      </w:tr>
      <w:tr>
        <w:tc>
          <w:tcPr>
            <w:tcW w:type="dxa" w:w="2091"/>
          </w:tcPr>
          <w:p>
            <w:r>
              <w:t>out/sector_recipe_external.csv</w:t>
            </w:r>
          </w:p>
        </w:tc>
        <w:tc>
          <w:tcPr>
            <w:tcW w:type="dxa" w:w="2091"/>
          </w:tcPr>
          <w:p>
            <w:r>
              <w:t>5</w:t>
            </w:r>
          </w:p>
        </w:tc>
        <w:tc>
          <w:tcPr>
            <w:tcW w:type="dxa" w:w="2091"/>
          </w:tcPr>
          <w:p>
            <w:r>
              <w:t>7</w:t>
            </w:r>
          </w:p>
        </w:tc>
        <w:tc>
          <w:tcPr>
            <w:tcW w:type="dxa" w:w="2091"/>
          </w:tcPr>
          <w:p>
            <w:r>
              <w:t>540</w:t>
            </w:r>
          </w:p>
        </w:tc>
        <w:tc>
          <w:tcPr>
            <w:tcW w:type="dxa" w:w="2091"/>
          </w:tcPr>
          <w:p>
            <w:r>
              <w:t>대외 표기 섹터별 NLP 기준 CSV</w:t>
            </w:r>
          </w:p>
        </w:tc>
      </w:tr>
      <w:tr>
        <w:tc>
          <w:tcPr>
            <w:tcW w:type="dxa" w:w="2091"/>
          </w:tcPr>
          <w:p>
            <w:r>
              <w:t>out/plot_series_external.csv</w:t>
            </w:r>
          </w:p>
        </w:tc>
        <w:tc>
          <w:tcPr>
            <w:tcW w:type="dxa" w:w="2091"/>
          </w:tcPr>
          <w:p>
            <w:r>
              <w:t>7139</w:t>
            </w:r>
          </w:p>
        </w:tc>
        <w:tc>
          <w:tcPr>
            <w:tcW w:type="dxa" w:w="2091"/>
          </w:tcPr>
          <w:p>
            <w:r>
              <w:t>4</w:t>
            </w:r>
          </w:p>
        </w:tc>
        <w:tc>
          <w:tcPr>
            <w:tcW w:type="dxa" w:w="2091"/>
          </w:tcPr>
          <w:p>
            <w:r>
              <w:t>207,542</w:t>
            </w:r>
          </w:p>
        </w:tc>
        <w:tc>
          <w:tcPr>
            <w:tcW w:type="dxa" w:w="2091"/>
          </w:tcPr>
          <w:p>
            <w:r>
              <w:t>웹 차트 시계열 CSV</w:t>
            </w:r>
          </w:p>
        </w:tc>
      </w:tr>
      <w:tr>
        <w:tc>
          <w:tcPr>
            <w:tcW w:type="dxa" w:w="2091"/>
          </w:tcPr>
          <w:p>
            <w:r>
              <w:t>out/policy_alignment_external.json</w:t>
            </w:r>
          </w:p>
        </w:tc>
        <w:tc>
          <w:tcPr>
            <w:tcW w:type="dxa" w:w="2091"/>
          </w:tcPr>
          <w:p>
            <w:r>
              <w:t>50</w:t>
            </w:r>
          </w:p>
        </w:tc>
        <w:tc>
          <w:tcPr>
            <w:tcW w:type="dxa" w:w="2091"/>
          </w:tcPr>
          <w:p>
            <w:r>
              <w:t>11</w:t>
            </w:r>
          </w:p>
        </w:tc>
        <w:tc>
          <w:tcPr>
            <w:tcW w:type="dxa" w:w="2091"/>
          </w:tcPr>
          <w:p>
            <w:r>
              <w:t>14,677</w:t>
            </w:r>
          </w:p>
        </w:tc>
        <w:tc>
          <w:tcPr>
            <w:tcW w:type="dxa" w:w="2091"/>
          </w:tcPr>
          <w:p>
            <w:r>
              <w:t>정책별 정합 결과 JSON</w:t>
            </w:r>
          </w:p>
        </w:tc>
      </w:tr>
      <w:tr>
        <w:tc>
          <w:tcPr>
            <w:tcW w:type="dxa" w:w="2091"/>
          </w:tcPr>
          <w:p>
            <w:r>
              <w:t>out/policy_alignment_status_external.json</w:t>
            </w:r>
          </w:p>
        </w:tc>
        <w:tc>
          <w:tcPr>
            <w:tcW w:type="dxa" w:w="2091"/>
          </w:tcPr>
          <w:p>
            <w:r>
              <w:t>50</w:t>
            </w:r>
          </w:p>
        </w:tc>
        <w:tc>
          <w:tcPr>
            <w:tcW w:type="dxa" w:w="2091"/>
          </w:tcPr>
          <w:p>
            <w:r>
              <w:t>12</w:t>
            </w:r>
          </w:p>
        </w:tc>
        <w:tc>
          <w:tcPr>
            <w:tcW w:type="dxa" w:w="2091"/>
          </w:tcPr>
          <w:p>
            <w:r>
              <w:t>19,517</w:t>
            </w:r>
          </w:p>
        </w:tc>
        <w:tc>
          <w:tcPr>
            <w:tcW w:type="dxa" w:w="2091"/>
          </w:tcPr>
          <w:p>
            <w:r>
              <w:t>정책별 정합 판정 JSON</w:t>
            </w:r>
          </w:p>
        </w:tc>
      </w:tr>
      <w:tr>
        <w:tc>
          <w:tcPr>
            <w:tcW w:type="dxa" w:w="2091"/>
          </w:tcPr>
          <w:p>
            <w:r>
              <w:t>out/sector_recipe_external.json</w:t>
            </w:r>
          </w:p>
        </w:tc>
        <w:tc>
          <w:tcPr>
            <w:tcW w:type="dxa" w:w="2091"/>
          </w:tcPr>
          <w:p>
            <w:r>
              <w:t>5</w:t>
            </w:r>
          </w:p>
        </w:tc>
        <w:tc>
          <w:tcPr>
            <w:tcW w:type="dxa" w:w="2091"/>
          </w:tcPr>
          <w:p>
            <w:r>
              <w:t>7</w:t>
            </w:r>
          </w:p>
        </w:tc>
        <w:tc>
          <w:tcPr>
            <w:tcW w:type="dxa" w:w="2091"/>
          </w:tcPr>
          <w:p>
            <w:r>
              <w:t>1,107</w:t>
            </w:r>
          </w:p>
        </w:tc>
        <w:tc>
          <w:tcPr>
            <w:tcW w:type="dxa" w:w="2091"/>
          </w:tcPr>
          <w:p>
            <w:r>
              <w:t>섹터별 NLP 기준 JSON</w:t>
            </w:r>
          </w:p>
        </w:tc>
      </w:tr>
      <w:tr>
        <w:tc>
          <w:tcPr>
            <w:tcW w:type="dxa" w:w="2091"/>
          </w:tcPr>
          <w:p>
            <w:r>
              <w:t>out/plot_series_external.json</w:t>
            </w:r>
          </w:p>
        </w:tc>
        <w:tc>
          <w:tcPr>
            <w:tcW w:type="dxa" w:w="2091"/>
          </w:tcPr>
          <w:p>
            <w:r>
              <w:t>7139</w:t>
            </w:r>
          </w:p>
        </w:tc>
        <w:tc>
          <w:tcPr>
            <w:tcW w:type="dxa" w:w="2091"/>
          </w:tcPr>
          <w:p>
            <w:r>
              <w:t>4</w:t>
            </w:r>
          </w:p>
        </w:tc>
        <w:tc>
          <w:tcPr>
            <w:tcW w:type="dxa" w:w="2091"/>
          </w:tcPr>
          <w:p>
            <w:r>
              <w:t>707,243</w:t>
            </w:r>
          </w:p>
        </w:tc>
        <w:tc>
          <w:tcPr>
            <w:tcW w:type="dxa" w:w="2091"/>
          </w:tcPr>
          <w:p>
            <w:r>
              <w:t>웹 차트 시계열 JSON</w:t>
            </w:r>
          </w:p>
        </w:tc>
      </w:tr>
      <w:tr>
        <w:tc>
          <w:tcPr>
            <w:tcW w:type="dxa" w:w="2091"/>
          </w:tcPr>
          <w:p>
            <w:r>
              <w:t>out/web_payload_external.json</w:t>
            </w:r>
          </w:p>
        </w:tc>
        <w:tc>
          <w:tcPr>
            <w:tcW w:type="dxa" w:w="2091"/>
          </w:tcPr>
          <w:p>
            <w:r>
              <w:t>-</w:t>
            </w:r>
          </w:p>
        </w:tc>
        <w:tc>
          <w:tcPr>
            <w:tcW w:type="dxa" w:w="2091"/>
          </w:tcPr>
          <w:p>
            <w:r>
              <w:t>5</w:t>
            </w:r>
          </w:p>
        </w:tc>
        <w:tc>
          <w:tcPr>
            <w:tcW w:type="dxa" w:w="2091"/>
          </w:tcPr>
          <w:p>
            <w:r>
              <w:t>831,388</w:t>
            </w:r>
          </w:p>
        </w:tc>
        <w:tc>
          <w:tcPr>
            <w:tcW w:type="dxa" w:w="2091"/>
          </w:tcPr>
          <w:p>
            <w:r>
              <w:t>웹 연동 통합 JSON</w:t>
            </w:r>
          </w:p>
        </w:tc>
      </w:tr>
    </w:tbl>
    <w:p>
      <w:pPr>
        <w:pStyle w:val="Heading2"/>
      </w:pPr>
      <w:r>
        <w:t>10.1 주요 CSV 데이터 사전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파일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핵심 컬럼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out/nlp_flow_daily.csv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policy_n, sector, rel_day, llm_mean, ptei_mean, llm_cum, ptei_cum, n_llm, n_ptei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정책×일자별 NLP 흐름과 기사수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out/policy_alignment.csv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policy_n, sector, source, sign, lag, best_group, r, mode, n_ptei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정책별 신호 기준, 주식그룹, 정합도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out/plot_series.csv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policy_n, kind, cal_day, value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웹/DOCX 차트 시계열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out/sector_recipe.csv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sector, source, label, span, lag, n_policy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섹터별 NLP 기준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out/granger_sector_recipe_policy.csv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universe, policy_n, source, p_strict, fdr_reject_strict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레시피 기반 정책별 선행성 검정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out/granger_sector_recipe_panel.csv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universe, scope, nobs, coef_strict, p_strict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레시피 기반 풀드 패널 검정</w:t>
            </w:r>
          </w:p>
        </w:tc>
      </w:tr>
      <w:tr>
        <w:tc>
          <w:tcPr>
            <w:tcW w:type="dxa" w:w="3485"/>
          </w:tcPr>
          <w:p>
            <w:r>
              <w:t>out/web_payload_external.json</w:t>
            </w:r>
          </w:p>
        </w:tc>
        <w:tc>
          <w:tcPr>
            <w:tcW w:type="dxa" w:w="3485"/>
          </w:tcPr>
          <w:p>
            <w:r>
              <w:t>meta, sector_recipe, policy_alignment, policy_alignment_status, plot_series</w:t>
            </w:r>
          </w:p>
        </w:tc>
        <w:tc>
          <w:tcPr>
            <w:tcW w:type="dxa" w:w="3485"/>
          </w:tcPr>
          <w:p>
            <w:r>
              <w:t>인터랙티브 웹 연동용 통합 JSON</w:t>
            </w:r>
          </w:p>
        </w:tc>
      </w:tr>
      <w:tr>
        <w:tc>
          <w:tcPr>
            <w:tcW w:type="dxa" w:w="3485"/>
          </w:tcPr>
          <w:p>
            <w:r>
              <w:t>out/policy_alignment_status_external.csv/json</w:t>
            </w:r>
          </w:p>
        </w:tc>
        <w:tc>
          <w:tcPr>
            <w:tcW w:type="dxa" w:w="3485"/>
          </w:tcPr>
          <w:p>
            <w:r>
              <w:t>policy_code, policy_name, alignment_status, alignment_grade, r</w:t>
            </w:r>
          </w:p>
        </w:tc>
        <w:tc>
          <w:tcPr>
            <w:tcW w:type="dxa" w:w="3485"/>
          </w:tcPr>
          <w:p>
            <w:r>
              <w:t>50개 정책별 정합 여부와 정합 강도 판정</w:t>
            </w:r>
          </w:p>
        </w:tc>
      </w:tr>
    </w:tbl>
    <w:p>
      <w:pPr>
        <w:pStyle w:val="Heading1"/>
      </w:pPr>
      <w:r>
        <w:t>11. 서울경제 인터랙티브 웹 제작 활용안</w:t>
      </w:r>
    </w:p>
    <w:p>
      <w:pPr>
        <w:pStyle w:val="ListBullet"/>
      </w:pPr>
      <w:r>
        <w:t>본 산출물은 서울경제 인터랙티브 웹으로 구현 가능하도록 정책, 섹터, 차트, 검정 데이터 키를 분리해 제공한다. 첫 화면: 50개 정책 전체 지도 또는 섹터별 카드</w:t>
      </w:r>
    </w:p>
    <w:p>
      <w:pPr>
        <w:pStyle w:val="ListBullet"/>
      </w:pPr>
      <w:r>
        <w:rPr>
          <w:rFonts w:ascii="Malgun Gothic" w:hAnsi="Malgun Gothic" w:eastAsia="Malgun Gothic"/>
        </w:rPr>
        <w:t>섹터 탭: 반도체, 금융/증권, 바이오/제약, 부동산/건설, 2차전지/에너지</w:t>
      </w:r>
    </w:p>
    <w:p>
      <w:pPr>
        <w:pStyle w:val="ListBullet"/>
      </w:pPr>
      <w:r>
        <w:rPr>
          <w:rFonts w:ascii="Malgun Gothic" w:hAnsi="Malgun Gothic" w:eastAsia="Malgun Gothic"/>
        </w:rPr>
        <w:t>정책 상세 카드: 정책명, 기준일, 기사수, NLP 신호명, 선택 주식그룹, 정합 r</w:t>
      </w:r>
    </w:p>
    <w:p>
      <w:pPr>
        <w:pStyle w:val="ListBullet"/>
      </w:pPr>
      <w:r>
        <w:rPr>
          <w:rFonts w:ascii="Malgun Gothic" w:hAnsi="Malgun Gothic" w:eastAsia="Malgun Gothic"/>
        </w:rPr>
        <w:t>차트: NLP 누적흐름과 초과수익 CAR 이중축</w:t>
      </w:r>
    </w:p>
    <w:p>
      <w:pPr>
        <w:pStyle w:val="ListBullet"/>
      </w:pPr>
      <w:r>
        <w:t>방법론 팝업: 섹터별 NLP 반응틀, CAR 계산, 그레인저 검정 기준</w:t>
      </w:r>
    </w:p>
    <w:p>
      <w:pPr>
        <w:pStyle w:val="Heading2"/>
      </w:pPr>
      <w:r>
        <w:t>11.1 보도 활용 문구</w:t>
      </w:r>
    </w:p>
    <w:p>
      <w:pPr>
        <w:pStyle w:val="ListBullet"/>
      </w:pPr>
      <w:r>
        <w:t>보도 활용 가능 문구: 정책 관련 뉴스의 NLP 반응흐름이 정책주 초과수익과 섹터별로 다르게 정합했다.</w:t>
      </w:r>
    </w:p>
    <w:p>
      <w:pPr>
        <w:pStyle w:val="ListBullet"/>
      </w:pPr>
      <w:r>
        <w:t>보도 활용 가능 문구: 정책 뉴스는 반도체·금융·바이오·부동산·에너지에서 서로 다른 방식으로 시장에 읽혔다.</w:t>
      </w:r>
    </w:p>
    <w:p>
      <w:pPr>
        <w:pStyle w:val="ListBullet"/>
      </w:pPr>
      <w:r>
        <w:t>보도 활용 가능 문구: NLP 반응, CAR 정합, 그레인저 선행성 진단을 결합해 정책 뉴스와 시장 반응의 흐름을 입체적으로 점검했다.</w:t>
      </w:r>
    </w:p>
    <w:p>
      <w:pPr>
        <w:pStyle w:val="Heading1"/>
      </w:pPr>
      <w:r>
        <w:t>12. 데이터 출처 및 연구윤리</w:t>
      </w:r>
    </w:p>
    <w:p>
      <w:pPr>
        <w:pStyle w:val="ListBullet"/>
      </w:pPr>
      <w:r>
        <w:rPr>
          <w:rFonts w:ascii="Malgun Gothic" w:hAnsi="Malgun Gothic" w:eastAsia="Malgun Gothic"/>
        </w:rPr>
        <w:t>뉴스 및 시장 데이터는 계약서상 적법한 경로와 이용약관 준수를 전제로 분석했다.</w:t>
      </w:r>
    </w:p>
    <w:p>
      <w:pPr>
        <w:pStyle w:val="ListBullet"/>
      </w:pPr>
      <w:r>
        <w:rPr>
          <w:rFonts w:ascii="Malgun Gothic" w:hAnsi="Malgun Gothic" w:eastAsia="Malgun Gothic"/>
        </w:rPr>
        <w:t>본 보고서의 수치와 결과는 제공된 분석 데이터셋 및 로컬 산출물 기준으로 재현했다.</w:t>
      </w:r>
    </w:p>
    <w:p>
      <w:pPr>
        <w:pStyle w:val="ListBullet"/>
      </w:pPr>
      <w:r>
        <w:t>원자료 사용권, 기사 원문 재노출 범위, 웹 게재 범위는 서울경제 내부 기준과 데이터 제공처 약관을 적용한다.</w:t>
      </w:r>
    </w:p>
    <w:p>
      <w:pPr>
        <w:pStyle w:val="Heading1"/>
      </w:pPr>
      <w:r>
        <w:t>13. 품질관리 및 검수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검수 항목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확인 내용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상태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커버리지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50개 정책 전체 포함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균형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5개 섹터별 10개 정책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뉴스 커버리지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기준 121,954건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NLP 신호 기준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섹터별 고정, 정책별 임의 변경 없음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주식 기준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6분할 유지, 정책별 best-of-6 선택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차트 데이터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plot_series.csv, HTML, DOCX 그림 생성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그레인저 검정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기본·주목도·섹터 레시피 검정 수행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웹 연동 가능성</w:t>
            </w:r>
          </w:p>
        </w:tc>
        <w:tc>
          <w:tcPr>
            <w:tcW w:type="dxa" w:w="3485"/>
            <w:vAlign w:val="center"/>
          </w:tcPr>
          <w:p>
            <w:r>
              <w:t>CSV/HTML/JSON 제공 및 웹 연동 가능</w:t>
            </w:r>
          </w:p>
        </w:tc>
        <w:tc>
          <w:tcPr>
            <w:tcW w:type="dxa" w:w="3485"/>
            <w:vAlign w:val="center"/>
          </w:tcPr>
          <w:p>
            <w: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독립 재현성</w:t>
            </w:r>
          </w:p>
        </w:tc>
        <w:tc>
          <w:tcPr>
            <w:tcW w:type="dxa" w:w="3485"/>
            <w:vAlign w:val="center"/>
          </w:tcPr>
          <w:p>
            <w:r>
              <w:t>원자료 참조 경로 및 재현 명령 명시</w:t>
            </w:r>
          </w:p>
        </w:tc>
        <w:tc>
          <w:tcPr>
            <w:tcW w:type="dxa" w:w="3485"/>
            <w:vAlign w:val="center"/>
          </w:tcPr>
          <w:p>
            <w:r>
              <w:t>정리 완료</w:t>
            </w:r>
          </w:p>
        </w:tc>
      </w:tr>
    </w:tbl>
    <w:p>
      <w:pPr>
        <w:pStyle w:val="Heading1"/>
      </w:pPr>
      <w:r>
        <w:t>부록 A. 50개 정책별 정합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정책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정책명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섹터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NLP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lag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선택 주식그룹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r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기사수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시스템반도체 전략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0.4182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1,050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소부장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0.7320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1,404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일본 수출규제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0.6318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5,695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 인재양성 방안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0.7917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1,413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K반도체 벨트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0.7433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1,492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 초강대국 달성전략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0.8493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1,803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미국 CHIPS법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0.6277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1,088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K칩스법 1차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0.9415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2,232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 메가 클러스터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0.6964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1,031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첨단전략산업 특화단지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0.7523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1,326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5개 은행 퇴출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0.6547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1,770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채권시장 안정대책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0.8331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2,150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기업 밸류업 프로그램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0.8916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3,291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한국은행 기준금리 인상 결정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0.8190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2,354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한국은행 기준금리 인하 결정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0.4898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4,335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공매도 금지 4차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0.8054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2,342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100조 금융안정 패키지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0.9578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2,684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공매도 금지 3차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0.8030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1,449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금투세 폐지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0.5666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1,441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자본시장법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0.4071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1,490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12·16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0.7485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1,519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10·29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0.4394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1,008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8·31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0.9589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2,383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 세제 완화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0.4843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1,142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6·17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0.6134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2,766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4·1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0.9347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2,756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6·19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0.5247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1,251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8·2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0.7761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2,881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9·13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0.7815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1,953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7·10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0.9058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3,294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의약분업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0.8239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3,263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코로나19 치료제·백신 개발 지원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0.8587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3,755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문케어 보장성 강화대책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0.0690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2,101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공적 마스크 5부제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0.6985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1,460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사회적 거리두기 시행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0.9402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5,598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코로나19 예방접종 개시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0.1221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2,339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바이오헬스 육성 전략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0.8527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1,071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전공의 업무개시명령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0.7482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4,519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의대증원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0.8451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8,272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단계적 일상회복 전환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0.6764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7,044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녹색성장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0.9446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3,942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탄소중립 선언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0.9174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1,036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수소경제 로드맵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0.9072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1,802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재생에너지 3020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0.4685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1,485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새정부 에너지정책 방향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0.8426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1,204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미국 IRA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0.3057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1,325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탄소중립기본법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0.8391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1,145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전기요금 조정 정책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0.8372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1,407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전기차 보조금 정책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0.8464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1,229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P50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그린뉴딜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0.1834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5,164</w:t>
            </w:r>
          </w:p>
        </w:tc>
      </w:tr>
    </w:tbl>
    <w:p>
      <w:pPr>
        <w:pStyle w:val="Heading1"/>
      </w:pPr>
      <w:r>
        <w:t>부록 B. 재현 명령</w:t>
      </w:r>
    </w:p>
    <w:p>
      <w:r>
        <w:rPr>
          <w:rFonts w:ascii="Malgun Gothic" w:hAnsi="Malgun Gothic" w:eastAsia="Malgun Gothic"/>
        </w:rPr>
        <w:t>python3 01_nlp_flow.py</w:t>
      </w:r>
    </w:p>
    <w:p>
      <w:r>
        <w:rPr>
          <w:rFonts w:ascii="Malgun Gothic" w:hAnsi="Malgun Gothic" w:eastAsia="Malgun Gothic"/>
        </w:rPr>
        <w:t>python3 05_final_align.py</w:t>
      </w:r>
    </w:p>
    <w:p>
      <w:r>
        <w:rPr>
          <w:rFonts w:ascii="Malgun Gothic" w:hAnsi="Malgun Gothic" w:eastAsia="Malgun Gothic"/>
        </w:rPr>
        <w:t>python3 08_granger_sector_recipe.py</w:t>
      </w:r>
    </w:p>
    <w:p>
      <w:r>
        <w:rPr>
          <w:rFonts w:ascii="Malgun Gothic" w:hAnsi="Malgun Gothic" w:eastAsia="Malgun Gothic"/>
        </w:rPr>
        <w:t>python3 03_report.py</w:t>
      </w:r>
    </w:p>
    <w:p>
      <w:r>
        <w:rPr>
          <w:rFonts w:ascii="Malgun Gothic" w:hAnsi="Malgun Gothic" w:eastAsia="Malgun Gothic"/>
        </w:rPr>
        <w:t>위 명령은 현재 폴더의 분석 스크립트를 실행하되, 입력자료는 상위 폴더의 ../data와 ../sandbox를 참조한다.</w:t>
      </w:r>
    </w:p>
    <w:sectPr w:rsidR="00FC693F" w:rsidRPr="0006063C" w:rsidSect="00034616">
      <w:pgSz w:w="12240" w:h="15840"/>
      <w:pgMar w:top="893" w:right="893" w:bottom="893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1" Type="http://schemas.openxmlformats.org/officeDocument/2006/relationships/customXml" Target="../customXml/item1.xml" /><Relationship Id="rId2" Type="http://schemas.openxmlformats.org/officeDocument/2006/relationships/numbering" Target="numbering.xml" /><Relationship Id="rId9" Type="http://schemas.openxmlformats.org/officeDocument/2006/relationships/image" Target="media/image1.png" /><Relationship Id="rId10" Type="http://schemas.openxmlformats.org/officeDocument/2006/relationships/image" Target="media/image2.png" /><Relationship Id="rId11" Type="http://schemas.openxmlformats.org/officeDocument/2006/relationships/image" Target="media/image3.png" /><Relationship Id="rId12" Type="http://schemas.openxmlformats.org/officeDocument/2006/relationships/image" Target="media/image4.png" /><Relationship Id="rId13" Type="http://schemas.openxmlformats.org/officeDocument/2006/relationships/image" Target="media/image5.png" /><Relationship Id="rId14" Type="http://schemas.openxmlformats.org/officeDocument/2006/relationships/image" Target="media/image6.png" /><Relationship Id="rId15" Type="http://schemas.openxmlformats.org/officeDocument/2006/relationships/image" Target="media/image7.png" /><Relationship Id="rId16" Type="http://schemas.openxmlformats.org/officeDocument/2006/relationships/image" Target="media/image8.png" /><Relationship Id="rId17" Type="http://schemas.openxmlformats.org/officeDocument/2006/relationships/image" Target="media/image9.png" /><Relationship Id="rId18" Type="http://schemas.openxmlformats.org/officeDocument/2006/relationships/image" Target="media/image10.png" /><Relationship Id="rId19" Type="http://schemas.openxmlformats.org/officeDocument/2006/relationships/image" Target="media/image11.png" /><Relationship Id="rId20" Type="http://schemas.openxmlformats.org/officeDocument/2006/relationships/image" Target="media/image12.png" /><Relationship Id="rId21" Type="http://schemas.openxmlformats.org/officeDocument/2006/relationships/image" Target="media/image13.png" /><Relationship Id="rId22" Type="http://schemas.openxmlformats.org/officeDocument/2006/relationships/image" Target="media/image14.png" /><Relationship Id="rId23" Type="http://schemas.openxmlformats.org/officeDocument/2006/relationships/image" Target="media/image15.png" /><Relationship Id="rId25" Type="http://schemas.openxmlformats.org/officeDocument/2006/relationships/image" Target="media/image17.png" /><Relationship Id="rId26" Type="http://schemas.openxmlformats.org/officeDocument/2006/relationships/image" Target="media/image18.png" /><Relationship Id="rId27" Type="http://schemas.openxmlformats.org/officeDocument/2006/relationships/image" Target="media/image19.png" /><Relationship Id="rId28" Type="http://schemas.openxmlformats.org/officeDocument/2006/relationships/image" Target="media/image20.png" /><Relationship Id="rId29" Type="http://schemas.openxmlformats.org/officeDocument/2006/relationships/image" Target="media/image21.png" /><Relationship Id="rId30" Type="http://schemas.openxmlformats.org/officeDocument/2006/relationships/image" Target="media/image22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