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4057"/>
          <w:sz w:val="32"/>
          <w:szCs w:val="32"/>
        </w:rPr>
        <w:t xml:space="preserve">Soichi – Weekly Research Plan</w:t>
      </w:r>
    </w:p>
    <w:p>
      <w:pPr>
        <w:spacing w:after="280"/>
        <w:jc w:val="center"/>
      </w:pPr>
      <w:r>
        <w:rPr>
          <w:rFonts w:ascii="Arial" w:cs="Arial" w:eastAsia="Arial" w:hAnsi="Arial"/>
          <w:color w:val="888888"/>
          <w:sz w:val="20"/>
          <w:szCs w:val="20"/>
        </w:rPr>
        <w:t xml:space="preserve">Psychedelics &amp; Anesthesia Modeling Study  |  Updated February 2026</w:t>
      </w:r>
    </w:p>
    <w:p>
      <w:pPr>
        <w:pStyle w:val="Heading1"/>
      </w:pPr>
      <w:r>
        <w:t xml:space="preserve">1. Research Plan (One-Page Specific Aims Draft)</w:t>
      </w:r>
    </w:p>
    <w:p>
      <w:pPr>
        <w:pStyle w:val="Heading2"/>
      </w:pPr>
      <w:r>
        <w:t xml:space="preserve">a. Background</w:t>
      </w:r>
    </w:p>
    <w:p>
      <w:pPr>
        <w:spacing w:after="160"/>
      </w:pPr>
      <w:r>
        <w:t xml:space="preserve">Provide a concise overview of anesthesia-induced unconsciousness, serotonergic modulation, and the role of brain criticality in recovery of consciousness.</w:t>
      </w:r>
    </w:p>
    <w:p>
      <w:pPr>
        <w:pStyle w:val="Heading2"/>
      </w:pPr>
      <w:r>
        <w:t xml:space="preserve">b. Significance – Why This Problem Is Important</w:t>
      </w:r>
    </w:p>
    <w:p>
      <w:pPr>
        <w:spacing w:after="80"/>
      </w:pPr>
      <w:r>
        <w:rPr>
          <w:b/>
          <w:bCs/>
        </w:rPr>
        <w:t xml:space="preserve">Key question: </w:t>
      </w:r>
      <w:r>
        <w:t xml:space="preserve">Which spatial and temporal scales of brain activity most strongly shape the brain's </w:t>
      </w:r>
      <w:r>
        <w:rPr>
          <w:b/>
          <w:bCs/>
        </w:rPr>
        <w:t xml:space="preserve">criticality landscape</w:t>
      </w:r>
      <w:r>
        <w:t xml:space="preserve">, thereby determining the trajectory (rapid vs. delayed) of recovery of consciousness from anesthesia-induced unconsciousness?</w:t>
      </w:r>
    </w:p>
    <w:p>
      <w:pPr>
        <w:spacing w:after="160"/>
      </w:pPr>
      <w:r>
        <w:rPr>
          <w:b/>
          <w:bCs/>
        </w:rPr>
        <w:t xml:space="preserve">Clinical relevance: </w:t>
      </w:r>
      <w:r>
        <w:t xml:space="preserve">Although prior studies have shown that certain drugs and receptor targets can reverse anesthesia and induce wake-like behavior (primarily in animal models), it remains unclear whether true recovery of consciousness and cognition occurs. Criticality indicators (LZC, PCI) may reveal whether recovery of arousal (e.g., righting reflex) reflects genuine restoration of conscious dynamics, or whether the animal remains in a functionally dissociated zombie-like state.</w:t>
      </w:r>
    </w:p>
    <w:p>
      <w:pPr>
        <w:pStyle w:val="Heading2"/>
      </w:pPr>
      <w:r>
        <w:t xml:space="preserve">c. Innovation – New Approach</w:t>
      </w:r>
    </w:p>
    <w:p>
      <w:pPr>
        <w:pStyle w:val="ListParagraph"/>
        <w:numPr>
          <w:ilvl w:val="0"/>
          <w:numId w:val="2"/>
        </w:numPr>
        <w:spacing w:after="60"/>
      </w:pPr>
      <w:r>
        <w:t xml:space="preserve">Integrate </w:t>
      </w:r>
      <w:r>
        <w:rPr>
          <w:b/>
          <w:bCs/>
        </w:rPr>
        <w:t xml:space="preserve">multiscale computational modeling</w:t>
      </w:r>
      <w:r>
        <w:t xml:space="preserve"> with the </w:t>
      </w:r>
      <w:r>
        <w:rPr>
          <w:b/>
          <w:bCs/>
        </w:rPr>
        <w:t xml:space="preserve">criticality landscape framework</w:t>
      </w:r>
    </w:p>
    <w:p>
      <w:pPr>
        <w:pStyle w:val="ListParagraph"/>
        <w:numPr>
          <w:ilvl w:val="0"/>
          <w:numId w:val="2"/>
        </w:numPr>
        <w:spacing w:after="60"/>
      </w:pPr>
      <w:r>
        <w:t xml:space="preserve">Develop methods to </w:t>
      </w:r>
      <w:r>
        <w:rPr>
          <w:b/>
          <w:bCs/>
        </w:rPr>
        <w:t xml:space="preserve">predict and monitor emergence trajectories</w:t>
      </w:r>
      <w:r>
        <w:t xml:space="preserve"> (fast vs. slow recovery)</w:t>
      </w:r>
    </w:p>
    <w:p>
      <w:pPr>
        <w:pStyle w:val="ListParagraph"/>
        <w:numPr>
          <w:ilvl w:val="0"/>
          <w:numId w:val="2"/>
        </w:numPr>
        <w:spacing w:after="160"/>
      </w:pPr>
      <w:r>
        <w:t xml:space="preserve">Directly test whether psychedelic-mediated reversal of anesthesia restores </w:t>
      </w:r>
      <w:r>
        <w:rPr>
          <w:i/>
          <w:iCs/>
        </w:rPr>
        <w:t xml:space="preserve">true</w:t>
      </w:r>
      <w:r>
        <w:t xml:space="preserve"> criticality or merely superficial arousal markers</w:t>
      </w:r>
    </w:p>
    <w:p>
      <w:pPr>
        <w:pStyle w:val="Heading2"/>
      </w:pPr>
      <w:r>
        <w:t xml:space="preserve">d. Central Hypothesis</w:t>
      </w:r>
    </w:p>
    <w:p>
      <w:pPr>
        <w:spacing w:after="80"/>
      </w:pPr>
      <w:r>
        <w:t xml:space="preserve">Serotonergic psychedelic modulation shifts anesthesia-induced unconscious brain states toward criticality, thereby facilitating the recovery of consciousness.</w:t>
      </w:r>
    </w:p>
    <w:p>
      <w:pPr>
        <w:spacing w:after="160"/>
      </w:pPr>
      <w:r>
        <w:rPr>
          <w:b/>
          <w:bCs/>
        </w:rPr>
        <w:t xml:space="preserve">Corollary (from UnCheol, Feb 2026): </w:t>
      </w:r>
      <w:r>
        <w:t xml:space="preserve">The speed of induction and recovery is proportional to the system's proximity to an explosive synchronization (ES) critical point. Higher ES proximity → faster state transitions (1st-order phase transition character); lower ES proximity → slower transitions (2nd-order). Recovery of LZC/PCI does </w:t>
      </w:r>
      <w:r>
        <w:rPr>
          <w:b/>
          <w:bCs/>
          <w:u w:val="single"/>
        </w:rPr>
        <w:t xml:space="preserve">not</w:t>
      </w:r>
      <w:r>
        <w:t xml:space="preserve"> necessarily imply recovery of criticality, and the slope of LZC/PCI or DCC/Hurst exponent changes may serve as a real-time readout of whole-brain ES proximity.</w:t>
      </w:r>
    </w:p>
    <w:p>
      <w:pPr>
        <w:pStyle w:val="Heading2"/>
      </w:pPr>
      <w:r>
        <w:t xml:space="preserve">e. Research Approach</w:t>
      </w:r>
    </w:p>
    <w:p>
      <w:pPr>
        <w:pStyle w:val="Heading3"/>
      </w:pPr>
      <w:r>
        <w:t xml:space="preserve">Methods</w:t>
      </w:r>
    </w:p>
    <w:p>
      <w:pPr>
        <w:pStyle w:val="ListParagraph"/>
        <w:numPr>
          <w:ilvl w:val="0"/>
          <w:numId w:val="2"/>
        </w:numPr>
        <w:spacing w:after="60"/>
      </w:pPr>
      <w:r>
        <w:t xml:space="preserve">Multiscale computational modeling using </w:t>
      </w:r>
      <w:r>
        <w:rPr>
          <w:b/>
          <w:bCs/>
        </w:rPr>
        <w:t xml:space="preserve">The Virtual Brain (TVB)</w:t>
      </w:r>
      <w:r>
        <w:t xml:space="preserve"> platform</w:t>
      </w:r>
    </w:p>
    <w:p>
      <w:pPr>
        <w:pStyle w:val="ListParagraph"/>
        <w:numPr>
          <w:ilvl w:val="0"/>
          <w:numId w:val="2"/>
        </w:numPr>
        <w:spacing w:after="60"/>
      </w:pPr>
      <w:r>
        <w:t xml:space="preserve">Complexity and consciousness metrics: </w:t>
      </w:r>
      <w:r>
        <w:rPr>
          <w:b/>
          <w:bCs/>
        </w:rPr>
        <w:t xml:space="preserve">Lempel–Ziv Complexity (LZC)</w:t>
      </w:r>
      <w:r>
        <w:t xml:space="preserve"> and </w:t>
      </w:r>
      <w:r>
        <w:rPr>
          <w:b/>
          <w:bCs/>
        </w:rPr>
        <w:t xml:space="preserve">Perturbational Complexity Index (PCI)</w:t>
      </w:r>
    </w:p>
    <w:p>
      <w:pPr>
        <w:pStyle w:val="ListParagraph"/>
        <w:numPr>
          <w:ilvl w:val="0"/>
          <w:numId w:val="2"/>
        </w:numPr>
        <w:spacing w:after="60"/>
      </w:pPr>
      <w:r>
        <w:t xml:space="preserve">Criticality-landscape measures: direction of deviation, distance from criticality, transition type (ES proximity)</w:t>
      </w:r>
    </w:p>
    <w:p>
      <w:pPr>
        <w:pStyle w:val="ListParagraph"/>
        <w:numPr>
          <w:ilvl w:val="0"/>
          <w:numId w:val="2"/>
        </w:numPr>
        <w:spacing w:after="60"/>
      </w:pPr>
      <w:r>
        <w:rPr>
          <w:b/>
          <w:bCs/>
        </w:rPr>
        <w:t xml:space="preserve">Receptor map (per UnCheol, Feb 2026): </w:t>
      </w:r>
      <w:r>
        <w:t xml:space="preserve">Use existing biophysically fundamental parameter values (well-supported by rat data). For the 5HT2A receptor map, use a </w:t>
      </w:r>
      <w:r>
        <w:rPr>
          <w:b/>
          <w:bCs/>
        </w:rPr>
        <w:t xml:space="preserve">random map</w:t>
      </w:r>
      <w:r>
        <w:t xml:space="preserve"> and explicitly demonstrate that simulation outcomes are largely independent of the specific map topography, consistent with Martin et al. (2025), Figure S3.</w:t>
      </w:r>
    </w:p>
    <w:p>
      <w:pPr>
        <w:pStyle w:val="ListParagraph"/>
        <w:numPr>
          <w:ilvl w:val="0"/>
          <w:numId w:val="2"/>
        </w:numPr>
        <w:spacing w:after="60"/>
      </w:pPr>
      <w:r>
        <w:rPr>
          <w:b/>
          <w:bCs/>
        </w:rPr>
        <w:t xml:space="preserve">Trial robustness (per UnCheol, Feb 2026): </w:t>
      </w:r>
      <w:r>
        <w:t xml:space="preserve">Run </w:t>
      </w:r>
      <w:r>
        <w:rPr>
          <w:b/>
          <w:bCs/>
        </w:rPr>
        <w:t xml:space="preserve">15 trials</w:t>
      </w:r>
      <w:r>
        <w:t xml:space="preserve"> per condition and report results with appropriate </w:t>
      </w:r>
      <w:r>
        <w:rPr>
          <w:b/>
          <w:bCs/>
        </w:rPr>
        <w:t xml:space="preserve">error bars</w:t>
      </w:r>
      <w:r>
        <w:t xml:space="preserve"> to ensure TVB is functioning properly and multiscale simulation tools are fully implemented.</w:t>
      </w:r>
    </w:p>
    <w:p>
      <w:pPr>
        <w:pStyle w:val="ListParagraph"/>
        <w:numPr>
          <w:ilvl w:val="0"/>
          <w:numId w:val="2"/>
        </w:numPr>
        <w:spacing w:after="60"/>
      </w:pPr>
      <w:r>
        <w:rPr>
          <w:b/>
          <w:bCs/>
        </w:rPr>
        <w:t xml:space="preserve">Temporal evolution (per UnCheol, Feb 2026): </w:t>
      </w:r>
      <w:r>
        <w:t xml:space="preserve">Simulate state transitions by gradually varying control parameters (</w:t>
      </w:r>
      <w:r>
        <w:rPr>
          <w:i/>
          <w:iCs/>
        </w:rPr>
        <w:t xml:space="preserve">decay time</w:t>
      </w:r>
      <w:r>
        <w:t xml:space="preserve"> and </w:t>
      </w:r>
      <w:r>
        <w:rPr>
          <w:i/>
          <w:iCs/>
        </w:rPr>
        <w:t xml:space="preserve">adaptation time</w:t>
      </w:r>
      <w:r>
        <w:t xml:space="preserve">) across </w:t>
      </w:r>
      <w:r>
        <w:rPr>
          <w:b/>
          <w:bCs/>
        </w:rPr>
        <w:t xml:space="preserve">10 incremental steps</w:t>
      </w:r>
      <w:r>
        <w:t xml:space="preserve">, representing a trajectory from anesthesia through psychedelic modulation and back to wakefulness.</w:t>
      </w:r>
    </w:p>
    <w:p>
      <w:pPr>
        <w:pStyle w:val="ListParagraph"/>
        <w:numPr>
          <w:ilvl w:val="0"/>
          <w:numId w:val="2"/>
        </w:numPr>
        <w:spacing w:after="60"/>
      </w:pPr>
      <w:r>
        <w:rPr>
          <w:b/>
          <w:bCs/>
        </w:rPr>
        <w:t xml:space="preserve">PK–PD grounding (per UnCheol, Feb 2026): </w:t>
      </w:r>
      <w:r>
        <w:t xml:space="preserve">Ground parameter changes in a pharmacokinetic–pharmacodynamic (PK–PD) model. Collaboration with Dr. Choi (anesthesiology) will be coordinated by UnCheol.</w:t>
      </w:r>
    </w:p>
    <w:p>
      <w:pPr>
        <w:pStyle w:val="ListParagraph"/>
        <w:numPr>
          <w:ilvl w:val="0"/>
          <w:numId w:val="2"/>
        </w:numPr>
        <w:spacing w:after="160"/>
      </w:pPr>
      <w:r>
        <w:rPr>
          <w:b/>
          <w:bCs/>
        </w:rPr>
        <w:t xml:space="preserve">Drug-order comparison (per UnCheol, Feb 2026): </w:t>
      </w:r>
      <w:r>
        <w:t xml:space="preserve">Test how the order of drug administration influences the recovery trajectory: </w:t>
      </w:r>
      <w:r>
        <w:rPr>
          <w:b/>
          <w:bCs/>
        </w:rPr>
        <w:t xml:space="preserve">Anesthesia → DOI</w:t>
      </w:r>
      <w:r>
        <w:t xml:space="preserve"> vs. </w:t>
      </w:r>
      <w:r>
        <w:rPr>
          <w:b/>
          <w:bCs/>
        </w:rPr>
        <w:t xml:space="preserve">DOI → Anesthesia</w:t>
      </w:r>
      <w:r>
        <w:t xml:space="preserve">. This will evaluate predictability and modulation capability for emergence from unconsciousness.</w:t>
      </w:r>
    </w:p>
    <w:p>
      <w:pPr>
        <w:pStyle w:val="Heading3"/>
      </w:pPr>
      <w:r>
        <w:t xml:space="preserve">Connectome Strategy</w:t>
      </w:r>
    </w:p>
    <w:p>
      <w:pPr>
        <w:pStyle w:val="ListParagraph"/>
        <w:numPr>
          <w:ilvl w:val="0"/>
          <w:numId w:val="2"/>
        </w:numPr>
        <w:spacing w:after="60"/>
      </w:pPr>
      <w:r>
        <w:rPr>
          <w:b/>
          <w:bCs/>
        </w:rPr>
        <w:t xml:space="preserve">Phase 1 (current): </w:t>
      </w:r>
      <w:r>
        <w:t xml:space="preserve">Use </w:t>
      </w:r>
      <w:r>
        <w:rPr>
          <w:b/>
          <w:bCs/>
        </w:rPr>
        <w:t xml:space="preserve">human connectome</w:t>
      </w:r>
      <w:r>
        <w:t xml:space="preserve"> to validate TVB pipeline and replicate Martin et al. (2025) results.</w:t>
      </w:r>
    </w:p>
    <w:p>
      <w:pPr>
        <w:pStyle w:val="ListParagraph"/>
        <w:numPr>
          <w:ilvl w:val="0"/>
          <w:numId w:val="2"/>
        </w:numPr>
        <w:spacing w:after="160"/>
      </w:pPr>
      <w:r>
        <w:rPr>
          <w:b/>
          <w:bCs/>
        </w:rPr>
        <w:t xml:space="preserve">Phase 2 (near-term): </w:t>
      </w:r>
      <w:r>
        <w:t xml:space="preserve">Transition to </w:t>
      </w:r>
      <w:r>
        <w:rPr>
          <w:b/>
          <w:bCs/>
        </w:rPr>
        <w:t xml:space="preserve">rat connectome</w:t>
      </w:r>
      <w:r>
        <w:t xml:space="preserve"> to enable direct comparison between simulation outputs and empirical rat EEG data from Dinesh's lab.</w:t>
      </w:r>
    </w:p>
    <w:p>
      <w:pPr>
        <w:pStyle w:val="Heading3"/>
      </w:pPr>
      <w:r>
        <w:t xml:space="preserve">Experimental Data</w:t>
      </w:r>
    </w:p>
    <w:p>
      <w:pPr>
        <w:pStyle w:val="ListParagraph"/>
        <w:numPr>
          <w:ilvl w:val="0"/>
          <w:numId w:val="2"/>
        </w:numPr>
        <w:spacing w:after="60"/>
      </w:pPr>
      <w:r>
        <w:t xml:space="preserve">Primary: </w:t>
      </w:r>
      <w:r>
        <w:rPr>
          <w:b/>
          <w:bCs/>
        </w:rPr>
        <w:t xml:space="preserve">rat EEG datasets</w:t>
      </w:r>
      <w:r>
        <w:t xml:space="preserve"> (Dinesh's lab)</w:t>
      </w:r>
    </w:p>
    <w:p>
      <w:pPr>
        <w:pStyle w:val="ListParagraph"/>
        <w:numPr>
          <w:ilvl w:val="0"/>
          <w:numId w:val="2"/>
        </w:numPr>
        <w:spacing w:after="60"/>
      </w:pPr>
      <w:r>
        <w:t xml:space="preserve">Extension: </w:t>
      </w:r>
      <w:r>
        <w:rPr>
          <w:b/>
          <w:bCs/>
        </w:rPr>
        <w:t xml:space="preserve">human anesthesia or coma datasets</w:t>
      </w:r>
    </w:p>
    <w:p>
      <w:pPr>
        <w:pStyle w:val="ListParagraph"/>
        <w:numPr>
          <w:ilvl w:val="0"/>
          <w:numId w:val="2"/>
        </w:numPr>
        <w:spacing w:after="200"/>
      </w:pPr>
      <w:r>
        <w:t xml:space="preserve">Optional: acoustic-stimulation–induced recovery from anesthesia</w:t>
      </w:r>
    </w:p>
    <w:p>
      <w:pPr>
        <w:pStyle w:val="Heading1"/>
      </w:pPr>
      <w:r>
        <w:t xml:space="preserve">2. Key Novel Aspects of the Paper (per UnCheol, Feb 2026)</w:t>
      </w:r>
    </w:p>
    <w:p>
      <w:pPr>
        <w:pStyle w:val="ListParagraph"/>
        <w:numPr>
          <w:ilvl w:val="0"/>
          <w:numId w:val="3"/>
        </w:numPr>
        <w:spacing w:after="80"/>
      </w:pPr>
      <w:r>
        <w:rPr>
          <w:b/>
          <w:bCs/>
        </w:rPr>
        <w:t xml:space="preserve">Rat connectome–based whole-brain computational modeling</w:t>
      </w:r>
    </w:p>
    <w:p>
      <w:pPr>
        <w:pStyle w:val="ListParagraph"/>
        <w:numPr>
          <w:ilvl w:val="0"/>
          <w:numId w:val="3"/>
        </w:numPr>
        <w:spacing w:after="80"/>
      </w:pPr>
      <w:r>
        <w:rPr>
          <w:b/>
          <w:bCs/>
        </w:rPr>
        <w:t xml:space="preserve">Psychedelic-mediated reversal of anesthesia</w:t>
      </w:r>
    </w:p>
    <w:p>
      <w:pPr>
        <w:pStyle w:val="ListParagraph"/>
        <w:numPr>
          <w:ilvl w:val="0"/>
          <w:numId w:val="3"/>
        </w:numPr>
        <w:spacing w:after="200"/>
      </w:pPr>
      <w:r>
        <w:rPr>
          <w:b/>
          <w:bCs/>
        </w:rPr>
        <w:t xml:space="preserve">Predicting and modulating the emergence trajectory (fast vs. slow recovery) from anesthesia</w:t>
      </w:r>
      <w:r>
        <w:t xml:space="preserve"> using the criticality-landscape/ES-proximity framework</w:t>
      </w:r>
    </w:p>
    <w:p>
      <w:pPr>
        <w:pStyle w:val="Heading1"/>
      </w:pPr>
      <w:r>
        <w:t xml:space="preserve">3. Timeline / Milestones</w:t>
      </w:r>
    </w:p>
    <w:p>
      <w:pPr>
        <w:pStyle w:val="ListParagraph"/>
        <w:numPr>
          <w:ilvl w:val="0"/>
          <w:numId w:val="4"/>
        </w:numPr>
        <w:spacing w:after="60"/>
      </w:pPr>
      <w:r>
        <w:rPr>
          <w:b/>
          <w:bCs/>
        </w:rPr>
        <w:t xml:space="preserve">[Immediate] Validate TVB &amp; implement multiscale tools: </w:t>
      </w:r>
      <w:r>
        <w:t xml:space="preserve">Ensure TVB is functioning correctly and fully implement the multiscale simulation tools introduced in Martin et al. (2025). Run </w:t>
      </w:r>
      <w:r>
        <w:rPr>
          <w:b/>
          <w:bCs/>
        </w:rPr>
        <w:t xml:space="preserve">15 trials</w:t>
      </w:r>
      <w:r>
        <w:t xml:space="preserve"> per condition; report results with appropriate error bars.</w:t>
      </w:r>
    </w:p>
    <w:p>
      <w:pPr>
        <w:pStyle w:val="ListParagraph"/>
        <w:numPr>
          <w:ilvl w:val="0"/>
          <w:numId w:val="4"/>
        </w:numPr>
        <w:spacing w:after="60"/>
      </w:pPr>
      <w:r>
        <w:rPr>
          <w:b/>
          <w:bCs/>
        </w:rPr>
        <w:t xml:space="preserve">[Short-term] Reproduce LZC and PCI results</w:t>
      </w:r>
      <w:r>
        <w:t xml:space="preserve"> for GABAergic / NMDA anesthesia datasets using human connectome.</w:t>
      </w:r>
    </w:p>
    <w:p>
      <w:pPr>
        <w:pStyle w:val="ListParagraph"/>
        <w:numPr>
          <w:ilvl w:val="0"/>
          <w:numId w:val="4"/>
        </w:numPr>
        <w:spacing w:after="60"/>
      </w:pPr>
      <w:r>
        <w:rPr>
          <w:b/>
          <w:bCs/>
        </w:rPr>
        <w:t xml:space="preserve">[Short-term] Reproduce LZC and PCI</w:t>
      </w:r>
      <w:r>
        <w:t xml:space="preserve"> for serotonergic psychedelic datasets using human connectome.</w:t>
      </w:r>
    </w:p>
    <w:p>
      <w:pPr>
        <w:pStyle w:val="ListParagraph"/>
        <w:numPr>
          <w:ilvl w:val="0"/>
          <w:numId w:val="4"/>
        </w:numPr>
        <w:spacing w:after="60"/>
      </w:pPr>
      <w:r>
        <w:rPr>
          <w:b/>
          <w:bCs/>
        </w:rPr>
        <w:t xml:space="preserve">[Medium-term] Simulate temporal evolution of state transitions: </w:t>
      </w:r>
      <w:r>
        <w:t xml:space="preserve">Gradually vary decay time and adaptation time across </w:t>
      </w:r>
      <w:r>
        <w:rPr>
          <w:b/>
          <w:bCs/>
        </w:rPr>
        <w:t xml:space="preserve">10 incremental steps</w:t>
      </w:r>
      <w:r>
        <w:t xml:space="preserve"> to model the trajectory from anesthesia through psychedelic reversal. Incorporate PK–PD model with Dr. Choi's input to ground parameter changes pharmacologically.</w:t>
      </w:r>
    </w:p>
    <w:p>
      <w:pPr>
        <w:pStyle w:val="ListParagraph"/>
        <w:numPr>
          <w:ilvl w:val="0"/>
          <w:numId w:val="4"/>
        </w:numPr>
        <w:spacing w:after="60"/>
      </w:pPr>
      <w:r>
        <w:rPr>
          <w:b/>
          <w:bCs/>
        </w:rPr>
        <w:t xml:space="preserve">[Medium-term] Drug-order comparison: </w:t>
      </w:r>
      <w:r>
        <w:t xml:space="preserve">Test Anesthesia → DOI vs. DOI → Anesthesia to evaluate how order of administration influences recovery trajectory. Assess both predictability and modulation capability for emergence from unconsciousness.</w:t>
      </w:r>
    </w:p>
    <w:p>
      <w:pPr>
        <w:pStyle w:val="ListParagraph"/>
        <w:numPr>
          <w:ilvl w:val="0"/>
          <w:numId w:val="4"/>
        </w:numPr>
        <w:spacing w:after="60"/>
      </w:pPr>
      <w:r>
        <w:rPr>
          <w:b/>
          <w:bCs/>
        </w:rPr>
        <w:t xml:space="preserve">[Medium-term] Simulate serotonergic modulation–induced reversal</w:t>
      </w:r>
      <w:r>
        <w:t xml:space="preserve"> of GABAergic anesthesia and validate against empirical rat EEG data.</w:t>
      </w:r>
    </w:p>
    <w:p>
      <w:pPr>
        <w:pStyle w:val="ListParagraph"/>
        <w:numPr>
          <w:ilvl w:val="0"/>
          <w:numId w:val="4"/>
        </w:numPr>
        <w:spacing w:after="60"/>
      </w:pPr>
      <w:r>
        <w:rPr>
          <w:b/>
          <w:bCs/>
        </w:rPr>
        <w:t xml:space="preserve">[Medium-term] Transition to rat connectome: </w:t>
      </w:r>
      <w:r>
        <w:t xml:space="preserve">Rerun simulations with rat connectome to enable direct empirical comparison.</w:t>
      </w:r>
    </w:p>
    <w:p>
      <w:pPr>
        <w:pStyle w:val="ListParagraph"/>
        <w:numPr>
          <w:ilvl w:val="0"/>
          <w:numId w:val="4"/>
        </w:numPr>
        <w:spacing w:after="60"/>
      </w:pPr>
      <w:r>
        <w:rPr>
          <w:b/>
          <w:bCs/>
        </w:rPr>
        <w:t xml:space="preserve">[Milestone] Publish computational and empirical validation results</w:t>
      </w:r>
      <w:r>
        <w:t xml:space="preserve"> (paper centered on rat connectome modeling, psychedelic reversal of anesthesia, and emergence trajectory prediction).</w:t>
      </w:r>
    </w:p>
    <w:p>
      <w:pPr>
        <w:pStyle w:val="ListParagraph"/>
        <w:numPr>
          <w:ilvl w:val="0"/>
          <w:numId w:val="4"/>
        </w:numPr>
        <w:spacing w:after="60"/>
      </w:pPr>
      <w:r>
        <w:rPr>
          <w:b/>
          <w:bCs/>
        </w:rPr>
        <w:t xml:space="preserve">[Long-term] Develop and publish prediction/modulation models</w:t>
      </w:r>
      <w:r>
        <w:t xml:space="preserve"> using the criticality-landscape framework.</w:t>
      </w:r>
    </w:p>
    <w:p>
      <w:pPr>
        <w:pStyle w:val="ListParagraph"/>
        <w:numPr>
          <w:ilvl w:val="0"/>
          <w:numId w:val="4"/>
        </w:numPr>
        <w:spacing w:after="200"/>
      </w:pPr>
      <w:r>
        <w:rPr>
          <w:b/>
          <w:bCs/>
        </w:rPr>
        <w:t xml:space="preserve">[Future / Next Project] Clinical translation: </w:t>
      </w:r>
      <w:r>
        <w:t xml:space="preserve">Replace rat connectome with </w:t>
      </w:r>
      <w:r>
        <w:rPr>
          <w:b/>
          <w:bCs/>
        </w:rPr>
        <w:t xml:space="preserve">human connectome</w:t>
      </w:r>
      <w:r>
        <w:t xml:space="preserve"> and animal EEG with </w:t>
      </w:r>
      <w:r>
        <w:rPr>
          <w:b/>
          <w:bCs/>
        </w:rPr>
        <w:t xml:space="preserve">human fMRI data</w:t>
      </w:r>
      <w:r>
        <w:t xml:space="preserve"> (e.g., psychedelic datasets) to facilitate clinical translation. Optionally extend modeling and analysis to chronic pain datasets.</w:t>
      </w:r>
    </w:p>
    <w:p>
      <w:pPr>
        <w:pStyle w:val="Heading1"/>
      </w:pPr>
      <w:r>
        <w:t xml:space="preserve">4. Key Scientific Questions to Address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CCCCCC" w:sz="1"/>
              <w:left w:val="single" w:color="CCCCCC" w:sz="1"/>
              <w:bottom w:val="single" w:color="CCCCCC" w:sz="1"/>
              <w:right w:val="single" w:color="CCCCCC" w:sz="1"/>
            </w:tcBorders>
            <w:shd w:fill="2E4057" w:val="clear"/>
            <w:tcMar>
              <w:top w:type="dxa" w:w="100"/>
              <w:left w:type="dxa" w:w="160"/>
              <w:bottom w:type="dxa" w:w="100"/>
              <w:right w:type="dxa" w:w="160"/>
            </w:tcMar>
            <w:vAlign w:val="center"/>
          </w:tcPr>
          <w:p>
            <w:r>
              <w:rPr>
                <w:b/>
                <w:bCs/>
                <w:color w:val="FFFFFF"/>
                <w:sz w:val="20"/>
                <w:szCs w:val="20"/>
              </w:rPr>
              <w:t xml:space="preserve">Question</w:t>
            </w:r>
          </w:p>
        </w:tc>
        <w:tc>
          <w:tcPr>
            <w:tcW w:type="dxa" w:w="6280"/>
            <w:tcBorders>
              <w:top w:val="single" w:color="CCCCCC" w:sz="1"/>
              <w:left w:val="single" w:color="CCCCCC" w:sz="1"/>
              <w:bottom w:val="single" w:color="CCCCCC" w:sz="1"/>
              <w:right w:val="single" w:color="CCCCCC" w:sz="1"/>
            </w:tcBorders>
            <w:shd w:fill="2E4057" w:val="clear"/>
            <w:tcMar>
              <w:top w:type="dxa" w:w="100"/>
              <w:left w:type="dxa" w:w="160"/>
              <w:bottom w:type="dxa" w:w="100"/>
              <w:right w:type="dxa" w:w="160"/>
            </w:tcMar>
            <w:vAlign w:val="center"/>
          </w:tcPr>
          <w:p>
            <w:r>
              <w:rPr>
                <w:b/>
                <w:bCs/>
                <w:color w:val="FFFFFF"/>
                <w:sz w:val="20"/>
                <w:szCs w:val="20"/>
              </w:rPr>
              <w:t xml:space="preserve">Details / Approach</w:t>
            </w:r>
          </w:p>
        </w:tc>
      </w:tr>
      <w:tr>
        <w:tc>
          <w:tcPr>
            <w:tcW w:type="dxa" w:w="3800"/>
            <w:tcBorders>
              <w:top w:val="single" w:color="CCCCCC" w:sz="1"/>
              <w:left w:val="single" w:color="CCCCCC" w:sz="1"/>
              <w:bottom w:val="single" w:color="CCCCCC" w:sz="1"/>
              <w:right w:val="single" w:color="CCCCCC" w:sz="1"/>
            </w:tcBorders>
            <w:shd w:fill="EEF3F7" w:val="clear"/>
            <w:tcMar>
              <w:top w:type="dxa" w:w="80"/>
              <w:left w:type="dxa" w:w="160"/>
              <w:bottom w:type="dxa" w:w="80"/>
              <w:right w:type="dxa" w:w="160"/>
            </w:tcMar>
          </w:tcPr>
          <w:p>
            <w:r>
              <w:rPr>
                <w:b/>
                <w:bCs/>
                <w:sz w:val="20"/>
                <w:szCs w:val="20"/>
              </w:rPr>
              <w:t xml:space="preserve">Does LZC/PCI recovery equal criticality recovery?</w:t>
            </w:r>
          </w:p>
        </w:tc>
        <w:tc>
          <w:tcPr>
            <w:tcW w:type="dxa" w:w="6280"/>
            <w:tcBorders>
              <w:top w:val="single" w:color="CCCCCC" w:sz="1"/>
              <w:left w:val="single" w:color="CCCCCC" w:sz="1"/>
              <w:bottom w:val="single" w:color="CCCCCC" w:sz="1"/>
              <w:right w:val="single" w:color="CCCCCC" w:sz="1"/>
            </w:tcBorders>
            <w:shd w:fill="EEF3F7" w:val="clear"/>
            <w:tcMar>
              <w:top w:type="dxa" w:w="80"/>
              <w:left w:type="dxa" w:w="160"/>
              <w:bottom w:type="dxa" w:w="80"/>
              <w:right w:type="dxa" w:w="160"/>
            </w:tcMar>
          </w:tcPr>
          <w:p>
            <w:r>
              <w:rPr>
                <w:b/>
                <w:bCs/>
                <w:sz w:val="20"/>
                <w:szCs w:val="20"/>
              </w:rPr>
              <w:t xml:space="preserve">No — not necessarily. </w:t>
            </w:r>
            <w:r>
              <w:rPr>
                <w:sz w:val="20"/>
                <w:szCs w:val="20"/>
              </w:rPr>
              <w:t xml:space="preserve">An animal may show restored LZC/PCI (complexity, connectivity) yet fail to restore criticality (functional optimality / balanced state). This zombie-like state can be detected using DCC/Hurst exponent and scale-invariance metrics (FISS).</w:t>
            </w:r>
          </w:p>
        </w:tc>
      </w:tr>
      <w:tr>
        <w:tc>
          <w:tcPr>
            <w:tcW w:type="dxa" w:w="3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What determines speed of induction and recovery?</w:t>
            </w:r>
          </w:p>
        </w:tc>
        <w:tc>
          <w:tcPr>
            <w:tcW w:type="dxa" w:w="6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ES proximity: </w:t>
            </w:r>
            <w:r>
              <w:rPr>
                <w:sz w:val="20"/>
                <w:szCs w:val="20"/>
              </w:rPr>
              <w:t xml:space="preserve">Speed ∝ proximity to explosive synchronization critical point. Higher ES proximity → faster transitions (1st-order phase transition); lower → slower (2nd-order). Slope of LZC/PCI or DCC/Hurst exponent changes is a linear readout of whole-brain ES proximity.</w:t>
            </w:r>
          </w:p>
        </w:tc>
      </w:tr>
      <w:tr>
        <w:tc>
          <w:tcPr>
            <w:tcW w:type="dxa" w:w="3800"/>
            <w:tcBorders>
              <w:top w:val="single" w:color="CCCCCC" w:sz="1"/>
              <w:left w:val="single" w:color="CCCCCC" w:sz="1"/>
              <w:bottom w:val="single" w:color="CCCCCC" w:sz="1"/>
              <w:right w:val="single" w:color="CCCCCC" w:sz="1"/>
            </w:tcBorders>
            <w:shd w:fill="EEF3F7" w:val="clear"/>
            <w:tcMar>
              <w:top w:type="dxa" w:w="80"/>
              <w:left w:type="dxa" w:w="160"/>
              <w:bottom w:type="dxa" w:w="80"/>
              <w:right w:type="dxa" w:w="160"/>
            </w:tcMar>
          </w:tcPr>
          <w:p>
            <w:r>
              <w:rPr>
                <w:b/>
                <w:bCs/>
                <w:sz w:val="20"/>
                <w:szCs w:val="20"/>
              </w:rPr>
              <w:t xml:space="preserve">Does drug order matter for recovery trajectory?</w:t>
            </w:r>
          </w:p>
        </w:tc>
        <w:tc>
          <w:tcPr>
            <w:tcW w:type="dxa" w:w="6280"/>
            <w:tcBorders>
              <w:top w:val="single" w:color="CCCCCC" w:sz="1"/>
              <w:left w:val="single" w:color="CCCCCC" w:sz="1"/>
              <w:bottom w:val="single" w:color="CCCCCC" w:sz="1"/>
              <w:right w:val="single" w:color="CCCCCC" w:sz="1"/>
            </w:tcBorders>
            <w:shd w:fill="EEF3F7" w:val="clear"/>
            <w:tcMar>
              <w:top w:type="dxa" w:w="80"/>
              <w:left w:type="dxa" w:w="160"/>
              <w:bottom w:type="dxa" w:w="80"/>
              <w:right w:type="dxa" w:w="160"/>
            </w:tcMar>
          </w:tcPr>
          <w:p>
            <w:r>
              <w:rPr>
                <w:b/>
                <w:bCs/>
                <w:sz w:val="20"/>
                <w:szCs w:val="20"/>
              </w:rPr>
              <w:t xml:space="preserve">Yes — to be tested. </w:t>
            </w:r>
            <w:r>
              <w:rPr>
                <w:sz w:val="20"/>
                <w:szCs w:val="20"/>
              </w:rPr>
              <w:t xml:space="preserve">Compare Anesthesia → DOI vs. DOI → Anesthesia to determine how administration order shapes the emergence trajectory.</w:t>
            </w:r>
          </w:p>
        </w:tc>
      </w:tr>
      <w:tr>
        <w:tc>
          <w:tcPr>
            <w:tcW w:type="dxa" w:w="3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Does the 5HT2A receptor map topology matter?</w:t>
            </w:r>
          </w:p>
        </w:tc>
        <w:tc>
          <w:tcPr>
            <w:tcW w:type="dxa" w:w="6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No — per Martin et al. (2025) Fig. S3. </w:t>
            </w:r>
            <w:r>
              <w:rPr>
                <w:sz w:val="20"/>
                <w:szCs w:val="20"/>
              </w:rPr>
              <w:t xml:space="preserve">Use a random map and explicitly demonstrate independence of simulation outcomes from receptor map topography.</w:t>
            </w:r>
          </w:p>
        </w:tc>
      </w:tr>
    </w:tbl>
    <w:p>
      <w:pPr>
        <w:spacing w:after="200"/>
      </w:pPr>
      <w:r>
        <w:t xml:space="preserve"/>
      </w:r>
    </w:p>
    <w:p>
      <w:pPr>
        <w:pStyle w:val="Heading1"/>
      </w:pPr>
      <w:r>
        <w:t xml:space="preserve">5. Collaborations &amp; External Input Needed</w:t>
      </w:r>
    </w:p>
    <w:p>
      <w:pPr>
        <w:pStyle w:val="ListParagraph"/>
        <w:numPr>
          <w:ilvl w:val="0"/>
          <w:numId w:val="2"/>
        </w:numPr>
        <w:spacing w:after="60"/>
      </w:pPr>
      <w:r>
        <w:rPr>
          <w:b/>
          <w:bCs/>
        </w:rPr>
        <w:t xml:space="preserve">Dr. Choi (Anesthesiology / PK–PD modeling): </w:t>
      </w:r>
      <w:r>
        <w:t xml:space="preserve">Will be contacted by UnCheol. Needed to ground the 10-step parameter variation (decay time, adaptation time) in a pharmacokinetically valid PK–PD model of propofol and DOI.</w:t>
      </w:r>
    </w:p>
    <w:p>
      <w:pPr>
        <w:pStyle w:val="ListParagraph"/>
        <w:numPr>
          <w:ilvl w:val="0"/>
          <w:numId w:val="2"/>
        </w:numPr>
        <w:spacing w:after="60"/>
      </w:pPr>
      <w:r>
        <w:rPr>
          <w:b/>
          <w:bCs/>
        </w:rPr>
        <w:t xml:space="preserve">Dinesh's lab: </w:t>
      </w:r>
      <w:r>
        <w:t xml:space="preserve">Empirical rat EEG datasets for comparison with simulation outputs once rat connectome is incorporated.</w:t>
      </w:r>
    </w:p>
    <w:p>
      <w:pPr>
        <w:pStyle w:val="ListParagraph"/>
        <w:numPr>
          <w:ilvl w:val="0"/>
          <w:numId w:val="2"/>
        </w:numPr>
        <w:spacing w:after="200"/>
      </w:pPr>
      <w:r>
        <w:rPr>
          <w:b/>
          <w:bCs/>
        </w:rPr>
        <w:t xml:space="preserve">UnCheol (PI): </w:t>
      </w:r>
      <w:r>
        <w:t xml:space="preserve">Review of results at next meeting (proposed: this Friday). Conceptual framework sketch provided February 2026 (see attached image).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4057"/>
      <w:sz w:val="24"/>
      <w:szCs w:val="24"/>
    </w:rPr>
  </w:style>
  <w:style w:type="paragraph" w:styleId="Heading3">
    <w:name w:val="Heading 3"/>
    <w:basedOn w:val="Normal"/>
    <w:next w:val="Normal"/>
    <w:qFormat/>
    <w:pPr>
      <w:spacing w:before="120" w:after="60"/>
      <w:outlineLvl w:val="2"/>
    </w:pPr>
    <w:rPr>
      <w:rFonts w:ascii="Arial" w:cs="Arial" w:eastAsia="Arial" w:hAnsi="Arial"/>
      <w:b/>
      <w:bCs/>
      <w:i/>
      <w:iCs/>
      <w:color w:val="4A62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2026-02-23T22:01:04.327Z</dcterms:created>
  <dcterms:modified xsi:type="dcterms:W3CDTF">2026-02-23T22:01:04.327Z</dcterms:modified>
</cp:coreProperties>
</file>

<file path=docProps/custom.xml><?xml version="1.0" encoding="utf-8"?>
<Properties xmlns="http://schemas.openxmlformats.org/officeDocument/2006/custom-properties" xmlns:vt="http://schemas.openxmlformats.org/officeDocument/2006/docPropsVTypes"/>
</file>