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Specific Aims</w:t>
      </w:r>
    </w:p>
    <w:p>
      <w:pPr>
        <w:pBdr>
          <w:bottom w:val="single" w:color="333333" w:sz="4" w:space="1"/>
        </w:pBdr>
        <w:spacing w:after="40"/>
      </w:pPr>
      <w:r>
        <w:rPr>
          <w:b/>
          <w:bCs/>
          <w:sz w:val="22"/>
          <w:szCs w:val="22"/>
        </w:rPr>
        <w:t xml:space="preserve">Background</w:t>
      </w:r>
    </w:p>
    <w:p>
      <w:pPr>
        <w:spacing w:after="60" w:line="252"/>
      </w:pPr>
      <w:r>
        <w:t xml:space="preserve">General anesthesia induces unconsciousness through molecular perturbations of synaptic transmission, yet recovery of consciousness remains poorly understood and clinically unpredictable. GABAergic agents (e.g., propofol) prolong inhibitory synaptic decay times (τ</w:t>
      </w:r>
      <w:r>
        <w:rPr>
          <w:vertAlign w:val="subscript"/>
        </w:rPr>
        <w:t xml:space="preserve">i</w:t>
      </w:r>
      <w:r>
        <w:t xml:space="preserve">), while NMDA antagonists (e.g., ketamine) reduce excitatory synaptic efficacy (τ</w:t>
      </w:r>
      <w:r>
        <w:rPr>
          <w:vertAlign w:val="subscript"/>
        </w:rPr>
        <w:t xml:space="preserve">e</w:t>
      </w:r>
      <w:r>
        <w:t xml:space="preserve">); both drive cortical networks into slow-wave UP/DOWN dynamics with reduced neural complexity. Recent work demonstrates that serotonergic psychedelics acting at 5-HT</w:t>
      </w:r>
      <w:r>
        <w:rPr>
          <w:vertAlign w:val="subscript"/>
        </w:rPr>
        <w:t xml:space="preserve">2A</w:t>
      </w:r>
      <w:r>
        <w:t xml:space="preserve"> receptors rapidly reverse general anesthesia in rats—DOI restores behavioral arousal within one minute during propofol or isoflurane anesthesia, an effect blocked by the 5-HT</w:t>
      </w:r>
      <w:r>
        <w:rPr>
          <w:vertAlign w:val="subscript"/>
        </w:rPr>
        <w:t xml:space="preserve">2A</w:t>
      </w:r>
      <w:r>
        <w:t xml:space="preserve"> antagonist volinanserin and not replicated by non-hallucinogenic agonists (Huels et al., 2025). Multiscale computational frameworks now link molecular-level synaptic parameters to whole-brain dynamics via The Virtual Brain (TVB) platform across scales from single AdEx neurons through mean-field populations to 68-region connectome models (Sacha et al., 2025). Simulated 5-HT</w:t>
      </w:r>
      <w:r>
        <w:rPr>
          <w:vertAlign w:val="subscript"/>
        </w:rPr>
        <w:t xml:space="preserve">2A</w:t>
      </w:r>
      <w:r>
        <w:t xml:space="preserve"> activation—modeled as reduced K</w:t>
      </w:r>
      <w:r>
        <w:rPr>
          <w:vertAlign w:val="superscript"/>
        </w:rPr>
        <w:t xml:space="preserve">+</w:t>
      </w:r>
      <w:r>
        <w:t xml:space="preserve"> leak conductance (g</w:t>
      </w:r>
      <w:r>
        <w:rPr>
          <w:vertAlign w:val="subscript"/>
        </w:rPr>
        <w:t xml:space="preserve">L</w:t>
      </w:r>
      <w:r>
        <w:t xml:space="preserve">: 10 → 7.16 nS)—significantly increases spontaneous Lempel-Ziv complexity (LZc, p&lt;0.001) while PCI remains unchanged, revealing a key dissociation between spontaneous and evoked complexity (Martin et al., 2025).</w:t>
      </w:r>
    </w:p>
    <w:p>
      <w:pPr>
        <w:pBdr>
          <w:bottom w:val="single" w:color="333333" w:sz="4" w:space="1"/>
        </w:pBdr>
        <w:spacing w:after="40"/>
      </w:pPr>
      <w:r>
        <w:rPr>
          <w:b/>
          <w:bCs/>
          <w:sz w:val="22"/>
          <w:szCs w:val="22"/>
        </w:rPr>
        <w:t xml:space="preserve">Significance</w:t>
      </w:r>
    </w:p>
    <w:p>
      <w:pPr>
        <w:spacing w:after="60" w:line="252"/>
      </w:pPr>
      <w:r>
        <w:t xml:space="preserve">Delayed emergence is a significant clinical challenge, particularly in critically ill and elderly patients, yet no validated framework exists to predict recovery trajectories. </w:t>
      </w:r>
      <w:r>
        <w:rPr>
          <w:b/>
          <w:bCs/>
        </w:rPr>
        <w:t xml:space="preserve">Key question: </w:t>
      </w:r>
      <w:r>
        <w:t xml:space="preserve">Which spatial and temporal scales of brain activity most strongly shape the brain’s criticality landscape, thereby determining the trajectory (rapid vs. delayed) of recovery of consciousness from anesthesia-induced unconsciousness?</w:t>
      </w:r>
    </w:p>
    <w:p>
      <w:pPr>
        <w:pBdr>
          <w:bottom w:val="single" w:color="333333" w:sz="4" w:space="1"/>
        </w:pBdr>
        <w:spacing w:after="40"/>
      </w:pPr>
      <w:r>
        <w:rPr>
          <w:b/>
          <w:bCs/>
          <w:sz w:val="22"/>
          <w:szCs w:val="22"/>
        </w:rPr>
        <w:t xml:space="preserve">Innovation</w:t>
      </w:r>
    </w:p>
    <w:p>
      <w:pPr>
        <w:spacing w:after="60" w:line="252"/>
      </w:pPr>
      <w:r>
        <w:t xml:space="preserve">This project integrates </w:t>
      </w:r>
      <w:r>
        <w:rPr>
          <w:b/>
          <w:bCs/>
        </w:rPr>
        <w:t xml:space="preserve">multiscale computational modeling</w:t>
      </w:r>
      <w:r>
        <w:t xml:space="preserve"> (single-cell AdEx → spiking network → mean-field → TVB whole-brain) with a </w:t>
      </w:r>
      <w:r>
        <w:rPr>
          <w:b/>
          <w:bCs/>
        </w:rPr>
        <w:t xml:space="preserve">criticality landscape framework</w:t>
      </w:r>
      <w:r>
        <w:t xml:space="preserve"> to bridge receptor pharmacology and global brain state transitions. Unlike prior work examining anesthesia or psychedelics in isolation at a single scale, we model their concurrent interaction across all scales using empirically validated parameters. We further develop methods to predict emergence trajectories using criticality metrics: direction and distance from criticality, and transition type (e.g., proximity to explosive synchronization).</w:t>
      </w:r>
    </w:p>
    <w:p>
      <w:pPr>
        <w:pBdr>
          <w:bottom w:val="single" w:color="333333" w:sz="4" w:space="1"/>
        </w:pBdr>
        <w:spacing w:after="40"/>
      </w:pPr>
      <w:r>
        <w:rPr>
          <w:b/>
          <w:bCs/>
          <w:sz w:val="22"/>
          <w:szCs w:val="22"/>
        </w:rPr>
        <w:t xml:space="preserve">Central Hypothesis</w:t>
      </w:r>
    </w:p>
    <w:p>
      <w:pPr>
        <w:spacing w:after="60" w:line="252"/>
      </w:pPr>
      <w:r>
        <w:t xml:space="preserve">Serotonergic psychedelic modulation shifts anesthesia-induced unconscious brain states toward criticality by counteracting GABAergic hyperpolarization through 5-HT</w:t>
      </w:r>
      <w:r>
        <w:rPr>
          <w:vertAlign w:val="subscript"/>
        </w:rPr>
        <w:t xml:space="preserve">2A</w:t>
      </w:r>
      <w:r>
        <w:t xml:space="preserve">-mediated reduction of K</w:t>
      </w:r>
      <w:r>
        <w:rPr>
          <w:vertAlign w:val="superscript"/>
        </w:rPr>
        <w:t xml:space="preserve">+</w:t>
      </w:r>
      <w:r>
        <w:t xml:space="preserve"> leak conductance, restoring tonic firing and increasing spontaneous neural complexity (LZc), thereby facilitating consciousness recovery. This shift is scale-dependent: molecular perturbations reshape single-neuron excitability, propagating through network-level transfer functions to alter whole-brain criticality and functional connectivity.</w:t>
      </w:r>
    </w:p>
    <w:p>
      <w:pPr>
        <w:pBdr>
          <w:bottom w:val="single" w:color="333333" w:sz="4" w:space="1"/>
        </w:pBdr>
        <w:spacing w:after="40"/>
      </w:pPr>
      <w:r>
        <w:rPr>
          <w:b/>
          <w:bCs/>
          <w:sz w:val="22"/>
          <w:szCs w:val="22"/>
        </w:rPr>
        <w:t xml:space="preserve">Research Approach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 Characterize the criticality landscape of anesthesia-induced unconsciousness across spatial scales. </w:t>
      </w:r>
      <w:r>
        <w:t xml:space="preserve">Using the multiscale TVB framework with a 68-region Desikan-Killiany connectome, simulate GABAergic (propofol: τ</w:t>
      </w:r>
      <w:r>
        <w:rPr>
          <w:vertAlign w:val="subscript"/>
        </w:rPr>
        <w:t xml:space="preserve">i</w:t>
      </w:r>
      <w:r>
        <w:t xml:space="preserve"> increased) and NMDA (ketamine: τ</w:t>
      </w:r>
      <w:r>
        <w:rPr>
          <w:vertAlign w:val="subscript"/>
        </w:rPr>
        <w:t xml:space="preserve">e</w:t>
      </w:r>
      <w:r>
        <w:t xml:space="preserve"> decreased) anesthesia. Compute LZc, PCI, and criticality-landscape measures at each scale. Validate against rat EEG datasets (Pal lab) and human TMS-EEG data.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 Simulate and characterize serotonergic psychedelic-mediated reversal of anesthesia. </w:t>
      </w:r>
      <w:r>
        <w:t xml:space="preserve">Model 5-HT</w:t>
      </w:r>
      <w:r>
        <w:rPr>
          <w:vertAlign w:val="subscript"/>
        </w:rPr>
        <w:t xml:space="preserve">2A</w:t>
      </w:r>
      <w:r>
        <w:t xml:space="preserve"> activation (g</w:t>
      </w:r>
      <w:r>
        <w:rPr>
          <w:vertAlign w:val="subscript"/>
        </w:rPr>
        <w:t xml:space="preserve">L</w:t>
      </w:r>
      <w:r>
        <w:t xml:space="preserve">: 10 → 7.16 nS; E</w:t>
      </w:r>
      <w:r>
        <w:rPr>
          <w:vertAlign w:val="subscript"/>
        </w:rPr>
        <w:t xml:space="preserve">L</w:t>
      </w:r>
      <w:r>
        <w:t xml:space="preserve">: −65 → −55 mV) during concurrent propofol anesthesia (τ</w:t>
      </w:r>
      <w:r>
        <w:rPr>
          <w:vertAlign w:val="subscript"/>
        </w:rPr>
        <w:t xml:space="preserve">i</w:t>
      </w:r>
      <w:r>
        <w:t xml:space="preserve"> = 7 ms) across all model scales. Quantify trajectories through criticality space and compare simulated LZc and spectral signatures against Huels et al. experimental data (restored high-gamma 125–165 Hz connectivity, absent theta restoration).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 Develop predictive models of emergence trajectories using the criticality-landscape framework. </w:t>
      </w:r>
      <w:r>
        <w:t xml:space="preserve">Map the parameter space (τ</w:t>
      </w:r>
      <w:r>
        <w:rPr>
          <w:vertAlign w:val="subscript"/>
        </w:rPr>
        <w:t xml:space="preserve">i</w:t>
      </w:r>
      <w:r>
        <w:t xml:space="preserve">, τ</w:t>
      </w:r>
      <w:r>
        <w:rPr>
          <w:vertAlign w:val="subscript"/>
        </w:rPr>
        <w:t xml:space="preserve">e</w:t>
      </w:r>
      <w:r>
        <w:t xml:space="preserve">, g</w:t>
      </w:r>
      <w:r>
        <w:rPr>
          <w:vertAlign w:val="subscript"/>
        </w:rPr>
        <w:t xml:space="preserve">L</w:t>
      </w:r>
      <w:r>
        <w:t xml:space="preserve">, b</w:t>
      </w:r>
      <w:r>
        <w:rPr>
          <w:vertAlign w:val="subscript"/>
        </w:rPr>
        <w:t xml:space="preserve">e</w:t>
      </w:r>
      <w:r>
        <w:t xml:space="preserve">) to classify fast vs. slow emergence trajectories based on criticality-landscape topology. Develop EEG-derivable biomarkers (LZc, PCI, spectral entropy) that index proximity to consciousness recovery. Validate against human emergence datasets; extend to chronic pain.</w:t>
      </w:r>
    </w:p>
    <w:p>
      <w:pPr>
        <w:pBdr>
          <w:bottom w:val="single" w:color="333333" w:sz="4" w:space="1"/>
        </w:pBdr>
        <w:spacing w:before="40" w:after="30"/>
      </w:pPr>
      <w:r>
        <w:rPr>
          <w:b/>
          <w:bCs/>
          <w:sz w:val="22"/>
          <w:szCs w:val="22"/>
        </w:rPr>
        <w:t xml:space="preserve">Timeline</w:t>
      </w:r>
    </w:p>
    <w:p>
      <w:pPr>
        <w:spacing w:after="0" w:line="252"/>
      </w:pPr>
      <w:r>
        <w:rPr>
          <w:b/>
          <w:bCs/>
        </w:rPr>
        <w:t xml:space="preserve">Year 1: </w:t>
      </w:r>
      <w:r>
        <w:t xml:space="preserve">Aim 1—Reproduce LZc/PCI for anesthesia; validate against rat EEG. Begin Aim 2. </w:t>
      </w:r>
      <w:r>
        <w:rPr>
          <w:b/>
          <w:bCs/>
        </w:rPr>
        <w:t xml:space="preserve">Year 2: </w:t>
      </w:r>
      <w:r>
        <w:t xml:space="preserve">Complete Aim 2—Serotonergic reversal simulations and validation. Publish. Begin Aim 3. </w:t>
      </w:r>
      <w:r>
        <w:rPr>
          <w:b/>
          <w:bCs/>
        </w:rPr>
        <w:t xml:space="preserve">Year 3: </w:t>
      </w:r>
      <w:r>
        <w:t xml:space="preserve">Complete Aim 3—Predictive models, EEG biomarkers, human validation, chronic pain extension. Publish.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im 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4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2026-02-21T21:27:49.911Z</dcterms:created>
  <dcterms:modified xsi:type="dcterms:W3CDTF">2026-02-21T21:27:49.911Z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