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E6BEC" w14:textId="77777777" w:rsidR="00302316" w:rsidRPr="00302316" w:rsidRDefault="00302316" w:rsidP="00302316">
      <w:pPr>
        <w:spacing w:before="100" w:beforeAutospacing="1" w:after="100" w:afterAutospacing="1" w:line="240" w:lineRule="auto"/>
        <w:outlineLvl w:val="0"/>
        <w:rPr>
          <w:rFonts w:asciiTheme="minorBidi" w:eastAsia="Times New Roman" w:hAnsiTheme="minorBidi"/>
          <w:b/>
          <w:bCs/>
          <w:kern w:val="36"/>
          <w:sz w:val="48"/>
          <w:szCs w:val="48"/>
          <w:lang w:eastAsia="en-GB"/>
          <w14:ligatures w14:val="none"/>
        </w:rPr>
      </w:pPr>
      <w:r w:rsidRPr="00302316">
        <w:rPr>
          <w:rFonts w:asciiTheme="minorBidi" w:eastAsia="Times New Roman" w:hAnsiTheme="minorBidi"/>
          <w:b/>
          <w:bCs/>
          <w:kern w:val="36"/>
          <w:sz w:val="48"/>
          <w:szCs w:val="48"/>
          <w:lang w:eastAsia="en-GB"/>
          <w14:ligatures w14:val="none"/>
        </w:rPr>
        <w:t>Prioritizing Prevention</w:t>
      </w:r>
    </w:p>
    <w:p w14:paraId="0F4AE284" w14:textId="77777777" w:rsidR="00302316" w:rsidRPr="00302316" w:rsidRDefault="00302316" w:rsidP="00302316">
      <w:pPr>
        <w:spacing w:before="100" w:beforeAutospacing="1" w:after="100" w:afterAutospacing="1" w:line="240" w:lineRule="auto"/>
        <w:rPr>
          <w:rFonts w:asciiTheme="minorBidi" w:eastAsia="Times New Roman" w:hAnsiTheme="minorBidi"/>
          <w:kern w:val="0"/>
          <w:lang w:eastAsia="en-GB"/>
          <w14:ligatures w14:val="none"/>
        </w:rPr>
      </w:pPr>
      <w:r w:rsidRPr="00302316">
        <w:rPr>
          <w:rFonts w:asciiTheme="minorBidi" w:eastAsia="Times New Roman" w:hAnsiTheme="minorBidi"/>
          <w:kern w:val="0"/>
          <w:lang w:eastAsia="en-GB"/>
          <w14:ligatures w14:val="none"/>
        </w:rPr>
        <w:t xml:space="preserve">Efforts to reduce suicide and improve community mental health have historically concentrated on identifying and treating individuals already judged to be at high risk, an approach centred on individual psychiatric risk factors and on referral and treatment of high-risk youth (Wyman et al., 2019). Researchers and policymakers increasingly argue for a different starting point, recommending that prevention strengthen positive social bonds, because social integration reduces suicidal behaviour at the population level (Wyman et al., 2019). Social Network Health approaches are suited to this task by design. Networks are the mechanisms through which norms and practices spread and the context in which peer groups monitor and support one another, which means that acting on relationships reaches people before difficulty becomes crisis (Wyman et al., 2019). The contrast with reactive, risk-detection-only models is instructive: screening approaches reach only those who are flagged, and a randomised evaluation of youth suicide screening raised concerns about iatrogenic risk, that is, the possibility of unintended harm from the screening process itself (Gould et al., 2005, as cited in Wyman et al., 2019). Evidence from organisational settings reinforces the preventive logic, with the development and implementation of support described as crucial to preventing poor mental health outcomes and inadequate support functioning as a risk </w:t>
      </w:r>
      <w:proofErr w:type="gramStart"/>
      <w:r w:rsidRPr="00302316">
        <w:rPr>
          <w:rFonts w:asciiTheme="minorBidi" w:eastAsia="Times New Roman" w:hAnsiTheme="minorBidi"/>
          <w:kern w:val="0"/>
          <w:lang w:eastAsia="en-GB"/>
          <w14:ligatures w14:val="none"/>
        </w:rPr>
        <w:t>factor in its own right</w:t>
      </w:r>
      <w:proofErr w:type="gramEnd"/>
      <w:r w:rsidRPr="00302316">
        <w:rPr>
          <w:rFonts w:asciiTheme="minorBidi" w:eastAsia="Times New Roman" w:hAnsiTheme="minorBidi"/>
          <w:kern w:val="0"/>
          <w:lang w:eastAsia="en-GB"/>
          <w14:ligatures w14:val="none"/>
        </w:rPr>
        <w:t xml:space="preserve"> (Hamouche, 2020). Taken together, this evidence supports prevention as a highly effective and cost-efficient approach in many contexts.</w:t>
      </w:r>
    </w:p>
    <w:p w14:paraId="46E091E8" w14:textId="77777777" w:rsidR="00302316" w:rsidRPr="00302316" w:rsidRDefault="00302316" w:rsidP="00302316">
      <w:pPr>
        <w:spacing w:before="100" w:beforeAutospacing="1" w:after="100" w:afterAutospacing="1" w:line="240" w:lineRule="auto"/>
        <w:outlineLvl w:val="1"/>
        <w:rPr>
          <w:rFonts w:asciiTheme="minorBidi" w:eastAsia="Times New Roman" w:hAnsiTheme="minorBidi"/>
          <w:b/>
          <w:bCs/>
          <w:kern w:val="0"/>
          <w:sz w:val="36"/>
          <w:szCs w:val="36"/>
          <w:lang w:eastAsia="en-GB"/>
          <w14:ligatures w14:val="none"/>
        </w:rPr>
      </w:pPr>
      <w:r w:rsidRPr="00302316">
        <w:rPr>
          <w:rFonts w:asciiTheme="minorBidi" w:eastAsia="Times New Roman" w:hAnsiTheme="minorBidi"/>
          <w:b/>
          <w:bCs/>
          <w:kern w:val="0"/>
          <w:sz w:val="36"/>
          <w:szCs w:val="36"/>
          <w:lang w:eastAsia="en-GB"/>
          <w14:ligatures w14:val="none"/>
        </w:rPr>
        <w:t>Upstream Versus Downstream Intervention</w:t>
      </w:r>
    </w:p>
    <w:p w14:paraId="304A54B6" w14:textId="77777777" w:rsidR="00302316" w:rsidRPr="00302316" w:rsidRDefault="00302316" w:rsidP="00302316">
      <w:pPr>
        <w:spacing w:before="100" w:beforeAutospacing="1" w:after="100" w:afterAutospacing="1" w:line="240" w:lineRule="auto"/>
        <w:rPr>
          <w:rFonts w:asciiTheme="minorBidi" w:eastAsia="Times New Roman" w:hAnsiTheme="minorBidi"/>
          <w:kern w:val="0"/>
          <w:lang w:eastAsia="en-GB"/>
          <w14:ligatures w14:val="none"/>
        </w:rPr>
      </w:pPr>
      <w:r w:rsidRPr="00302316">
        <w:rPr>
          <w:rFonts w:asciiTheme="minorBidi" w:eastAsia="Times New Roman" w:hAnsiTheme="minorBidi"/>
          <w:kern w:val="0"/>
          <w:lang w:eastAsia="en-GB"/>
          <w14:ligatures w14:val="none"/>
        </w:rPr>
        <w:t>Prevention can be located along a continuum. Upstream intervention modifies the risk and protective processes that shape mental health before suicidal behaviour emerges, whereas downstream intervention responds after an individual has already been identified as at risk. Reducing suicide rates will require a broader range of interventions across this public health continuum, including upstream preventive interventions that act on social conditions rather than only on identified individuals (Wyman, 2014, as cited in Wyman et al., 2019). The case for population-level impact rests on a central finding: schoolwide patterns of peer and youth-adult relationships influenced suicide attempt rates beyond individual students' own connections (Wyman et al., 2019). Because the structure of the whole network shapes outcomes, intervening at that level can shift rates across an entire population rather than one person at a time. Upstream approaches also carry dual benefits for mental health and for broader functioning. In organisational contexts, proactive support and the deliberate prevention of isolation reduced stress and sustained engagement and functioning (Hamouche, 2020), and greater social connectedness was associated with lower distress and with resilience during a period of acute adversity (Nitschke et al., 2021).</w:t>
      </w:r>
    </w:p>
    <w:p w14:paraId="2EA0A562" w14:textId="77777777" w:rsidR="00302316" w:rsidRPr="00302316" w:rsidRDefault="00302316" w:rsidP="00302316">
      <w:pPr>
        <w:spacing w:before="100" w:beforeAutospacing="1" w:after="100" w:afterAutospacing="1" w:line="240" w:lineRule="auto"/>
        <w:outlineLvl w:val="1"/>
        <w:rPr>
          <w:rFonts w:asciiTheme="minorBidi" w:eastAsia="Times New Roman" w:hAnsiTheme="minorBidi"/>
          <w:b/>
          <w:bCs/>
          <w:kern w:val="0"/>
          <w:sz w:val="36"/>
          <w:szCs w:val="36"/>
          <w:lang w:eastAsia="en-GB"/>
          <w14:ligatures w14:val="none"/>
        </w:rPr>
      </w:pPr>
      <w:r w:rsidRPr="00302316">
        <w:rPr>
          <w:rFonts w:asciiTheme="minorBidi" w:eastAsia="Times New Roman" w:hAnsiTheme="minorBidi"/>
          <w:b/>
          <w:bCs/>
          <w:kern w:val="0"/>
          <w:sz w:val="36"/>
          <w:szCs w:val="36"/>
          <w:lang w:eastAsia="en-GB"/>
          <w14:ligatures w14:val="none"/>
        </w:rPr>
        <w:t>Network-Based Prevention: Social Bonds, Norms, and Cohesion</w:t>
      </w:r>
    </w:p>
    <w:p w14:paraId="63F55D37" w14:textId="77777777" w:rsidR="00302316" w:rsidRPr="00302316" w:rsidRDefault="00302316" w:rsidP="00302316">
      <w:pPr>
        <w:spacing w:before="100" w:beforeAutospacing="1" w:after="100" w:afterAutospacing="1" w:line="240" w:lineRule="auto"/>
        <w:rPr>
          <w:rFonts w:asciiTheme="minorBidi" w:eastAsia="Times New Roman" w:hAnsiTheme="minorBidi"/>
          <w:kern w:val="0"/>
          <w:lang w:eastAsia="en-GB"/>
          <w14:ligatures w14:val="none"/>
        </w:rPr>
      </w:pPr>
      <w:r w:rsidRPr="00302316">
        <w:rPr>
          <w:rFonts w:asciiTheme="minorBidi" w:eastAsia="Times New Roman" w:hAnsiTheme="minorBidi"/>
          <w:kern w:val="0"/>
          <w:lang w:eastAsia="en-GB"/>
          <w14:ligatures w14:val="none"/>
        </w:rPr>
        <w:t xml:space="preserve">Network health interventions target the natural groups in which people are already organised, such as schools, </w:t>
      </w:r>
      <w:proofErr w:type="gramStart"/>
      <w:r w:rsidRPr="00302316">
        <w:rPr>
          <w:rFonts w:asciiTheme="minorBidi" w:eastAsia="Times New Roman" w:hAnsiTheme="minorBidi"/>
          <w:kern w:val="0"/>
          <w:lang w:eastAsia="en-GB"/>
          <w14:ligatures w14:val="none"/>
        </w:rPr>
        <w:t>in order to</w:t>
      </w:r>
      <w:proofErr w:type="gramEnd"/>
      <w:r w:rsidRPr="00302316">
        <w:rPr>
          <w:rFonts w:asciiTheme="minorBidi" w:eastAsia="Times New Roman" w:hAnsiTheme="minorBidi"/>
          <w:kern w:val="0"/>
          <w:lang w:eastAsia="en-GB"/>
          <w14:ligatures w14:val="none"/>
        </w:rPr>
        <w:t xml:space="preserve"> strengthen bonds, cohesion, and adaptive </w:t>
      </w:r>
      <w:r w:rsidRPr="00302316">
        <w:rPr>
          <w:rFonts w:asciiTheme="minorBidi" w:eastAsia="Times New Roman" w:hAnsiTheme="minorBidi"/>
          <w:kern w:val="0"/>
          <w:lang w:eastAsia="en-GB"/>
          <w14:ligatures w14:val="none"/>
        </w:rPr>
        <w:lastRenderedPageBreak/>
        <w:t>coping norms. The strongest direct evidence in the project comes from a study of 38 United States high schools, in which 10,291 students named their close friends and the adults they trusted, allowing whole-school networks to be mapped (Wyman et al., 2019). Schools whose networks showed greater peer integration and cohesion had lower rates of suicidal ideation and suicide attempts. Two structural features raised attempt rates: students being isolated from trusted adults, and suicidal students occupying popular, clustered positions through which their behaviour could be modelled and effectively normalised. The protective value of adult connection was substantial, in that a reduction of roughly ten percent in the share of students isolated from adults, equivalent to one standard deviation, was associated with approximately twenty percent fewer attempts. Schools fared better when many students named the same trusted adults that their friends also named, indicating that shared, accessible adults strengthen the whole network. These adult network effects persisted after adjustment for depression, bullying, and violence victimisation, and the findings mapped onto three domains: social integration versus thwarted relational needs, group cohesion, and the social influence of suicidal students (Wyman et al., 2019). Such effects are intelligible because belonging and supportive ties are themselves protective resources, with both close bonds and looser network connections linked to indicators of well-being (</w:t>
      </w:r>
      <w:proofErr w:type="spellStart"/>
      <w:r w:rsidRPr="00302316">
        <w:rPr>
          <w:rFonts w:asciiTheme="minorBidi" w:eastAsia="Times New Roman" w:hAnsiTheme="minorBidi"/>
          <w:kern w:val="0"/>
          <w:lang w:eastAsia="en-GB"/>
          <w14:ligatures w14:val="none"/>
        </w:rPr>
        <w:t>Steinfield</w:t>
      </w:r>
      <w:proofErr w:type="spellEnd"/>
      <w:r w:rsidRPr="00302316">
        <w:rPr>
          <w:rFonts w:asciiTheme="minorBidi" w:eastAsia="Times New Roman" w:hAnsiTheme="minorBidi"/>
          <w:kern w:val="0"/>
          <w:lang w:eastAsia="en-GB"/>
          <w14:ligatures w14:val="none"/>
        </w:rPr>
        <w:t xml:space="preserve"> et al., 2008).</w:t>
      </w:r>
    </w:p>
    <w:p w14:paraId="57060529" w14:textId="77777777" w:rsidR="00302316" w:rsidRPr="00302316" w:rsidRDefault="00302316" w:rsidP="00302316">
      <w:pPr>
        <w:spacing w:before="100" w:beforeAutospacing="1" w:after="100" w:afterAutospacing="1" w:line="240" w:lineRule="auto"/>
        <w:outlineLvl w:val="1"/>
        <w:rPr>
          <w:rFonts w:asciiTheme="minorBidi" w:eastAsia="Times New Roman" w:hAnsiTheme="minorBidi"/>
          <w:b/>
          <w:bCs/>
          <w:kern w:val="0"/>
          <w:sz w:val="36"/>
          <w:szCs w:val="36"/>
          <w:lang w:eastAsia="en-GB"/>
          <w14:ligatures w14:val="none"/>
        </w:rPr>
      </w:pPr>
      <w:r w:rsidRPr="00302316">
        <w:rPr>
          <w:rFonts w:asciiTheme="minorBidi" w:eastAsia="Times New Roman" w:hAnsiTheme="minorBidi"/>
          <w:b/>
          <w:bCs/>
          <w:kern w:val="0"/>
          <w:sz w:val="36"/>
          <w:szCs w:val="36"/>
          <w:lang w:eastAsia="en-GB"/>
          <w14:ligatures w14:val="none"/>
        </w:rPr>
        <w:t>Prevention Windows: Childhood and Adolescence</w:t>
      </w:r>
    </w:p>
    <w:p w14:paraId="1D00CB3E" w14:textId="77777777" w:rsidR="00302316" w:rsidRPr="00302316" w:rsidRDefault="00302316" w:rsidP="00302316">
      <w:pPr>
        <w:spacing w:before="100" w:beforeAutospacing="1" w:after="100" w:afterAutospacing="1" w:line="240" w:lineRule="auto"/>
        <w:rPr>
          <w:rFonts w:asciiTheme="minorBidi" w:eastAsia="Times New Roman" w:hAnsiTheme="minorBidi"/>
          <w:kern w:val="0"/>
          <w:lang w:eastAsia="en-GB"/>
          <w14:ligatures w14:val="none"/>
        </w:rPr>
      </w:pPr>
      <w:r w:rsidRPr="00302316">
        <w:rPr>
          <w:rFonts w:asciiTheme="minorBidi" w:eastAsia="Times New Roman" w:hAnsiTheme="minorBidi"/>
          <w:kern w:val="0"/>
          <w:lang w:eastAsia="en-GB"/>
          <w14:ligatures w14:val="none"/>
        </w:rPr>
        <w:t xml:space="preserve">Adolescence is a developmental period during which </w:t>
      </w:r>
      <w:proofErr w:type="gramStart"/>
      <w:r w:rsidRPr="00302316">
        <w:rPr>
          <w:rFonts w:asciiTheme="minorBidi" w:eastAsia="Times New Roman" w:hAnsiTheme="minorBidi"/>
          <w:kern w:val="0"/>
          <w:lang w:eastAsia="en-GB"/>
          <w14:ligatures w14:val="none"/>
        </w:rPr>
        <w:t>network based</w:t>
      </w:r>
      <w:proofErr w:type="gramEnd"/>
      <w:r w:rsidRPr="00302316">
        <w:rPr>
          <w:rFonts w:asciiTheme="minorBidi" w:eastAsia="Times New Roman" w:hAnsiTheme="minorBidi"/>
          <w:kern w:val="0"/>
          <w:lang w:eastAsia="en-GB"/>
          <w14:ligatures w14:val="none"/>
        </w:rPr>
        <w:t xml:space="preserve"> prevention has </w:t>
      </w:r>
      <w:proofErr w:type="gramStart"/>
      <w:r w:rsidRPr="00302316">
        <w:rPr>
          <w:rFonts w:asciiTheme="minorBidi" w:eastAsia="Times New Roman" w:hAnsiTheme="minorBidi"/>
          <w:kern w:val="0"/>
          <w:lang w:eastAsia="en-GB"/>
          <w14:ligatures w14:val="none"/>
        </w:rPr>
        <w:t>particular leverage</w:t>
      </w:r>
      <w:proofErr w:type="gramEnd"/>
      <w:r w:rsidRPr="00302316">
        <w:rPr>
          <w:rFonts w:asciiTheme="minorBidi" w:eastAsia="Times New Roman" w:hAnsiTheme="minorBidi"/>
          <w:kern w:val="0"/>
          <w:lang w:eastAsia="en-GB"/>
          <w14:ligatures w14:val="none"/>
        </w:rPr>
        <w:t>, because schools offer access to an entire youth population during years when social influence is powerful. The schools studied were drawn from primarily rural and micropolitan communities, which have higher youth suicide rates than urban areas, underscoring the stakes of intervening well during this stage (Wyman et al., 2019). Adolescents appear susceptible to the modelling of suicidal behaviour, so that when suicidal students are popular their behaviour can be normalised across the peer group, which means the adolescent social environment itself is a modifiable determinant of risk (Wyman et al., 2019). Interventions delivered through the social systems that already structure young people's lives, principally schools and peer groups, can therefore reshape these influence processes during the window when networks are forming and norms are being set.</w:t>
      </w:r>
    </w:p>
    <w:p w14:paraId="4281B8BA" w14:textId="77777777" w:rsidR="00302316" w:rsidRPr="00302316" w:rsidRDefault="00302316" w:rsidP="00302316">
      <w:pPr>
        <w:spacing w:before="100" w:beforeAutospacing="1" w:after="100" w:afterAutospacing="1" w:line="240" w:lineRule="auto"/>
        <w:outlineLvl w:val="1"/>
        <w:rPr>
          <w:rFonts w:asciiTheme="minorBidi" w:eastAsia="Times New Roman" w:hAnsiTheme="minorBidi"/>
          <w:b/>
          <w:bCs/>
          <w:kern w:val="0"/>
          <w:sz w:val="36"/>
          <w:szCs w:val="36"/>
          <w:lang w:eastAsia="en-GB"/>
          <w14:ligatures w14:val="none"/>
        </w:rPr>
      </w:pPr>
      <w:r w:rsidRPr="00302316">
        <w:rPr>
          <w:rFonts w:asciiTheme="minorBidi" w:eastAsia="Times New Roman" w:hAnsiTheme="minorBidi"/>
          <w:b/>
          <w:bCs/>
          <w:kern w:val="0"/>
          <w:sz w:val="36"/>
          <w:szCs w:val="36"/>
          <w:lang w:eastAsia="en-GB"/>
          <w14:ligatures w14:val="none"/>
        </w:rPr>
        <w:t>Universal Prevention: Reaching Entire Communities</w:t>
      </w:r>
    </w:p>
    <w:p w14:paraId="0598A20C" w14:textId="77777777" w:rsidR="00302316" w:rsidRPr="00302316" w:rsidRDefault="00302316" w:rsidP="00302316">
      <w:pPr>
        <w:spacing w:before="100" w:beforeAutospacing="1" w:after="100" w:afterAutospacing="1" w:line="240" w:lineRule="auto"/>
        <w:rPr>
          <w:rFonts w:asciiTheme="minorBidi" w:eastAsia="Times New Roman" w:hAnsiTheme="minorBidi"/>
          <w:kern w:val="0"/>
          <w:lang w:eastAsia="en-GB"/>
          <w14:ligatures w14:val="none"/>
        </w:rPr>
      </w:pPr>
      <w:r w:rsidRPr="00302316">
        <w:rPr>
          <w:rFonts w:asciiTheme="minorBidi" w:eastAsia="Times New Roman" w:hAnsiTheme="minorBidi"/>
          <w:kern w:val="0"/>
          <w:lang w:eastAsia="en-GB"/>
          <w14:ligatures w14:val="none"/>
        </w:rPr>
        <w:t xml:space="preserve">Universal prevention reaches an entire population regardless of individual risk, and its value is clearest where reliable, </w:t>
      </w:r>
      <w:proofErr w:type="gramStart"/>
      <w:r w:rsidRPr="00302316">
        <w:rPr>
          <w:rFonts w:asciiTheme="minorBidi" w:eastAsia="Times New Roman" w:hAnsiTheme="minorBidi"/>
          <w:kern w:val="0"/>
          <w:lang w:eastAsia="en-GB"/>
          <w14:ligatures w14:val="none"/>
        </w:rPr>
        <w:t>diagnosis based</w:t>
      </w:r>
      <w:proofErr w:type="gramEnd"/>
      <w:r w:rsidRPr="00302316">
        <w:rPr>
          <w:rFonts w:asciiTheme="minorBidi" w:eastAsia="Times New Roman" w:hAnsiTheme="minorBidi"/>
          <w:kern w:val="0"/>
          <w:lang w:eastAsia="en-GB"/>
          <w14:ligatures w14:val="none"/>
        </w:rPr>
        <w:t xml:space="preserve"> risk indicators are lacking. Because screening can be both imperfect and capable of unintended harm (Gould et al., 2005, as cited in Wyman et al., 2019), an approach that does not depend on first identifying who is at risk has a distinct advantage. Network based prevention works across the whole school population and therefore reaches both lower-risk and higher-risk students, including those who would not otherwise come to attention or seek services (Wyman et al., 2019). Universal programmes are also more likely to be sustained when they are embedded in the everyday operation of an organisation rather than bolted on, as organisational evidence shows that support integrated into ongoing communication and management practice protects mental health over time (Hamouche, 2020). On this basis, universal network approaches are one of the most </w:t>
      </w:r>
      <w:r w:rsidRPr="00302316">
        <w:rPr>
          <w:rFonts w:asciiTheme="minorBidi" w:eastAsia="Times New Roman" w:hAnsiTheme="minorBidi"/>
          <w:kern w:val="0"/>
          <w:lang w:eastAsia="en-GB"/>
          <w14:ligatures w14:val="none"/>
        </w:rPr>
        <w:lastRenderedPageBreak/>
        <w:t>promising mechanisms for reaching community members who would not otherwise access formal services.</w:t>
      </w:r>
    </w:p>
    <w:p w14:paraId="4B8D5E1B" w14:textId="77777777" w:rsidR="00302316" w:rsidRPr="00302316" w:rsidRDefault="00302316" w:rsidP="00302316">
      <w:pPr>
        <w:spacing w:before="100" w:beforeAutospacing="1" w:after="100" w:afterAutospacing="1" w:line="240" w:lineRule="auto"/>
        <w:outlineLvl w:val="1"/>
        <w:rPr>
          <w:rFonts w:asciiTheme="minorBidi" w:eastAsia="Times New Roman" w:hAnsiTheme="minorBidi"/>
          <w:b/>
          <w:bCs/>
          <w:kern w:val="0"/>
          <w:sz w:val="36"/>
          <w:szCs w:val="36"/>
          <w:lang w:eastAsia="en-GB"/>
          <w14:ligatures w14:val="none"/>
        </w:rPr>
      </w:pPr>
      <w:r w:rsidRPr="00302316">
        <w:rPr>
          <w:rFonts w:asciiTheme="minorBidi" w:eastAsia="Times New Roman" w:hAnsiTheme="minorBidi"/>
          <w:b/>
          <w:bCs/>
          <w:kern w:val="0"/>
          <w:sz w:val="36"/>
          <w:szCs w:val="36"/>
          <w:lang w:eastAsia="en-GB"/>
          <w14:ligatures w14:val="none"/>
        </w:rPr>
        <w:t>Prevention in Schools and Structured Social Systems</w:t>
      </w:r>
    </w:p>
    <w:p w14:paraId="0960110C" w14:textId="77777777" w:rsidR="00302316" w:rsidRPr="00302316" w:rsidRDefault="00302316" w:rsidP="00302316">
      <w:pPr>
        <w:spacing w:before="100" w:beforeAutospacing="1" w:after="100" w:afterAutospacing="1" w:line="240" w:lineRule="auto"/>
        <w:rPr>
          <w:rFonts w:asciiTheme="minorBidi" w:eastAsia="Times New Roman" w:hAnsiTheme="minorBidi"/>
          <w:kern w:val="0"/>
          <w:lang w:eastAsia="en-GB"/>
          <w14:ligatures w14:val="none"/>
        </w:rPr>
      </w:pPr>
      <w:r w:rsidRPr="00302316">
        <w:rPr>
          <w:rFonts w:asciiTheme="minorBidi" w:eastAsia="Times New Roman" w:hAnsiTheme="minorBidi"/>
          <w:kern w:val="0"/>
          <w:lang w:eastAsia="en-GB"/>
          <w14:ligatures w14:val="none"/>
        </w:rPr>
        <w:t>Network-informed prevention can be embedded directly within the structures of schools and other organisations to deliver proactive support across whole populations. In schools, this means schoolwide network interventions that strengthen protective bonds rather than focusing only on identified individuals (Wyman et al., 2019). A concrete example is the training of influential young people to spread healthy coping and help-seeking: student peer leaders trained in the Sources of Strength programme increased schoolwide help-seeking for suicide concerns (Wyman et al., 2010, as cited in Wyman et al., 2019). The authors argue that such prevention is most effective and safest when it pursues several aims at once, maximising protective bonds across the population, building opportunities for group cohesion including integrated youth-adult networks, and promoting the influence of youth with healthy coping, and when it meaningfully involves both young people and adults (Wyman et al., 2019). The same principle of embedding support within existing structures is visible in workplaces, where managerial support, sustained communication, and the deliberate prevention of isolation function as preventive infrastructure (Hamouche, 2020).</w:t>
      </w:r>
    </w:p>
    <w:p w14:paraId="457AA7AA" w14:textId="77777777" w:rsidR="00302316" w:rsidRPr="00302316" w:rsidRDefault="00302316" w:rsidP="00302316">
      <w:pPr>
        <w:spacing w:before="100" w:beforeAutospacing="1" w:after="100" w:afterAutospacing="1" w:line="240" w:lineRule="auto"/>
        <w:outlineLvl w:val="1"/>
        <w:rPr>
          <w:rFonts w:asciiTheme="minorBidi" w:eastAsia="Times New Roman" w:hAnsiTheme="minorBidi"/>
          <w:b/>
          <w:bCs/>
          <w:kern w:val="0"/>
          <w:sz w:val="36"/>
          <w:szCs w:val="36"/>
          <w:lang w:eastAsia="en-GB"/>
          <w14:ligatures w14:val="none"/>
        </w:rPr>
      </w:pPr>
      <w:r w:rsidRPr="00302316">
        <w:rPr>
          <w:rFonts w:asciiTheme="minorBidi" w:eastAsia="Times New Roman" w:hAnsiTheme="minorBidi"/>
          <w:b/>
          <w:bCs/>
          <w:kern w:val="0"/>
          <w:sz w:val="36"/>
          <w:szCs w:val="36"/>
          <w:lang w:eastAsia="en-GB"/>
          <w14:ligatures w14:val="none"/>
        </w:rPr>
        <w:t>The Side Effects of Prevention: Community-Wide Benefits</w:t>
      </w:r>
    </w:p>
    <w:p w14:paraId="0D7F0857" w14:textId="77777777" w:rsidR="00302316" w:rsidRPr="00302316" w:rsidRDefault="00302316" w:rsidP="00302316">
      <w:pPr>
        <w:spacing w:before="100" w:beforeAutospacing="1" w:after="100" w:afterAutospacing="1" w:line="240" w:lineRule="auto"/>
        <w:rPr>
          <w:rFonts w:asciiTheme="minorBidi" w:eastAsia="Times New Roman" w:hAnsiTheme="minorBidi"/>
          <w:kern w:val="0"/>
          <w:lang w:eastAsia="en-GB"/>
          <w14:ligatures w14:val="none"/>
        </w:rPr>
      </w:pPr>
      <w:r w:rsidRPr="00302316">
        <w:rPr>
          <w:rFonts w:asciiTheme="minorBidi" w:eastAsia="Times New Roman" w:hAnsiTheme="minorBidi"/>
          <w:kern w:val="0"/>
          <w:lang w:eastAsia="en-GB"/>
          <w14:ligatures w14:val="none"/>
        </w:rPr>
        <w:t>Prevention focused approaches produce benefits that extend beyond the prevention of any single crisis. Strengthening protective networks creates more protective environments and increases help-seeking across a school community (Wyman et al., 2019), while greater social connectedness promotes resilience and buffers against distress more broadly (Nitschke et al., 2021), and supportive environments reduce stress and reinforce cohesion in organisational settings (Hamouche, 2020). A plausible consequence of earlier help-seeking and stronger protective environments is reduced reliance on emergency and crisis response, although the attached evidence demonstrates the upstream protective effects directly rather than quantifying downstream service burden.</w:t>
      </w:r>
    </w:p>
    <w:p w14:paraId="016B76F4" w14:textId="77777777" w:rsidR="00302316" w:rsidRPr="00302316" w:rsidRDefault="00302316" w:rsidP="00302316">
      <w:pPr>
        <w:spacing w:before="100" w:beforeAutospacing="1" w:after="100" w:afterAutospacing="1" w:line="240" w:lineRule="auto"/>
        <w:outlineLvl w:val="1"/>
        <w:rPr>
          <w:rFonts w:asciiTheme="minorBidi" w:eastAsia="Times New Roman" w:hAnsiTheme="minorBidi"/>
          <w:b/>
          <w:bCs/>
          <w:kern w:val="0"/>
          <w:sz w:val="36"/>
          <w:szCs w:val="36"/>
          <w:lang w:eastAsia="en-GB"/>
          <w14:ligatures w14:val="none"/>
        </w:rPr>
      </w:pPr>
      <w:r w:rsidRPr="00302316">
        <w:rPr>
          <w:rFonts w:asciiTheme="minorBidi" w:eastAsia="Times New Roman" w:hAnsiTheme="minorBidi"/>
          <w:b/>
          <w:bCs/>
          <w:kern w:val="0"/>
          <w:sz w:val="36"/>
          <w:szCs w:val="36"/>
          <w:lang w:eastAsia="en-GB"/>
          <w14:ligatures w14:val="none"/>
        </w:rPr>
        <w:t>References</w:t>
      </w:r>
    </w:p>
    <w:p w14:paraId="12BF1695" w14:textId="77777777" w:rsidR="00302316" w:rsidRPr="00302316" w:rsidRDefault="00302316" w:rsidP="00302316">
      <w:pPr>
        <w:spacing w:before="100" w:beforeAutospacing="1" w:after="100" w:afterAutospacing="1" w:line="240" w:lineRule="auto"/>
        <w:rPr>
          <w:rFonts w:asciiTheme="minorBidi" w:eastAsia="Times New Roman" w:hAnsiTheme="minorBidi"/>
          <w:kern w:val="0"/>
          <w:lang w:eastAsia="en-GB"/>
          <w14:ligatures w14:val="none"/>
        </w:rPr>
      </w:pPr>
      <w:r w:rsidRPr="00302316">
        <w:rPr>
          <w:rFonts w:asciiTheme="minorBidi" w:eastAsia="Times New Roman" w:hAnsiTheme="minorBidi"/>
          <w:kern w:val="0"/>
          <w:lang w:eastAsia="en-GB"/>
          <w14:ligatures w14:val="none"/>
        </w:rPr>
        <w:t xml:space="preserve">Hamouche, S. (2020). COVID-19 and employees' mental health: Stressors, moderators and agenda for organizational actions. </w:t>
      </w:r>
      <w:r w:rsidRPr="00302316">
        <w:rPr>
          <w:rFonts w:asciiTheme="minorBidi" w:eastAsia="Times New Roman" w:hAnsiTheme="minorBidi"/>
          <w:i/>
          <w:iCs/>
          <w:kern w:val="0"/>
          <w:lang w:eastAsia="en-GB"/>
          <w14:ligatures w14:val="none"/>
        </w:rPr>
        <w:t>Emerald Open Research, 2</w:t>
      </w:r>
      <w:r w:rsidRPr="00302316">
        <w:rPr>
          <w:rFonts w:asciiTheme="minorBidi" w:eastAsia="Times New Roman" w:hAnsiTheme="minorBidi"/>
          <w:kern w:val="0"/>
          <w:lang w:eastAsia="en-GB"/>
          <w14:ligatures w14:val="none"/>
        </w:rPr>
        <w:t>, 15.</w:t>
      </w:r>
    </w:p>
    <w:p w14:paraId="47D1FE7D" w14:textId="77777777" w:rsidR="00302316" w:rsidRPr="00302316" w:rsidRDefault="00302316" w:rsidP="00302316">
      <w:pPr>
        <w:spacing w:before="100" w:beforeAutospacing="1" w:after="100" w:afterAutospacing="1" w:line="240" w:lineRule="auto"/>
        <w:rPr>
          <w:rFonts w:asciiTheme="minorBidi" w:eastAsia="Times New Roman" w:hAnsiTheme="minorBidi"/>
          <w:kern w:val="0"/>
          <w:lang w:eastAsia="en-GB"/>
          <w14:ligatures w14:val="none"/>
        </w:rPr>
      </w:pPr>
      <w:r w:rsidRPr="00302316">
        <w:rPr>
          <w:rFonts w:asciiTheme="minorBidi" w:eastAsia="Times New Roman" w:hAnsiTheme="minorBidi"/>
          <w:kern w:val="0"/>
          <w:lang w:eastAsia="en-GB"/>
          <w14:ligatures w14:val="none"/>
        </w:rPr>
        <w:t xml:space="preserve">Nitschke, J. P., Forbes, P. A. G., Ali, N., Cutler, J., Apps, M. A. J., Lockwood, P. L., &amp; Lamm, C. (2021). Resilience during uncertainty? Greater social connectedness during COVID-19 lockdown is associated with reduced distress and fatigue. </w:t>
      </w:r>
      <w:r w:rsidRPr="00302316">
        <w:rPr>
          <w:rFonts w:asciiTheme="minorBidi" w:eastAsia="Times New Roman" w:hAnsiTheme="minorBidi"/>
          <w:i/>
          <w:iCs/>
          <w:kern w:val="0"/>
          <w:lang w:eastAsia="en-GB"/>
          <w14:ligatures w14:val="none"/>
        </w:rPr>
        <w:t>British Journal of Health Psychology, 26</w:t>
      </w:r>
      <w:r w:rsidRPr="00302316">
        <w:rPr>
          <w:rFonts w:asciiTheme="minorBidi" w:eastAsia="Times New Roman" w:hAnsiTheme="minorBidi"/>
          <w:kern w:val="0"/>
          <w:lang w:eastAsia="en-GB"/>
          <w14:ligatures w14:val="none"/>
        </w:rPr>
        <w:t>(2), 553–569. https://doi.org/10.1111/bjhp.12485</w:t>
      </w:r>
    </w:p>
    <w:p w14:paraId="5E1CD4C4" w14:textId="77777777" w:rsidR="00302316" w:rsidRPr="00302316" w:rsidRDefault="00302316" w:rsidP="00302316">
      <w:pPr>
        <w:spacing w:before="100" w:beforeAutospacing="1" w:after="100" w:afterAutospacing="1" w:line="240" w:lineRule="auto"/>
        <w:rPr>
          <w:rFonts w:asciiTheme="minorBidi" w:eastAsia="Times New Roman" w:hAnsiTheme="minorBidi"/>
          <w:kern w:val="0"/>
          <w:lang w:eastAsia="en-GB"/>
          <w14:ligatures w14:val="none"/>
        </w:rPr>
      </w:pPr>
      <w:proofErr w:type="spellStart"/>
      <w:r w:rsidRPr="00302316">
        <w:rPr>
          <w:rFonts w:asciiTheme="minorBidi" w:eastAsia="Times New Roman" w:hAnsiTheme="minorBidi"/>
          <w:kern w:val="0"/>
          <w:lang w:eastAsia="en-GB"/>
          <w14:ligatures w14:val="none"/>
        </w:rPr>
        <w:lastRenderedPageBreak/>
        <w:t>Steinfield</w:t>
      </w:r>
      <w:proofErr w:type="spellEnd"/>
      <w:r w:rsidRPr="00302316">
        <w:rPr>
          <w:rFonts w:asciiTheme="minorBidi" w:eastAsia="Times New Roman" w:hAnsiTheme="minorBidi"/>
          <w:kern w:val="0"/>
          <w:lang w:eastAsia="en-GB"/>
          <w14:ligatures w14:val="none"/>
        </w:rPr>
        <w:t xml:space="preserve">, C., Ellison, N. B., &amp; Lampe, C. (2008). Social capital, self-esteem, and use of online social network sites: A longitudinal analysis. </w:t>
      </w:r>
      <w:r w:rsidRPr="00302316">
        <w:rPr>
          <w:rFonts w:asciiTheme="minorBidi" w:eastAsia="Times New Roman" w:hAnsiTheme="minorBidi"/>
          <w:i/>
          <w:iCs/>
          <w:kern w:val="0"/>
          <w:lang w:eastAsia="en-GB"/>
          <w14:ligatures w14:val="none"/>
        </w:rPr>
        <w:t>Journal of Applied Developmental Psychology, 29</w:t>
      </w:r>
      <w:r w:rsidRPr="00302316">
        <w:rPr>
          <w:rFonts w:asciiTheme="minorBidi" w:eastAsia="Times New Roman" w:hAnsiTheme="minorBidi"/>
          <w:kern w:val="0"/>
          <w:lang w:eastAsia="en-GB"/>
          <w14:ligatures w14:val="none"/>
        </w:rPr>
        <w:t>(6), 434–445. https://doi.org/10.1016/j.appdev.2008.07.002</w:t>
      </w:r>
    </w:p>
    <w:p w14:paraId="131B5326" w14:textId="77777777" w:rsidR="00302316" w:rsidRPr="00302316" w:rsidRDefault="00302316" w:rsidP="00302316">
      <w:pPr>
        <w:spacing w:before="100" w:beforeAutospacing="1" w:after="100" w:afterAutospacing="1" w:line="240" w:lineRule="auto"/>
        <w:rPr>
          <w:rFonts w:asciiTheme="minorBidi" w:eastAsia="Times New Roman" w:hAnsiTheme="minorBidi"/>
          <w:kern w:val="0"/>
          <w:lang w:eastAsia="en-GB"/>
          <w14:ligatures w14:val="none"/>
        </w:rPr>
      </w:pPr>
      <w:r w:rsidRPr="00302316">
        <w:rPr>
          <w:rFonts w:asciiTheme="minorBidi" w:eastAsia="Times New Roman" w:hAnsiTheme="minorBidi"/>
          <w:kern w:val="0"/>
          <w:lang w:eastAsia="en-GB"/>
          <w14:ligatures w14:val="none"/>
        </w:rPr>
        <w:t xml:space="preserve">Wyman, P. A., Pickering, T. A., Pisani, A. R., Rulison, K., Schmeelk-Cone, K., Hartley, C., Gould, M., Caine, E. D., </w:t>
      </w:r>
      <w:proofErr w:type="spellStart"/>
      <w:r w:rsidRPr="00302316">
        <w:rPr>
          <w:rFonts w:asciiTheme="minorBidi" w:eastAsia="Times New Roman" w:hAnsiTheme="minorBidi"/>
          <w:kern w:val="0"/>
          <w:lang w:eastAsia="en-GB"/>
          <w14:ligatures w14:val="none"/>
        </w:rPr>
        <w:t>LoMurray</w:t>
      </w:r>
      <w:proofErr w:type="spellEnd"/>
      <w:r w:rsidRPr="00302316">
        <w:rPr>
          <w:rFonts w:asciiTheme="minorBidi" w:eastAsia="Times New Roman" w:hAnsiTheme="minorBidi"/>
          <w:kern w:val="0"/>
          <w:lang w:eastAsia="en-GB"/>
          <w14:ligatures w14:val="none"/>
        </w:rPr>
        <w:t xml:space="preserve">, M., Brown, C. H., &amp; Valente, T. W. (2019). Peer-adult network structure and suicide attempts in 38 high schools: Implications for network-informed suicide prevention. </w:t>
      </w:r>
      <w:r w:rsidRPr="00302316">
        <w:rPr>
          <w:rFonts w:asciiTheme="minorBidi" w:eastAsia="Times New Roman" w:hAnsiTheme="minorBidi"/>
          <w:i/>
          <w:iCs/>
          <w:kern w:val="0"/>
          <w:lang w:eastAsia="en-GB"/>
          <w14:ligatures w14:val="none"/>
        </w:rPr>
        <w:t>Journal of Child Psychology and Psychiatry, 60</w:t>
      </w:r>
      <w:r w:rsidRPr="00302316">
        <w:rPr>
          <w:rFonts w:asciiTheme="minorBidi" w:eastAsia="Times New Roman" w:hAnsiTheme="minorBidi"/>
          <w:kern w:val="0"/>
          <w:lang w:eastAsia="en-GB"/>
          <w14:ligatures w14:val="none"/>
        </w:rPr>
        <w:t>(10), 1065–1075. https://doi.org/10.1111/jcpp.13102</w:t>
      </w:r>
    </w:p>
    <w:p w14:paraId="0E346C94" w14:textId="13A8B1C8" w:rsidR="00680357" w:rsidRPr="00302316" w:rsidRDefault="00680357" w:rsidP="00302316">
      <w:pPr>
        <w:spacing w:after="0" w:line="240" w:lineRule="auto"/>
        <w:rPr>
          <w:rFonts w:asciiTheme="minorBidi" w:eastAsia="Times New Roman" w:hAnsiTheme="minorBidi"/>
          <w:kern w:val="0"/>
          <w:lang w:eastAsia="en-GB"/>
          <w14:ligatures w14:val="none"/>
        </w:rPr>
      </w:pPr>
    </w:p>
    <w:sectPr w:rsidR="00680357" w:rsidRPr="003023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316"/>
    <w:rsid w:val="00302316"/>
    <w:rsid w:val="00385C7B"/>
    <w:rsid w:val="00477CD5"/>
    <w:rsid w:val="00680357"/>
    <w:rsid w:val="009D7C3F"/>
    <w:rsid w:val="00C06FC9"/>
    <w:rsid w:val="00FE238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B5F02"/>
  <w15:chartTrackingRefBased/>
  <w15:docId w15:val="{B1C0C0A9-F1C2-7744-9D0C-9C42B87CC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2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3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3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3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3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23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3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3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3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316"/>
    <w:rPr>
      <w:rFonts w:eastAsiaTheme="majorEastAsia" w:cstheme="majorBidi"/>
      <w:color w:val="272727" w:themeColor="text1" w:themeTint="D8"/>
    </w:rPr>
  </w:style>
  <w:style w:type="paragraph" w:styleId="Title">
    <w:name w:val="Title"/>
    <w:basedOn w:val="Normal"/>
    <w:next w:val="Normal"/>
    <w:link w:val="TitleChar"/>
    <w:uiPriority w:val="10"/>
    <w:qFormat/>
    <w:rsid w:val="00302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316"/>
    <w:pPr>
      <w:spacing w:before="160"/>
      <w:jc w:val="center"/>
    </w:pPr>
    <w:rPr>
      <w:i/>
      <w:iCs/>
      <w:color w:val="404040" w:themeColor="text1" w:themeTint="BF"/>
    </w:rPr>
  </w:style>
  <w:style w:type="character" w:customStyle="1" w:styleId="QuoteChar">
    <w:name w:val="Quote Char"/>
    <w:basedOn w:val="DefaultParagraphFont"/>
    <w:link w:val="Quote"/>
    <w:uiPriority w:val="29"/>
    <w:rsid w:val="00302316"/>
    <w:rPr>
      <w:i/>
      <w:iCs/>
      <w:color w:val="404040" w:themeColor="text1" w:themeTint="BF"/>
    </w:rPr>
  </w:style>
  <w:style w:type="paragraph" w:styleId="ListParagraph">
    <w:name w:val="List Paragraph"/>
    <w:basedOn w:val="Normal"/>
    <w:uiPriority w:val="34"/>
    <w:qFormat/>
    <w:rsid w:val="00302316"/>
    <w:pPr>
      <w:ind w:left="720"/>
      <w:contextualSpacing/>
    </w:pPr>
  </w:style>
  <w:style w:type="character" w:styleId="IntenseEmphasis">
    <w:name w:val="Intense Emphasis"/>
    <w:basedOn w:val="DefaultParagraphFont"/>
    <w:uiPriority w:val="21"/>
    <w:qFormat/>
    <w:rsid w:val="00302316"/>
    <w:rPr>
      <w:i/>
      <w:iCs/>
      <w:color w:val="0F4761" w:themeColor="accent1" w:themeShade="BF"/>
    </w:rPr>
  </w:style>
  <w:style w:type="paragraph" w:styleId="IntenseQuote">
    <w:name w:val="Intense Quote"/>
    <w:basedOn w:val="Normal"/>
    <w:next w:val="Normal"/>
    <w:link w:val="IntenseQuoteChar"/>
    <w:uiPriority w:val="30"/>
    <w:qFormat/>
    <w:rsid w:val="00302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316"/>
    <w:rPr>
      <w:i/>
      <w:iCs/>
      <w:color w:val="0F4761" w:themeColor="accent1" w:themeShade="BF"/>
    </w:rPr>
  </w:style>
  <w:style w:type="character" w:styleId="IntenseReference">
    <w:name w:val="Intense Reference"/>
    <w:basedOn w:val="DefaultParagraphFont"/>
    <w:uiPriority w:val="32"/>
    <w:qFormat/>
    <w:rsid w:val="00302316"/>
    <w:rPr>
      <w:b/>
      <w:bCs/>
      <w:smallCaps/>
      <w:color w:val="0F4761" w:themeColor="accent1" w:themeShade="BF"/>
      <w:spacing w:val="5"/>
    </w:rPr>
  </w:style>
  <w:style w:type="paragraph" w:styleId="NormalWeb">
    <w:name w:val="Normal (Web)"/>
    <w:basedOn w:val="Normal"/>
    <w:uiPriority w:val="99"/>
    <w:semiHidden/>
    <w:unhideWhenUsed/>
    <w:rsid w:val="0030231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302316"/>
    <w:rPr>
      <w:i/>
      <w:iCs/>
    </w:rPr>
  </w:style>
  <w:style w:type="character" w:styleId="Strong">
    <w:name w:val="Strong"/>
    <w:basedOn w:val="DefaultParagraphFont"/>
    <w:uiPriority w:val="22"/>
    <w:qFormat/>
    <w:rsid w:val="003023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423EB-F309-D84F-98FE-8AA71B907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1514</Words>
  <Characters>8636</Characters>
  <Application>Microsoft Office Word</Application>
  <DocSecurity>0</DocSecurity>
  <Lines>71</Lines>
  <Paragraphs>20</Paragraphs>
  <ScaleCrop>false</ScaleCrop>
  <Company/>
  <LinksUpToDate>false</LinksUpToDate>
  <CharactersWithSpaces>10130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Shoaib Iqbal</dc:creator>
  <cp:keywords/>
  <dc:description/>
  <cp:lastModifiedBy>Shoaib Iqbal</cp:lastModifiedBy>
  <cp:revision>1</cp:revision>
  <dcterms:created xsi:type="dcterms:W3CDTF">2026-06-08T09:31:00Z</dcterms:created>
  <dcterms:modified xsi:type="dcterms:W3CDTF">2026-06-08T09:36:00Z</dcterms:modified>
</cp:coreProperties>
</file>