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color w:val="2E74B5"/>
          <w:sz w:val="22"/>
        </w:rPr>
        <w:t>测试方案 · 用户端</w:t>
      </w:r>
    </w:p>
    <w:p>
      <w:pPr>
        <w:spacing w:after="100"/>
      </w:pPr>
      <w:r>
        <w:rPr>
          <w:rFonts w:ascii="Calibri" w:hAnsi="Calibri" w:eastAsia="微软雅黑"/>
          <w:b/>
          <w:color w:val="0B2545"/>
          <w:sz w:val="48"/>
        </w:rPr>
        <w:t>2.5 功能/用户界面测试要点</w:t>
      </w:r>
    </w:p>
    <w:p>
      <w:pPr>
        <w:spacing w:after="240"/>
      </w:pPr>
      <w:r>
        <w:rPr>
          <w:rFonts w:ascii="Calibri" w:hAnsi="Calibri" w:eastAsia="微软雅黑"/>
          <w:color w:val="1F4D78"/>
          <w:sz w:val="28"/>
        </w:rPr>
        <w:t>社交新零售电商平台——用户端功能测试</w:t>
      </w:r>
    </w:p>
    <w:p>
      <w:pPr>
        <w:spacing w:after="240"/>
      </w:pPr>
      <w:r>
        <w:rPr>
          <w:rFonts w:ascii="Calibri" w:hAnsi="Calibri" w:eastAsia="微软雅黑"/>
          <w:b/>
          <w:color w:val="666666"/>
          <w:sz w:val="20"/>
        </w:rPr>
        <w:t>测试对象：</w:t>
      </w:r>
      <w:r>
        <w:rPr>
          <w:rFonts w:ascii="Calibri" w:hAnsi="Calibri" w:eastAsia="微软雅黑"/>
          <w:color w:val="666666"/>
          <w:sz w:val="20"/>
        </w:rPr>
        <w:t xml:space="preserve">uni-app 用户端　　</w:t>
      </w:r>
      <w:r>
        <w:rPr>
          <w:rFonts w:ascii="Calibri" w:hAnsi="Calibri" w:eastAsia="微软雅黑"/>
          <w:b/>
          <w:color w:val="666666"/>
          <w:sz w:val="20"/>
        </w:rPr>
        <w:t>测试类型：</w:t>
      </w:r>
      <w:r>
        <w:rPr>
          <w:rFonts w:ascii="Calibri" w:hAnsi="Calibri" w:eastAsia="微软雅黑"/>
          <w:color w:val="666666"/>
          <w:sz w:val="20"/>
        </w:rPr>
        <w:t>黑盒功能测试 / 用户界面测试</w:t>
      </w:r>
    </w:p>
    <w:p>
      <w:pPr>
        <w:spacing w:before="0" w:after="200"/>
      </w:pPr>
      <w:r>
        <w:rPr>
          <w:rFonts w:ascii="Calibri" w:hAnsi="Calibri" w:eastAsia="微软雅黑"/>
          <w:b/>
          <w:color w:val="1F4D78"/>
          <w:sz w:val="20"/>
        </w:rPr>
        <w:t>编写说明：</w:t>
      </w:r>
      <w:r>
        <w:rPr>
          <w:rFonts w:ascii="Calibri" w:hAnsi="Calibri" w:eastAsia="微软雅黑"/>
          <w:color w:val="333333"/>
          <w:sz w:val="20"/>
        </w:rPr>
        <w:t>本文档参照《智慧考勤系统》测试方案的章节和双表结构编写。“实际的输出/响应”和“是否正常”栏在执行测试前统一标记为“待测试”，测试完成后填写实际结果。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  <w:sz w:val="32"/>
        </w:rPr>
        <w:t>2.5 功能/用户界面测试要点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 用户注册与登录测试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验证普通用户注册、账号密码登录、登录态保持及异常登录处理。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用户端“注册/登录”页面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注册时不填写手机号、密码等必填项，直接点击“注册”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页面逐项提示必填信息，注册请求不提交。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输入格式错误的手机号或不符合规则的密码并提交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页面提示对应格式错误，不能创建账号。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使用已注册手机号再次注册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系统提示账号已存在，不生成重复用户。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输入错误账号或密码并点击“登录”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系统提示账号或密码错误，停留在登录页且不生成登录态。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输入正确账号和密码并点击“登录”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登录成功，保存有效登录态并进入用户端首页。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清除或伪造登录凭证后访问个人中心、购物车等受保护页面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系统拦截访问并引导重新登录。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页面标题、手机号、密码、确认密码等文字及输入框排列正常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密码输入默认脱敏，显示/隐藏密码操作正常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注册、登录及页面切换按钮支持触摸操作且点击区域合理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输入框可正常唤起键盘，手机号输入使用合适的键盘类型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校验错误、登录失败和网络异常提示清晰且不遮挡关键操作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2.5.2 首页、分类与商品搜索测试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2.5.2.1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验证首页商品展示、分类/品牌浏览、关键词搜索、筛选排序与分页加载。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用户端首页、分类页、品牌页及搜索结果页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进入首页并下拉刷新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轮播、分类入口、推荐商品等内容正常加载，刷新后数据同步更新。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选择一级/二级分类或品牌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展示对应范围内的在售商品，不混入不相关或已下架商品。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输入存在的商品关键词进行搜索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返回名称或关键属性匹配的商品，并显示正确的价格、图片和商家信息。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输入不存在的关键词进行搜索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返回空结果状态并提供返回或重新搜索入口，不显示历史脏数据。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切换价格、销量等排序条件并连续翻页/上拉加载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排序规则生效，分页无重复、遗漏或顺序跳变。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2.5.2.2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首页轮播图、分类图标、商品卡片和底部导航显示完整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搜索框、筛选项和排序状态清晰，选中态可识别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商品图片比例一致，长标题省略合理，价格信息无截断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下拉刷新、上拉加载及页面返回等触摸交互正常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加载中、空数据、图片加载失败和网络异常状态显示正常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2.5.3 商品详情与SKU选择测试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2.5.3.1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验证商品详情、SKU规格、库存、评价预览、商家入口及推广码承接。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商品列表/搜索结果点击商品后进入“商品详情”页面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打开正常在售商品详情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展示商品图片、名称、价格、库存、详情、商家信息、平均评分及最新评价。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切换不同SKU规格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价格、库存、图片等SKU信息同步更新，当前选中规格明确。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未选择完整规格时点击“加入购物车”或“立即购买”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提示先选择完整规格，不进入购物车或结算页。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选择库存不足或库存为0的SKU并提交购买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系统禁止购买并提示库存不足。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从带promotionCode的推广链接进入详情页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推广码被正确读取和缓存；有效推广码与当前商品匹配，无效码不影响普通浏览。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点击商家信息或“查看全部评价”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分别进入正确商家主页或商品评价列表，商品上下文保持正确。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2.5.3.2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商品轮播图、价格、促销标签、详情图文与评价预览显示正常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SKU弹层层级正确，已选/不可选规格状态区分明显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“加入购物车”“立即购买”等底部按钮固定区域无重叠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长图、长文本和多规格内容可顺畅滚动且不横向溢出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匿名评价隐藏真实昵称和头像，评分星级显示准确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2.5.4 购物车测试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2.5.4.1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验证商品加入购物车、数量修改、选择结算、删除及失效商品处理。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商品详情页“加入购物车”或底部导航“购物车”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选择有效SKU和数量后加入购物车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加入成功，同一SKU按规则合并，购物车角标和数量更新。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增加或减少购物车商品数量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数量在1至可售库存范围内变化，小计和合计金额实时重算。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将数量修改为超过库存或非法值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系统拒绝修改并提示库存限制，原有效数量保持不变。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勾选部分商品并点击“去结算”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仅携带已选且有效的商品进入结算预览。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删除单个商品或批量删除已选商品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二次确认后删除成功，金额、数量和空状态同步更新。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购物车中商品下架、SKU失效或库存不足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商品进入失效区域或被禁止勾选，并给出明确原因。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2.5.4.2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商品缩略图、规格、单价、数量步进器和选择框排列正常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全选、单选与结算金额的联动状态显示正确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数量加减、删除、滑动操作和底部结算按钮触摸响应正常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失效商品样式与正常商品有明显区分，处理入口清晰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空购物车、加载失败和价格变化提示显示正常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2.5.5 收货地址测试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2.5.5.1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验证收货地址新增、编辑、删除、默认地址和结算页地址选择。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个人中心“收货地址”或订单确认页“选择地址”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不填写收货人、手机号或详细地址直接保存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页面提示必填项，地址不保存。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输入错误手机号或超长字段后保存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系统给出格式/长度提示，不提交非法数据。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填写完整有效信息新增地址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地址保存成功并出现在列表中。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编辑已有地址并保存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修改内容立即生效，其他地址不受影响。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将某地址设为默认地址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该地址成为唯一默认地址，结算页优先选中。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删除当前默认地址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二次确认后删除成功，系统按规则选择新的默认地址或显示未设置状态。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2.5.5.2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地址列表中的收货人、手机号、地区、详细地址和默认标识显示完整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新增/编辑表单字段顺序合理，地区选择器可正常展开和回填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默认地址开关、编辑、删除和选择操作触摸响应正常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删除操作有明确二次确认，成功/失败提示位置合理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无地址时的空状态与“新增地址”入口清晰可见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2.5.6 订单确认与优惠计算测试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2.5.6.1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验证立即购买/购物车结算预览、地址与配送方式、优惠券、积分及金额计算。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购物车“去结算”或商品详情“立即购买”进入订单确认页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未选择收货地址且选择配送方式时提交订单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系统提示选择收货地址，不创建订单。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切换配送/自提方式并选择自提点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配送费、自提信息和可填写字段按方式正确变化。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选择可用优惠券、满减活动或积分抵扣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优惠条件校验通过，优惠明细和应付金额按规则实时重算。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选择不满足门槛、已过期或不适用商品的优惠券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优惠券不可选或提示不可用原因，不产生错误抵扣。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提交订单前商品价格、库存或活动发生变化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系统重新校验并提示变化，使用最新有效数据确认后方可下单。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携带有效推广码提交订单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订单记录正确的推广归因；无效或不匹配推广码不产生归因。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连续快速点击“提交订单”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系统防止重复提交，仅生成一个有效订单并正确扣减库存。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2.5.6.2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地址、商品、配送方式、优惠明细、积分和订单金额层级清晰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优惠券/自提点选择弹层内容完整，选中态明确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商品金额、运费、优惠额和应付金额的币种与小数位显示一致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提交按钮在加载期间禁用并显示进度，避免重复操作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金额变化、库存不足和优惠失效提示醒目且可理解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2.5.7 订单支付测试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2.5.7.1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验证支付请求创建、支付宝沙箱/模拟支付、支付结果查询及异常恢复。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订单提交成功页或待支付订单详情页“立即支付”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对有效待支付订单发起支付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创建与订单金额一致的支付请求并进入支付流程。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支付成功并返回用户端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支付状态更新为成功，订单进入待发货/待处理状态且不可重复支付。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支付失败或用户取消支付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订单保持待支付状态，记录失败原因并允许重新发起支付。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支付过程中网络中断，随后重新进入订单详情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系统主动查询支付结果并展示最终一致状态。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对已支付、已取消或已关闭订单再次发起支付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系统拒绝支付并提示当前订单状态不允许支付。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支付回调重复到达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系统幂等处理，不重复记账、不重复扣库存或增加积分。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2.5.7.2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订单号、应付金额、支付方式和支付倒计时显示清晰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支付确认按钮醒目，点击后有加载态并防止重复触发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支付成功、失败、取消和处理中状态使用明确图标与文字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从第三方支付页面返回后的页面跳转和返回按钮行为正常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支付异常时提供重试、查看订单等可恢复操作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2.5.8 订单查询与状态流转测试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2.5.8.1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验证订单列表/详情、状态筛选、取消订单、确认收货及订单状态同步。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个人中心“我的订单”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进入全部订单并按待付款、待发货、待收货、已完成筛选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列表仅展示对应状态订单，分页加载完整且顺序正确。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打开任一订单详情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订单商品、金额、地址/自提、支付、配送和状态信息与订单一致。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取消允许取消的待支付订单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二次确认后订单变为已取消，库存/优惠资源按规则释放。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尝试取消已发货、已完成等不可取消订单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系统拒绝操作并提示当前状态不可取消。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对待收货订单点击“确认收货”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确认后订单变为已完成，并开放评价/售后等符合规则的入口。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商家更新发货状态后刷新订单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用户端及时获取最新状态，列表和详情状态一致。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2.5.8.2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订单卡片中的状态、商品、数量、金额和操作按钮排列正常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状态筛选标签可横向滚动或完整显示，选中态明确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不同订单状态仅显示允许的操作按钮，不出现越权入口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取消、确认收货等关键操作均有二次确认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列表空状态、加载更多和状态刷新提示显示正常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2.5.9 售后服务测试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2.5.9.1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验证仅退款/退货退款申请、凭证上传、进度查询、补充凭证与取消申请。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订单详情/订单商品“申请售后”或个人中心“售后记录”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对不满足售后条件的订单或商品发起申请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系统拒绝申请并提示不满足售后条件。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选择仅退款，填写有效原因和金额后提交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申请创建成功，金额不超过可退金额，状态为待审核。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选择退货退款并填写退货相关信息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申请创建成功，后续按审核、退货、收货、退款流程流转。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上传不支持格式、超大小或超数量的凭证图片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系统拒绝不合规图片并提示限制；合法图片可预览和删除。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在允许状态下补充凭证或取消售后申请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信息追加/取消成功，列表和详情状态同步。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商家审核通过/拒绝或退款完成后查看详情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处理意见、退款金额、时间线和最终状态准确展示。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2.5.9.2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售后类型、原因、金额、说明和凭证上传区域排列清晰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图片选择、预览、删除和上传进度显示正常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售后状态时间线顺序正确，当前节点突出显示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可执行操作随状态变化正确显示，禁用态清晰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审核拒绝原因、退款失败等异常信息完整且可阅读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2.5.10 商品评价测试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2.5.10.1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验证已完成订单评价、评分与图文内容、匿名展示、评价查询及删除。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已完成订单“去评价”、个人中心“我的评价”或商品详情评价区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对未完成订单、非本人订单或已评价订单再次评价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系统拒绝提交并提示当前订单商品不可评价。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评分为空/越界或评价内容不符合规则时提交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页面提示校验错误，评价不保存。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填写1至5星、文字和合法图片后提交评价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评价创建成功并关联正确订单明细、商品和SKU。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勾选匿名后提交评价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评价参与评分统计，但商品页隐藏真实昵称、头像及用户标识。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按评分或有图条件查看商品全部评价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筛选和分页结果正确，平均分与有效评价数量一致。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删除本人的评价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评价从我的评价和商品展示中移除，平均评分/评价数按有效数据重算。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2.5.10.2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评分星级、评价输入框、匿名选项及图片上传区显示正常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星级选择反馈即时，已选与未选状态区分明显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评价图片网格、预览和删除操作触摸响应正常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长评价内容换行合理，匿名标识和时间显示清晰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筛选项、分页加载和无评价状态显示正常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2.5.11 优惠券、满减与秒杀测试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2.5.11.1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验证优惠券领取/查看、满减规则展示、秒杀活动及资格校验。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首页活动入口、商家主页、商品详情、领券中心及“我的优惠券”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领取未开始、已结束、已领完或超过限领次数的优惠券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系统禁止领取并提示具体原因。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领取有效优惠券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领取成功并出现在“我的优惠券”，库存和领取次数正确扣减。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查看可用、已使用、已过期优惠券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分类及状态正确，适用范围、门槛和有效期完整展示。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进入满减活动商品并达到/未达到门槛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详情和结算页正确展示规则，只有满足条件时产生优惠。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进入当前秒杀活动并校验商品资格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展示正确秒杀价、活动时间、剩余库存和购买限制。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秒杀开始前、结束后或超限购买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系统拒绝下单并提示活动状态或限购原因。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2.5.11.2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优惠券面额、门槛、有效期、适用范围和状态标签显示完整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已领取、已抢光、未开始等按钮状态差异明确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秒杀倒计时及时刷新，结束后页面状态自动切换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活动价、原价和优惠标签层级清晰且不产生价格歧义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活动空状态、库存不足和领取失败提示显示正常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2.5.12 会员与积分测试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2.5.12.1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验证会员等级、成长值、积分余额/明细、签到、积分抵扣和兑换优惠券。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个人中心“会员中心/积分中心”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进入会员中心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展示当前等级、成长值、下一等级条件及对应会员权益。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查询积分余额、积分明细和成长值明细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余额与明细汇总一致，来源、变动值和时间准确。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当日首次签到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签到成功并按规则增加积分；当日再次签到不重复奖励。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在结算页输入可用积分试算抵扣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抵扣上限、换算规则和应付金额计算正确。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积分不足或兑换已失效/库存不足的优惠券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系统拒绝兑换，不扣积分并提示原因。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使用足够积分兑换有效优惠券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积分扣减与优惠券发放保持一致，明细各生成一条记录。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2.5.12.2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会员等级、成长进度、积分余额和权益卡片显示正常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成长进度条比例与数值一致，不超出容器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签到、兑换、明细筛选等按钮触摸响应正常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积分增减使用清晰的正负号、颜色和来源描述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兑换确认、积分不足和重复签到提示显示正常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2.5.13 分销推广测试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2.5.13.1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验证分销员申请、推广商品、推广链接/二维码、归因、佣金与提现。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个人中心“分销中心/推广中心”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普通用户未提交完整实名、身份证或银行卡资料即申请分销员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页面提示补全必填资料，申请不提交。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提交完整有效资料申请分销员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申请成功并显示待审核；审核结果在状态页和消息中同步。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未通过审核的用户访问分销工作台或生成推广链接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系统拒绝访问或操作，并提示当前审核状态。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已通过用户选择开放分销的商品生成推广链接/二维码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生成的地址指向用户端商品详情并携带正确promotionCode。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被推广用户通过链接下单并完成订单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系统按推广码和商品完成归因，生成正确佣金明细。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推广订单取消、退款或售后完成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佣金按规则取消、回退或保持冻结，统计金额同步更新。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可提现佣金不足、银行卡无效或金额超限时申请提现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系统拒绝申请且不扣可提现余额；合法申请生成提现记录。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2.5.13.2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申请表单、证件图片和银行卡信息输入区域层级清晰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审核中、已通过、已拒绝等状态及原因显示完整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推广商品、二维码、复制链接和启停推广操作正常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累计、冻结、可提现佣金数值和佣金明细展示一致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敏感身份及银行卡信息按规则脱敏显示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微软雅黑"/>
          <w:b/>
          <w:color w:val="2E74B5"/>
          <w:sz w:val="26"/>
        </w:rPr>
        <w:t>2.5.14 个人中心与消息通知测试</w:t>
      </w: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2.5.14.1 功能测试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3456"/>
        <w:gridCol w:w="3888"/>
        <w:gridCol w:w="2016"/>
      </w:tblGrid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功能描述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验证个人资料、手机号/密码修改、功能入口及订单/售后/活动消息的查询和已读处理。</w:t>
            </w:r>
          </w:p>
        </w:tc>
      </w:tr>
      <w:tr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功能入口</w:t>
            </w:r>
          </w:p>
        </w:tc>
        <w:tc>
          <w:tcPr>
            <w:tcW w:type="dxa" w:w="5904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底部导航“我的/个人中心”及“消息中心”</w:t>
            </w:r>
          </w:p>
        </w:tc>
      </w:tr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输入/动作</w:t>
            </w:r>
          </w:p>
        </w:tc>
        <w:tc>
          <w:tcPr>
            <w:tcW w:type="dxa" w:w="38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期望的输出/响应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实际的输出/响应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进入个人中心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展示当前用户头像、昵称、手机号脱敏信息及各业务入口。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修改昵称、头像等允许编辑的个人资料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保存成功后页面即时更新，重新登录后仍保持。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修改手机号时输入非法号码或已绑定号码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系统拒绝修改并提示原因；合法号码修改成功。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原密码错误、两次新密码不一致或新密码不合规时修改密码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系统拒绝修改并给出对应提示。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查询订单、审核、售后、活动和系统消息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消息可按类型正确筛选，内容、关联业务和时间准确。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打开未读消息或执行全部已读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未读状态和角标及时更新，刷新后保持一致。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点击带业务关联的消息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跳转到对应订单、售后、活动或审核结果详情，不跳错对象。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微软雅黑"/>
          <w:b/>
          <w:color w:val="1F4D78"/>
          <w:sz w:val="24"/>
        </w:rPr>
        <w:t>2.5.14.2 用户界面测试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  <w:tblInd w:w="120" w:type="dxa"/>
      </w:tblPr>
      <w:tblGrid>
        <w:gridCol w:w="7632"/>
        <w:gridCol w:w="1728"/>
      </w:tblGrid>
      <w:tr>
        <w:trPr>
          <w:tblHeader w:val="true"/>
        </w:trPr>
        <w:tc>
          <w:tcPr>
            <w:tcW w:type="dxa" w:w="76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72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是否正常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头像、昵称、会员/积分信息和功能宫格排列正常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手机号等敏感信息脱敏显示，密码输入框默认隐藏内容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消息类型标签、未读角标、时间和摘要显示清晰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消息列表滑动、筛选、单条已读和全部已读操作正常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  <w:tr>
        <w:trPr>
          <w:cantSplit/>
        </w:trPr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无消息、加载失败和跳转目标失效时有明确反馈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666666"/>
                <w:sz w:val="18"/>
              </w:rPr>
              <w:t>待测试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66666"/>
        <w:sz w:val="18"/>
      </w:rPr>
      <w:t>社交新零售电商平台｜用户端测试方案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社交新零售电商平台 2.5 用户端功能测试</dc:title>
  <dc:subject>功能/用户界面测试要点</dc:subject>
  <dc:creator>项目测试组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