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pPr>
        <w:pStyle w:val="BlockText"/>
      </w:pPr>
      <w:r>
        <w:t xml:space="preserve">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those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numPr>
          <w:ilvl w:val="0"/>
          <w:numId w:val="1002"/>
        </w:numPr>
      </w:pPr>
      <w:r>
        <w:t xml:space="preserve">☐ I certify that the author(s) of the manuscript have documented permission to redistribute/publish the data contained within this replication package. Appropriate permission are documented in the</w:t>
      </w:r>
      <w:r>
        <w:t xml:space="preserve"> </w:t>
      </w:r>
      <w:hyperlink r:id="rId31">
        <w:r>
          <w:rPr>
            <w:rStyle w:val="Hyperlink"/>
          </w:rPr>
          <w:t xml:space="preserve">LICENSE.txt</w:t>
        </w:r>
      </w:hyperlink>
      <w:r>
        <w:t xml:space="preserve"> </w:t>
      </w:r>
      <w:r>
        <w:t xml:space="preserve">file.</w:t>
      </w:r>
    </w:p>
    <w:p>
      <w:pPr>
        <w:pStyle w:val="Heading3"/>
      </w:pPr>
      <w:bookmarkStart w:id="32" w:name="X6aebceb4f36b28aad88c5686aa76ba96bacc5f8"/>
      <w:r>
        <w:t xml:space="preserve">(Optional, but recommended) License for Data</w:t>
      </w:r>
      <w:bookmarkEnd w:id="32"/>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3">
        <w:r>
          <w:rPr>
            <w:rStyle w:val="Hyperlink"/>
          </w:rPr>
          <w:t xml:space="preserve">here</w:t>
        </w:r>
      </w:hyperlink>
      <w:r>
        <w:t xml:space="preserve">. For multiple licenses within a data package, the</w:t>
      </w:r>
      <w:r>
        <w:t xml:space="preserve"> </w:t>
      </w:r>
      <w:r>
        <w:rPr>
          <w:rStyle w:val="VerbatimChar"/>
        </w:rPr>
        <w:t xml:space="preserve">LICENSE.txt</w:t>
      </w:r>
      <w:r>
        <w:t xml:space="preserve"> </w:t>
      </w:r>
      <w:r>
        <w:t xml:space="preserve">file might contain the concatenation of all the licenses that apply (for instance, a custom license for one file, plus a CC-BY license for another file).</w:t>
      </w:r>
    </w:p>
    <w:p>
      <w:pPr>
        <w:pStyle w:val="BlockText"/>
      </w:pPr>
      <w:r>
        <w:t xml:space="preserve">NOTE: In many cases, it is not up to the creator of the replication package to simply define a license, a license may be</w:t>
      </w:r>
      <w:r>
        <w:t xml:space="preserve"> </w:t>
      </w:r>
      <w:r>
        <w:rPr>
          <w:i/>
        </w:rPr>
        <w:t xml:space="preserve">sticky</w:t>
      </w:r>
      <w:r>
        <w:t xml:space="preserve"> </w:t>
      </w:r>
      <w:r>
        <w:t xml:space="preserve">and be defined by the original data creator.</w:t>
      </w:r>
    </w:p>
    <w:p>
      <w:pPr>
        <w:pStyle w:val="FirstParagraph"/>
      </w:pPr>
      <w:r>
        <w:rPr>
          <w:i/>
        </w:rPr>
        <w:t xml:space="preserve">Example:</w:t>
      </w:r>
      <w:r>
        <w:t xml:space="preserve"> </w:t>
      </w:r>
      <w:r>
        <w:t xml:space="preserve">The data are licensed under a Creative Commons/CC-BY-NC license. See LICENSE.txt 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numPr>
          <w:ilvl w:val="0"/>
          <w:numId w:val="1004"/>
        </w:numPr>
        <w:pStyle w:val="BlockText"/>
      </w:pPr>
      <w:r>
        <w:t xml:space="preserve">List availability within the package</w:t>
      </w:r>
    </w:p>
    <w:p>
      <w:pPr>
        <w:numPr>
          <w:ilvl w:val="0"/>
          <w:numId w:val="1004"/>
        </w:numPr>
        <w:pStyle w:val="BlockText"/>
      </w:pPr>
      <w:r>
        <w:t xml:space="preserve">Use proper bibliographic references in addition to a verbose description (and provide a bibliography at the end of the README, expanding those references)</w:t>
      </w:r>
    </w:p>
    <w:p>
      <w:pPr>
        <w:pStyle w:val="BlockText"/>
      </w:pPr>
      <w:r>
        <w:t xml:space="preserve">A summary in tabular form can be useful:</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Data.Name</w:t>
            </w:r>
          </w:p>
        </w:tc>
        <w:tc>
          <w:tcPr>
            <w:tcBorders>
              <w:bottom w:val="single"/>
            </w:tcBorders>
            <w:vAlign w:val="bottom"/>
          </w:tcPr>
          <w:p>
            <w:pPr>
              <w:pStyle w:val="Compact"/>
              <w:jc w:val="left"/>
            </w:pPr>
            <w:r>
              <w:t xml:space="preserve">Data.Files</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Provided</w:t>
            </w:r>
          </w:p>
        </w:tc>
        <w:tc>
          <w:tcPr>
            <w:tcBorders>
              <w:bottom w:val="single"/>
            </w:tcBorders>
            <w:vAlign w:val="bottom"/>
          </w:tcPr>
          <w:p>
            <w:pPr>
              <w:pStyle w:val="Compact"/>
              <w:jc w:val="left"/>
            </w:pPr>
            <w:r>
              <w:t xml:space="preserve">Citation</w:t>
            </w:r>
          </w:p>
        </w:tc>
      </w:tr>
      <w:tr>
        <w:tc>
          <w:p>
            <w:pPr>
              <w:pStyle w:val="Compact"/>
              <w:jc w:val="left"/>
            </w:pPr>
            <w:r>
              <w:t xml:space="preserve">“</w:t>
            </w:r>
            <w:r>
              <w:t xml:space="preserve">Current Population Survey 2018</w:t>
            </w:r>
            <w:r>
              <w:t xml:space="preserve">”</w:t>
            </w:r>
          </w:p>
        </w:tc>
        <w:tc>
          <w:p>
            <w:pPr>
              <w:pStyle w:val="Compact"/>
              <w:jc w:val="left"/>
            </w:pPr>
            <w:r>
              <w:t xml:space="preserve">cepr_march_2018.dta</w:t>
            </w:r>
          </w:p>
        </w:tc>
        <w:tc>
          <w:p>
            <w:pPr>
              <w:pStyle w:val="Compact"/>
              <w:jc w:val="left"/>
            </w:pPr>
            <w:r>
              <w:t xml:space="preserve">data/</w:t>
            </w:r>
          </w:p>
        </w:tc>
        <w:tc>
          <w:p>
            <w:pPr>
              <w:pStyle w:val="Compact"/>
              <w:jc w:val="left"/>
            </w:pPr>
            <w:r>
              <w:t xml:space="preserve">TRUE</w:t>
            </w:r>
          </w:p>
        </w:tc>
        <w:tc>
          <w:p>
            <w:pPr>
              <w:pStyle w:val="Compact"/>
              <w:jc w:val="left"/>
            </w:pPr>
            <w:r>
              <w:t xml:space="preserve">CEPR (2018)</w:t>
            </w:r>
          </w:p>
        </w:tc>
      </w:tr>
      <w:tr>
        <w:tc>
          <w:p>
            <w:pPr>
              <w:pStyle w:val="Compact"/>
              <w:jc w:val="left"/>
            </w:pPr>
            <w:r>
              <w:t xml:space="preserve">“</w:t>
            </w:r>
            <w:r>
              <w:t xml:space="preserve">Provincial Administration Reports</w:t>
            </w:r>
            <w:r>
              <w:t xml:space="preserve">”</w:t>
            </w:r>
          </w:p>
        </w:tc>
        <w:tc>
          <w:p>
            <w:pPr>
              <w:pStyle w:val="Compact"/>
              <w:jc w:val="left"/>
            </w:pPr>
            <w:r>
              <w:t xml:space="preserve">coast_simplepoint2.csv; rivers_simplepoint2.csv; RAIL_dummies.dta; railways_Dissolve_Simplify_point2.csv</w:t>
            </w:r>
          </w:p>
        </w:tc>
        <w:tc>
          <w:p>
            <w:pPr>
              <w:pStyle w:val="Compact"/>
              <w:jc w:val="left"/>
            </w:pPr>
            <w:r>
              <w:t xml:space="preserve">Data/maps/</w:t>
            </w:r>
          </w:p>
        </w:tc>
        <w:tc>
          <w:p>
            <w:pPr>
              <w:pStyle w:val="Compact"/>
              <w:jc w:val="left"/>
            </w:pPr>
            <w:r>
              <w:t xml:space="preserve">TRUE</w:t>
            </w:r>
          </w:p>
        </w:tc>
        <w:tc>
          <w:p>
            <w:pPr>
              <w:pStyle w:val="Compact"/>
              <w:jc w:val="left"/>
            </w:pPr>
            <w:r>
              <w:t xml:space="preserve">Administration (2017)</w:t>
            </w:r>
          </w:p>
        </w:tc>
      </w:tr>
      <w:tr>
        <w:tc>
          <w:p>
            <w:pPr>
              <w:pStyle w:val="Compact"/>
              <w:jc w:val="left"/>
            </w:pPr>
            <w:r>
              <w:t xml:space="preserve">“</w:t>
            </w:r>
            <w:r>
              <w:t xml:space="preserve">2017 SAT scores</w:t>
            </w:r>
            <w:r>
              <w:t xml:space="preserve">”</w:t>
            </w:r>
          </w:p>
        </w:tc>
        <w:tc>
          <w:p>
            <w:pPr>
              <w:pStyle w:val="Compact"/>
              <w:jc w:val="left"/>
            </w:pPr>
            <w:r>
              <w:t xml:space="preserve">Not available</w:t>
            </w:r>
          </w:p>
        </w:tc>
        <w:tc>
          <w:p>
            <w:pPr>
              <w:pStyle w:val="Compact"/>
              <w:jc w:val="left"/>
            </w:pPr>
            <w:r>
              <w:t xml:space="preserve">data/to_clean/</w:t>
            </w:r>
          </w:p>
        </w:tc>
        <w:tc>
          <w:p>
            <w:pPr>
              <w:pStyle w:val="Compact"/>
              <w:jc w:val="left"/>
            </w:pPr>
            <w:r>
              <w:t xml:space="preserve">FALSE</w:t>
            </w:r>
          </w:p>
        </w:tc>
        <w:tc>
          <w:p>
            <w:pPr>
              <w:pStyle w:val="Compact"/>
              <w:jc w:val="left"/>
            </w:pPr>
            <w:r>
              <w:t xml:space="preserve">College Board (2020)</w:t>
            </w:r>
          </w:p>
        </w:tc>
      </w:tr>
    </w:tbl>
    <w:p>
      <w:pPr>
        <w:pStyle w:val="BodyText"/>
      </w:pPr>
      <w:r>
        <w:t xml:space="preserve">where the</w:t>
      </w:r>
      <w:r>
        <w:t xml:space="preserve"> </w:t>
      </w:r>
      <w:r>
        <w:rPr>
          <w:rStyle w:val="VerbatimChar"/>
        </w:rPr>
        <w:t xml:space="preserve">Data.Name</w:t>
      </w:r>
      <w:r>
        <w:t xml:space="preserve"> </w:t>
      </w:r>
      <w:r>
        <w:t xml:space="preserve">column is then expanded in the subsequent paragraphs, and</w:t>
      </w:r>
      <w:r>
        <w:t xml:space="preserve"> </w:t>
      </w:r>
      <w:r>
        <w:rPr>
          <w:rStyle w:val="VerbatimChar"/>
        </w:rPr>
        <w:t xml:space="preserve">CEPR (2018)</w:t>
      </w:r>
      <w:r>
        <w:t xml:space="preserve"> </w:t>
      </w:r>
      <w:r>
        <w:t xml:space="preserve">is resolved in the References section of the README.</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pPr>
        <w:pStyle w:val="BlockText"/>
      </w:pPr>
      <w:r>
        <w:t xml:space="preserve">INSTRUCTIONS: While it is often most convenient to provide data in the native format of the software used to analyze and process the data, not all formats are</w:t>
      </w:r>
      <w:r>
        <w:t xml:space="preserve"> </w:t>
      </w:r>
      <w:r>
        <w:t xml:space="preserve">“</w:t>
      </w:r>
      <w:r>
        <w:t xml:space="preserve">open</w:t>
      </w:r>
      <w:r>
        <w:t xml:space="preserve">”</w:t>
      </w:r>
      <w:r>
        <w:t xml:space="preserve"> </w:t>
      </w:r>
      <w:r>
        <w:t xml:space="preserve">and can be read by other (free) software. Data should at a minimum be provided in formats that can be read by open-source software (R, Python, others), and ideally be provided in non-proprietary, archival-friendly formats.</w:t>
      </w:r>
    </w:p>
    <w:p>
      <w:pPr>
        <w:pStyle w:val="BlockText"/>
      </w:pPr>
      <w:r>
        <w:t xml:space="preserve">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pPr>
        <w:pStyle w:val="BlockText"/>
      </w:pPr>
      <w:r>
        <w:t xml:space="preserve">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Julia</w:t>
        </w:r>
      </w:hyperlink>
      <w:r>
        <w:t xml:space="preserve"> </w:t>
      </w:r>
      <w:r>
        <w:t xml:space="preserve">are easy to set up and implement. Specific software may have more sophisticated tools:</w:t>
      </w:r>
      <w:r>
        <w:t xml:space="preserve"> </w:t>
      </w:r>
      <w:hyperlink r:id="rId51">
        <w:r>
          <w:rPr>
            <w:rStyle w:val="Hyperlink"/>
          </w:rPr>
          <w:t xml:space="preserve">Python</w:t>
        </w:r>
      </w:hyperlink>
      <w:r>
        <w:t xml:space="preserve">,</w:t>
      </w:r>
      <w:r>
        <w:t xml:space="preserve"> </w:t>
      </w:r>
      <w:hyperlink r:id="rId52">
        <w:r>
          <w:rPr>
            <w:rStyle w:val="Hyperlink"/>
          </w:rPr>
          <w:t xml:space="preserve">Julia</w:t>
        </w:r>
      </w:hyperlink>
      <w:r>
        <w:t xml:space="preserve">.</w:t>
      </w:r>
    </w:p>
    <w:p>
      <w:pPr>
        <w:pStyle w:val="Heading3"/>
      </w:pPr>
      <w:bookmarkStart w:id="53" w:name="software-requirements"/>
      <w:r>
        <w:t xml:space="preserve">Software Requirements</w:t>
      </w:r>
      <w:bookmarkEnd w:id="53"/>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1">
        <w:r>
          <w:rPr>
            <w:rStyle w:val="Hyperlink"/>
          </w:rPr>
          <w:t xml:space="preserve">https://pip.pypa.io/en/stable/user_guide/#ensuring-repeatability</w:t>
        </w:r>
      </w:hyperlink>
      <w:r>
        <w:t xml:space="preserve"> </w:t>
      </w:r>
      <w:r>
        <w:t xml:space="preserve">for further instructions on creating and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4" w:name="controlled-randomness"/>
      <w:r>
        <w:t xml:space="preserve">Controlled Randomness</w:t>
      </w:r>
      <w:bookmarkEnd w:id="54"/>
    </w:p>
    <w:p>
      <w:pPr>
        <w:pStyle w:val="BlockText"/>
      </w:pPr>
      <w:r>
        <w:t xml:space="preserve">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w:t>
      </w:r>
    </w:p>
    <w:p>
      <w:pPr>
        <w:numPr>
          <w:ilvl w:val="0"/>
          <w:numId w:val="1009"/>
        </w:numPr>
      </w:pPr>
      <w:r>
        <w:t xml:space="preserve">☐ Random seed is set at line _____ of program ______</w:t>
      </w:r>
    </w:p>
    <w:p>
      <w:pPr>
        <w:pStyle w:val="Heading3"/>
      </w:pPr>
      <w:bookmarkStart w:id="55" w:name="memory-and-runtime-requirements"/>
      <w:r>
        <w:t xml:space="preserve">Memory and Runtime Requirements</w:t>
      </w:r>
      <w:bookmarkEnd w:id="5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6" w:name="summary"/>
      <w:r>
        <w:t xml:space="preserve">Summary</w:t>
      </w:r>
      <w:bookmarkEnd w:id="56"/>
    </w:p>
    <w:p>
      <w:pPr>
        <w:pStyle w:val="FirstParagraph"/>
      </w:pPr>
      <w:r>
        <w:t xml:space="preserve">Approximate time needed to reproduce the analyses on a standard (CURRENT YEAR) desktop machine:</w:t>
      </w:r>
    </w:p>
    <w:p>
      <w:pPr>
        <w:numPr>
          <w:ilvl w:val="0"/>
          <w:numId w:val="1010"/>
        </w:numPr>
      </w:pPr>
      <w:r>
        <w:t xml:space="preserve">☐ &lt;10 minutes</w:t>
      </w:r>
    </w:p>
    <w:p>
      <w:pPr>
        <w:numPr>
          <w:ilvl w:val="0"/>
          <w:numId w:val="1010"/>
        </w:numPr>
      </w:pPr>
      <w:r>
        <w:t xml:space="preserve">☐ 10-60 minutes</w:t>
      </w:r>
    </w:p>
    <w:p>
      <w:pPr>
        <w:numPr>
          <w:ilvl w:val="0"/>
          <w:numId w:val="1010"/>
        </w:numPr>
      </w:pPr>
      <w:r>
        <w:t xml:space="preserve">☐ 1-2 hours</w:t>
      </w:r>
    </w:p>
    <w:p>
      <w:pPr>
        <w:numPr>
          <w:ilvl w:val="0"/>
          <w:numId w:val="1010"/>
        </w:numPr>
      </w:pPr>
      <w:r>
        <w:t xml:space="preserve">☐ 2-8 hours</w:t>
      </w:r>
    </w:p>
    <w:p>
      <w:pPr>
        <w:numPr>
          <w:ilvl w:val="0"/>
          <w:numId w:val="1010"/>
        </w:numPr>
      </w:pPr>
      <w:r>
        <w:t xml:space="preserve">☐ 8-24 hours</w:t>
      </w:r>
    </w:p>
    <w:p>
      <w:pPr>
        <w:numPr>
          <w:ilvl w:val="0"/>
          <w:numId w:val="1010"/>
        </w:numPr>
      </w:pPr>
      <w:r>
        <w:t xml:space="preserve">☐ 1-3 days</w:t>
      </w:r>
    </w:p>
    <w:p>
      <w:pPr>
        <w:numPr>
          <w:ilvl w:val="0"/>
          <w:numId w:val="1010"/>
        </w:numPr>
      </w:pPr>
      <w:r>
        <w:t xml:space="preserve">☐ 3-14 days</w:t>
      </w:r>
    </w:p>
    <w:p>
      <w:pPr>
        <w:numPr>
          <w:ilvl w:val="0"/>
          <w:numId w:val="1010"/>
        </w:numPr>
      </w:pPr>
      <w:r>
        <w:t xml:space="preserve">☐ &gt; 14 days</w:t>
      </w:r>
    </w:p>
    <w:p>
      <w:pPr>
        <w:numPr>
          <w:ilvl w:val="0"/>
          <w:numId w:val="1010"/>
        </w:numPr>
      </w:pPr>
      <w:r>
        <w:t xml:space="preserve">☐ Not feasible to run on a desktop machine, as described below.</w:t>
      </w:r>
    </w:p>
    <w:p>
      <w:pPr>
        <w:pStyle w:val="Heading4"/>
      </w:pPr>
      <w:bookmarkStart w:id="57" w:name="details"/>
      <w:r>
        <w:t xml:space="preserve">Details</w:t>
      </w:r>
      <w:bookmarkEnd w:id="57"/>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1"/>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1"/>
        </w:numPr>
        <w:pStyle w:val="BlockText"/>
      </w:pPr>
      <w:r>
        <w:t xml:space="preserve">(Mac) Apple-menu &gt;</w:t>
      </w:r>
      <w:r>
        <w:t xml:space="preserve"> </w:t>
      </w:r>
      <w:r>
        <w:t xml:space="preserve">“</w:t>
      </w:r>
      <w:r>
        <w:t xml:space="preserve">About this Mac</w:t>
      </w:r>
      <w:r>
        <w:t xml:space="preserve">”</w:t>
      </w:r>
    </w:p>
    <w:p>
      <w:pPr>
        <w:numPr>
          <w:ilvl w:val="0"/>
          <w:numId w:val="1011"/>
        </w:numPr>
        <w:pStyle w:val="BlockText"/>
      </w:pPr>
      <w:r>
        <w:t xml:space="preserve">(Linux) see code in</w:t>
      </w:r>
      <w:r>
        <w:t xml:space="preserve"> </w:t>
      </w:r>
      <w:hyperlink r:id="rId58">
        <w:r>
          <w:rPr>
            <w:rStyle w:val="Hyperlink"/>
          </w:rPr>
          <w:t xml:space="preserve">tools/linux-system-info.sh</w:t>
        </w:r>
      </w:hyperlink>
      <w:r>
        <w:t xml:space="preserve">`</w:t>
      </w:r>
    </w:p>
    <w:p>
      <w:pPr>
        <w:pStyle w:val="Heading2"/>
      </w:pPr>
      <w:bookmarkStart w:id="59" w:name="description-of-programscode"/>
      <w:r>
        <w:t xml:space="preserve">Description of programs/code</w:t>
      </w:r>
      <w:bookmarkEnd w:id="59"/>
    </w:p>
    <w:p>
      <w:pPr>
        <w:pStyle w:val="BlockText"/>
      </w:pPr>
      <w:r>
        <w:t xml:space="preserve">INSTRUCTIONS: Give a high-level overview of the program files and their purpose. Remove redundant/ obsolete files from the Replication archive.</w:t>
      </w:r>
    </w:p>
    <w:p>
      <w:pPr>
        <w:numPr>
          <w:ilvl w:val="0"/>
          <w:numId w:val="1012"/>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programs/01_dataprep/main.do</w:t>
      </w:r>
      <w:r>
        <w:t xml:space="preserve"> </w:t>
      </w:r>
      <w:r>
        <w:t xml:space="preserve">will run them all.</w:t>
      </w:r>
    </w:p>
    <w:p>
      <w:pPr>
        <w:numPr>
          <w:ilvl w:val="0"/>
          <w:numId w:val="1012"/>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programs/02_analysis/main.do</w:t>
      </w:r>
      <w:r>
        <w:t xml:space="preserve"> </w:t>
      </w:r>
      <w:r>
        <w:t xml:space="preserve">will run them all. Each program called from</w:t>
      </w:r>
      <w:r>
        <w:t xml:space="preserve"> </w:t>
      </w:r>
      <w:r>
        <w:rPr>
          <w:rStyle w:val="VerbatimChar"/>
        </w:rPr>
        <w:t xml:space="preserve">main.do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2"/>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programs/03_appendix/main-appendix.do</w:t>
      </w:r>
      <w:r>
        <w:t xml:space="preserve"> </w:t>
      </w:r>
      <w:r>
        <w:t xml:space="preserve">will run them all.</w:t>
      </w:r>
    </w:p>
    <w:p>
      <w:pPr>
        <w:numPr>
          <w:ilvl w:val="0"/>
          <w:numId w:val="1012"/>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main.do</w:t>
      </w:r>
      <w:r>
        <w:t xml:space="preserve"> </w:t>
      </w:r>
      <w:r>
        <w:t xml:space="preserve">files set the ADO directories appropriately.</w:t>
      </w:r>
    </w:p>
    <w:p>
      <w:pPr>
        <w:numPr>
          <w:ilvl w:val="0"/>
          <w:numId w:val="1012"/>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2"/>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60" w:name="X84fd486c3cefb2398663d3a0f3c6e537ec53bf0"/>
      <w:r>
        <w:t xml:space="preserve">(Optional, but recommended) License for Code</w:t>
      </w:r>
      <w:bookmarkEnd w:id="60"/>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3">
        <w:r>
          <w:rPr>
            <w:rStyle w:val="Hyperlink"/>
          </w:rPr>
          <w:t xml:space="preserve">here</w:t>
        </w:r>
      </w:hyperlink>
      <w:r>
        <w:t xml:space="preserve">.</w:t>
      </w:r>
    </w:p>
    <w:p>
      <w:pPr>
        <w:pStyle w:val="FirstParagraph"/>
      </w:pPr>
      <w:r>
        <w:t xml:space="preserve">The code is licensed under a MIT/BSD/GPL [choose one!] license. See</w:t>
      </w:r>
      <w:r>
        <w:t xml:space="preserve"> </w:t>
      </w:r>
      <w:hyperlink r:id="rId31">
        <w:r>
          <w:rPr>
            <w:rStyle w:val="Hyperlink"/>
          </w:rPr>
          <w:t xml:space="preserve">LICENSE.txt</w:t>
        </w:r>
      </w:hyperlink>
      <w:r>
        <w:t xml:space="preserve"> </w:t>
      </w:r>
      <w:r>
        <w:t xml:space="preserve">for details.</w:t>
      </w:r>
    </w:p>
    <w:p>
      <w:pPr>
        <w:pStyle w:val="Heading2"/>
      </w:pPr>
      <w:bookmarkStart w:id="61" w:name="instructions-to-replicators"/>
      <w:r>
        <w:t xml:space="preserve">Instructions to Replicators</w:t>
      </w:r>
      <w:bookmarkEnd w:id="61"/>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pPr>
        <w:numPr>
          <w:ilvl w:val="0"/>
          <w:numId w:val="1013"/>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3"/>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3"/>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3"/>
        </w:numPr>
      </w:pPr>
      <w:r>
        <w:t xml:space="preserve">Run</w:t>
      </w:r>
      <w:r>
        <w:t xml:space="preserve"> </w:t>
      </w:r>
      <w:r>
        <w:rPr>
          <w:rStyle w:val="VerbatimChar"/>
        </w:rPr>
        <w:t xml:space="preserve">programs/01_main.do</w:t>
      </w:r>
      <w:r>
        <w:t xml:space="preserve"> </w:t>
      </w:r>
      <w:r>
        <w:t xml:space="preserve">to run all steps in sequence.</w:t>
      </w:r>
    </w:p>
    <w:p>
      <w:pPr>
        <w:pStyle w:val="Heading3"/>
      </w:pPr>
      <w:bookmarkStart w:id="62" w:name="details-1"/>
      <w:r>
        <w:t xml:space="preserve">Details</w:t>
      </w:r>
      <w:bookmarkEnd w:id="62"/>
    </w:p>
    <w:p>
      <w:pPr>
        <w:numPr>
          <w:ilvl w:val="0"/>
          <w:numId w:val="1014"/>
        </w:numPr>
      </w:pPr>
      <w:r>
        <w:rPr>
          <w:rStyle w:val="VerbatimChar"/>
        </w:rPr>
        <w:t xml:space="preserve">programs/00_setup.do</w:t>
      </w:r>
      <w:r>
        <w:t xml:space="preserve">: will create all output directories, install needed ado packages.</w:t>
      </w:r>
    </w:p>
    <w:p>
      <w:pPr>
        <w:numPr>
          <w:ilvl w:val="1"/>
          <w:numId w:val="1015"/>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4"/>
        </w:numPr>
      </w:pPr>
      <w:r>
        <w:rPr>
          <w:rStyle w:val="VerbatimChar"/>
        </w:rPr>
        <w:t xml:space="preserve">programs/01_dataprep</w:t>
      </w:r>
      <w:r>
        <w:t xml:space="preserve">:</w:t>
      </w:r>
    </w:p>
    <w:p>
      <w:pPr>
        <w:numPr>
          <w:ilvl w:val="1"/>
          <w:numId w:val="1016"/>
        </w:numPr>
      </w:pPr>
      <w:r>
        <w:t xml:space="preserve">These programs were last run at various times in 2018.</w:t>
      </w:r>
    </w:p>
    <w:p>
      <w:pPr>
        <w:numPr>
          <w:ilvl w:val="1"/>
          <w:numId w:val="1016"/>
        </w:numPr>
      </w:pPr>
      <w:r>
        <w:t xml:space="preserve">Order does not matter, all programs can be run in parallel, if needed.</w:t>
      </w:r>
    </w:p>
    <w:p>
      <w:pPr>
        <w:numPr>
          <w:ilvl w:val="1"/>
          <w:numId w:val="1016"/>
        </w:numPr>
      </w:pPr>
      <w:r>
        <w:t xml:space="preserve">A</w:t>
      </w:r>
      <w:r>
        <w:t xml:space="preserve"> </w:t>
      </w:r>
      <w:r>
        <w:rPr>
          <w:rStyle w:val="VerbatimChar"/>
        </w:rPr>
        <w:t xml:space="preserve">programs/01_dataprep/main.do</w:t>
      </w:r>
      <w:r>
        <w:t xml:space="preserve"> </w:t>
      </w:r>
      <w:r>
        <w:t xml:space="preserve">will run them all in sequence, which should take about 2 hours.</w:t>
      </w:r>
    </w:p>
    <w:p>
      <w:pPr>
        <w:numPr>
          <w:ilvl w:val="0"/>
          <w:numId w:val="1014"/>
        </w:numPr>
      </w:pPr>
      <w:r>
        <w:rPr>
          <w:rStyle w:val="VerbatimChar"/>
        </w:rPr>
        <w:t xml:space="preserve">programs/02_analysis/main.do</w:t>
      </w:r>
      <w:r>
        <w:t xml:space="preserve">.</w:t>
      </w:r>
    </w:p>
    <w:p>
      <w:pPr>
        <w:numPr>
          <w:ilvl w:val="1"/>
          <w:numId w:val="1017"/>
        </w:numPr>
      </w:pPr>
      <w:r>
        <w:t xml:space="preserve">If running programs individually, note that ORDER IS IMPORTANT.</w:t>
      </w:r>
    </w:p>
    <w:p>
      <w:pPr>
        <w:numPr>
          <w:ilvl w:val="1"/>
          <w:numId w:val="1017"/>
        </w:numPr>
      </w:pPr>
      <w:r>
        <w:t xml:space="preserve">The programs were last run top to bottom on July 4, 2019.</w:t>
      </w:r>
    </w:p>
    <w:p>
      <w:pPr>
        <w:numPr>
          <w:ilvl w:val="0"/>
          <w:numId w:val="1014"/>
        </w:numPr>
      </w:pPr>
      <w:r>
        <w:rPr>
          <w:rStyle w:val="VerbatimChar"/>
        </w:rPr>
        <w:t xml:space="preserve">programs/03_appendix/main-appendix.do</w:t>
      </w:r>
      <w:r>
        <w:t xml:space="preserve">. The programs were last run top to bottom on July 4, 2019.</w:t>
      </w:r>
    </w:p>
    <w:p>
      <w:pPr>
        <w:numPr>
          <w:ilvl w:val="0"/>
          <w:numId w:val="1014"/>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8"/>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8"/>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8"/>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3" w:name="list-of-tables-and-programs"/>
      <w:r>
        <w:t xml:space="preserve">List of tables and programs</w:t>
      </w:r>
      <w:bookmarkEnd w:id="63"/>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9"/>
        </w:numPr>
      </w:pPr>
      <w:r>
        <w:t xml:space="preserve">☐ All numbers provided in text in the paper</w:t>
      </w:r>
    </w:p>
    <w:p>
      <w:pPr>
        <w:numPr>
          <w:ilvl w:val="0"/>
          <w:numId w:val="1019"/>
        </w:numPr>
      </w:pPr>
      <w:r>
        <w:t xml:space="preserve">☐ All tables and figures in the paper</w:t>
      </w:r>
    </w:p>
    <w:p>
      <w:pPr>
        <w:numPr>
          <w:ilvl w:val="0"/>
          <w:numId w:val="1019"/>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4" w:name="references"/>
      <w:r>
        <w:t xml:space="preserve">References</w:t>
      </w:r>
      <w:bookmarkEnd w:id="64"/>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5" w:name="acknowledgements"/>
      <w:r>
        <w:t xml:space="preserve">Acknowledgements</w:t>
      </w:r>
      <w:bookmarkEnd w:id="65"/>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2022-11-04T19:18:33Z</dcterms:created>
  <dcterms:modified xsi:type="dcterms:W3CDTF">2022-11-04T19:18:33Z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