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2A" w:rsidRPr="00C04EEB" w:rsidRDefault="00DC1065" w:rsidP="00C04EEB">
      <w:pPr>
        <w:pStyle w:val="Title"/>
        <w:spacing w:line="276" w:lineRule="auto"/>
        <w:jc w:val="center"/>
        <w:rPr>
          <w:rFonts w:ascii="Tahoma" w:hAnsi="Tahoma" w:cs="Tahoma"/>
          <w:sz w:val="24"/>
          <w:szCs w:val="26"/>
        </w:rPr>
      </w:pPr>
      <w:r w:rsidRPr="00C04EEB">
        <w:rPr>
          <w:rFonts w:ascii="Tahoma" w:hAnsi="Tahoma" w:cs="Tahoma"/>
          <w:sz w:val="24"/>
          <w:szCs w:val="26"/>
        </w:rPr>
        <w:t>Implementasi Permen ESDM 37/2016 Tentang Partisipasi Interes (PI):</w:t>
      </w:r>
    </w:p>
    <w:p w:rsidR="00DC1065" w:rsidRPr="00C04EEB" w:rsidRDefault="00F620D1" w:rsidP="00C04EEB">
      <w:pPr>
        <w:pStyle w:val="Title"/>
        <w:spacing w:line="276" w:lineRule="auto"/>
        <w:jc w:val="center"/>
        <w:rPr>
          <w:rFonts w:ascii="Tahoma" w:hAnsi="Tahoma" w:cs="Tahoma"/>
          <w:b/>
          <w:sz w:val="24"/>
          <w:szCs w:val="26"/>
        </w:rPr>
      </w:pPr>
      <w:r>
        <w:rPr>
          <w:rFonts w:ascii="Tahoma" w:hAnsi="Tahoma" w:cs="Tahoma"/>
          <w:b/>
          <w:sz w:val="24"/>
          <w:szCs w:val="26"/>
        </w:rPr>
        <w:t xml:space="preserve">BUMD Migas </w:t>
      </w:r>
      <w:r w:rsidR="00DC1065" w:rsidRPr="00C04EEB">
        <w:rPr>
          <w:rFonts w:ascii="Tahoma" w:hAnsi="Tahoma" w:cs="Tahoma"/>
          <w:b/>
          <w:sz w:val="24"/>
          <w:szCs w:val="26"/>
        </w:rPr>
        <w:t>Sumbang PAD dan Kembangkan Usaha Migas</w:t>
      </w:r>
    </w:p>
    <w:p w:rsidR="004B396E" w:rsidRPr="00C04EEB" w:rsidRDefault="004B396E" w:rsidP="00C04EEB">
      <w:pPr>
        <w:spacing w:line="276" w:lineRule="auto"/>
        <w:jc w:val="center"/>
        <w:rPr>
          <w:rFonts w:ascii="Tahoma" w:hAnsi="Tahoma" w:cs="Tahoma"/>
          <w:i/>
          <w:sz w:val="24"/>
          <w:szCs w:val="26"/>
        </w:rPr>
      </w:pPr>
    </w:p>
    <w:p w:rsidR="00DC1065" w:rsidRPr="00C04EEB" w:rsidRDefault="004B396E" w:rsidP="00C04EEB">
      <w:pPr>
        <w:spacing w:line="276" w:lineRule="auto"/>
        <w:jc w:val="center"/>
        <w:rPr>
          <w:rFonts w:ascii="Tahoma" w:hAnsi="Tahoma" w:cs="Tahoma"/>
          <w:i/>
          <w:sz w:val="20"/>
          <w:szCs w:val="26"/>
        </w:rPr>
      </w:pPr>
      <w:r w:rsidRPr="00C04EEB">
        <w:rPr>
          <w:rFonts w:ascii="Tahoma" w:hAnsi="Tahoma" w:cs="Tahoma"/>
          <w:i/>
          <w:sz w:val="20"/>
          <w:szCs w:val="26"/>
        </w:rPr>
        <w:t>Muhamad Sani</w:t>
      </w:r>
    </w:p>
    <w:p w:rsidR="004B396E" w:rsidRDefault="004B396E" w:rsidP="00C04EEB">
      <w:pPr>
        <w:spacing w:line="276" w:lineRule="auto"/>
        <w:jc w:val="center"/>
        <w:rPr>
          <w:rFonts w:ascii="Tahoma" w:hAnsi="Tahoma" w:cs="Tahoma"/>
          <w:i/>
          <w:sz w:val="20"/>
          <w:szCs w:val="26"/>
          <w:lang w:val="en-US"/>
        </w:rPr>
      </w:pPr>
      <w:r w:rsidRPr="00C04EEB">
        <w:rPr>
          <w:rFonts w:ascii="Tahoma" w:hAnsi="Tahoma" w:cs="Tahoma"/>
          <w:i/>
          <w:sz w:val="20"/>
          <w:szCs w:val="26"/>
        </w:rPr>
        <w:t>Deputi Kajian Kebijakan Publik – Asosiasi Daerah Penghasil Migas</w:t>
      </w:r>
      <w:r w:rsidR="00BE68A2">
        <w:rPr>
          <w:rFonts w:ascii="Tahoma" w:hAnsi="Tahoma" w:cs="Tahoma"/>
          <w:i/>
          <w:sz w:val="20"/>
          <w:szCs w:val="26"/>
          <w:lang w:val="en-US"/>
        </w:rPr>
        <w:t xml:space="preserve"> </w:t>
      </w:r>
      <w:proofErr w:type="spellStart"/>
      <w:r w:rsidR="00BE68A2">
        <w:rPr>
          <w:rFonts w:ascii="Tahoma" w:hAnsi="Tahoma" w:cs="Tahoma"/>
          <w:i/>
          <w:sz w:val="20"/>
          <w:szCs w:val="26"/>
          <w:lang w:val="en-US"/>
        </w:rPr>
        <w:t>dan</w:t>
      </w:r>
      <w:proofErr w:type="spellEnd"/>
      <w:r w:rsidR="00BE68A2">
        <w:rPr>
          <w:rFonts w:ascii="Tahoma" w:hAnsi="Tahoma" w:cs="Tahoma"/>
          <w:i/>
          <w:sz w:val="20"/>
          <w:szCs w:val="26"/>
          <w:lang w:val="en-US"/>
        </w:rPr>
        <w:t xml:space="preserve"> </w:t>
      </w:r>
      <w:proofErr w:type="spellStart"/>
      <w:r w:rsidR="00BE68A2">
        <w:rPr>
          <w:rFonts w:ascii="Tahoma" w:hAnsi="Tahoma" w:cs="Tahoma"/>
          <w:i/>
          <w:sz w:val="20"/>
          <w:szCs w:val="26"/>
          <w:lang w:val="en-US"/>
        </w:rPr>
        <w:t>Energi</w:t>
      </w:r>
      <w:proofErr w:type="spellEnd"/>
      <w:r w:rsidR="00BE68A2">
        <w:rPr>
          <w:rFonts w:ascii="Tahoma" w:hAnsi="Tahoma" w:cs="Tahoma"/>
          <w:i/>
          <w:sz w:val="20"/>
          <w:szCs w:val="26"/>
          <w:lang w:val="en-US"/>
        </w:rPr>
        <w:t xml:space="preserve"> </w:t>
      </w:r>
      <w:proofErr w:type="spellStart"/>
      <w:r w:rsidR="00BE68A2">
        <w:rPr>
          <w:rFonts w:ascii="Tahoma" w:hAnsi="Tahoma" w:cs="Tahoma"/>
          <w:i/>
          <w:sz w:val="20"/>
          <w:szCs w:val="26"/>
          <w:lang w:val="en-US"/>
        </w:rPr>
        <w:t>Terbarukan</w:t>
      </w:r>
      <w:proofErr w:type="spellEnd"/>
      <w:r w:rsidRPr="00C04EEB">
        <w:rPr>
          <w:rFonts w:ascii="Tahoma" w:hAnsi="Tahoma" w:cs="Tahoma"/>
          <w:i/>
          <w:sz w:val="20"/>
          <w:szCs w:val="26"/>
        </w:rPr>
        <w:t xml:space="preserve"> (ADPM</w:t>
      </w:r>
      <w:r w:rsidR="00BE68A2">
        <w:rPr>
          <w:rFonts w:ascii="Tahoma" w:hAnsi="Tahoma" w:cs="Tahoma"/>
          <w:i/>
          <w:sz w:val="20"/>
          <w:szCs w:val="26"/>
          <w:lang w:val="en-US"/>
        </w:rPr>
        <w:t>ET</w:t>
      </w:r>
      <w:r w:rsidRPr="00C04EEB">
        <w:rPr>
          <w:rFonts w:ascii="Tahoma" w:hAnsi="Tahoma" w:cs="Tahoma"/>
          <w:i/>
          <w:sz w:val="20"/>
          <w:szCs w:val="26"/>
        </w:rPr>
        <w:t>)</w:t>
      </w:r>
    </w:p>
    <w:p w:rsidR="00BE68A2" w:rsidRPr="00BE68A2" w:rsidRDefault="00BE68A2" w:rsidP="00BE68A2">
      <w:pPr>
        <w:spacing w:after="0" w:line="240" w:lineRule="auto"/>
        <w:jc w:val="center"/>
        <w:rPr>
          <w:rFonts w:ascii="Tahoma" w:hAnsi="Tahoma" w:cs="Tahoma"/>
          <w:i/>
          <w:sz w:val="20"/>
          <w:szCs w:val="26"/>
          <w:lang w:val="en-US"/>
        </w:rPr>
      </w:pPr>
      <w:r>
        <w:rPr>
          <w:rFonts w:ascii="Tahoma" w:hAnsi="Tahoma" w:cs="Tahoma"/>
          <w:i/>
          <w:noProof/>
          <w:sz w:val="20"/>
          <w:szCs w:val="26"/>
          <w:lang w:val="en-US"/>
        </w:rPr>
        <w:drawing>
          <wp:inline distT="0" distB="0" distL="0" distR="0" wp14:anchorId="30E9043B" wp14:editId="76540CFE">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WJ.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4B396E" w:rsidRDefault="00BE68A2" w:rsidP="00BE68A2">
      <w:pPr>
        <w:spacing w:after="0" w:line="240" w:lineRule="auto"/>
        <w:jc w:val="both"/>
        <w:rPr>
          <w:rFonts w:ascii="Garamond" w:hAnsi="Garamond"/>
          <w:sz w:val="18"/>
          <w:szCs w:val="26"/>
          <w:lang w:val="en-US"/>
        </w:rPr>
      </w:pPr>
      <w:proofErr w:type="spellStart"/>
      <w:r w:rsidRPr="00BE68A2">
        <w:rPr>
          <w:rFonts w:ascii="Garamond" w:hAnsi="Garamond"/>
          <w:sz w:val="18"/>
          <w:szCs w:val="26"/>
          <w:lang w:val="en-US"/>
        </w:rPr>
        <w:t>Foto</w:t>
      </w:r>
      <w:proofErr w:type="spellEnd"/>
      <w:r w:rsidRPr="00BE68A2">
        <w:rPr>
          <w:rFonts w:ascii="Garamond" w:hAnsi="Garamond"/>
          <w:sz w:val="18"/>
          <w:szCs w:val="26"/>
          <w:lang w:val="en-US"/>
        </w:rPr>
        <w:tab/>
        <w:t>: Portonews.com</w:t>
      </w:r>
    </w:p>
    <w:p w:rsidR="00BE68A2" w:rsidRPr="00BE68A2" w:rsidRDefault="00BE68A2" w:rsidP="00BE68A2">
      <w:pPr>
        <w:spacing w:after="0" w:line="240" w:lineRule="auto"/>
        <w:jc w:val="both"/>
        <w:rPr>
          <w:rFonts w:ascii="Garamond" w:hAnsi="Garamond"/>
          <w:sz w:val="18"/>
          <w:szCs w:val="26"/>
          <w:lang w:val="en-US"/>
        </w:rPr>
      </w:pPr>
      <w:bookmarkStart w:id="0" w:name="_GoBack"/>
      <w:bookmarkEnd w:id="0"/>
    </w:p>
    <w:p w:rsidR="004B396E" w:rsidRPr="00C04EEB" w:rsidRDefault="004B396E" w:rsidP="00C04EEB">
      <w:pPr>
        <w:pStyle w:val="ListParagraph"/>
        <w:numPr>
          <w:ilvl w:val="0"/>
          <w:numId w:val="1"/>
        </w:numPr>
        <w:ind w:left="426" w:hanging="426"/>
        <w:rPr>
          <w:rFonts w:ascii="Garamond" w:hAnsi="Garamond" w:cs="Times New Roman"/>
          <w:b/>
          <w:sz w:val="24"/>
          <w:szCs w:val="26"/>
        </w:rPr>
      </w:pPr>
      <w:proofErr w:type="spellStart"/>
      <w:r w:rsidRPr="00C04EEB">
        <w:rPr>
          <w:rFonts w:ascii="Garamond" w:hAnsi="Garamond" w:cs="Times New Roman"/>
          <w:b/>
          <w:sz w:val="24"/>
          <w:szCs w:val="26"/>
        </w:rPr>
        <w:t>Pendahuluan</w:t>
      </w:r>
      <w:proofErr w:type="spellEnd"/>
    </w:p>
    <w:p w:rsidR="00DC1065" w:rsidRPr="00C04EEB" w:rsidRDefault="004B396E" w:rsidP="00C04EEB">
      <w:pPr>
        <w:spacing w:line="276" w:lineRule="auto"/>
        <w:jc w:val="both"/>
        <w:rPr>
          <w:rFonts w:ascii="Garamond" w:hAnsi="Garamond"/>
          <w:sz w:val="24"/>
          <w:szCs w:val="26"/>
        </w:rPr>
      </w:pPr>
      <w:r w:rsidRPr="00C04EEB">
        <w:rPr>
          <w:rFonts w:ascii="Garamond" w:hAnsi="Garamond"/>
          <w:sz w:val="24"/>
          <w:szCs w:val="26"/>
        </w:rPr>
        <w:t>Pemerintah Indonesia telah mendorong Pemerintah Daerah, khususnya Pemerintah Daerah penghasil minyak dan gas bumi, untuk berpartisipasi secara aktif dalam industri minyak dan gas dalam bentuk PI 10% sejak 2004. Hal ini pertama kali diatur dalam Peraturan Pemerintah (PP) No. 35 tahun 2004 tentang Kegiatan Usaha Hulu Minyak dan Gas Bumi Pasal 34 dimana sejak disetujuinya rencana pengembangan lapangan pertama disetujui oleh Pemerintah, setiap Kontraktor minyak dan gas bumi wajib menawarkan PI 10% kepada Pemerintah Daerah setempat (melalui BUMD).</w:t>
      </w:r>
    </w:p>
    <w:p w:rsidR="004B396E" w:rsidRDefault="004B5D3C" w:rsidP="00C04EEB">
      <w:pPr>
        <w:pStyle w:val="HTMLPreformatted"/>
        <w:rPr>
          <w:rFonts w:ascii="Garamond" w:hAnsi="Garamond" w:cs="Times New Roman"/>
          <w:sz w:val="24"/>
          <w:szCs w:val="26"/>
        </w:rPr>
      </w:pPr>
      <w:proofErr w:type="spellStart"/>
      <w:r>
        <w:rPr>
          <w:rFonts w:ascii="Garamond" w:hAnsi="Garamond" w:cs="Times New Roman"/>
          <w:sz w:val="24"/>
          <w:szCs w:val="26"/>
        </w:rPr>
        <w:t>Setelah</w:t>
      </w:r>
      <w:proofErr w:type="spellEnd"/>
      <w:r>
        <w:rPr>
          <w:rFonts w:ascii="Garamond" w:hAnsi="Garamond" w:cs="Times New Roman"/>
          <w:sz w:val="24"/>
          <w:szCs w:val="26"/>
        </w:rPr>
        <w:t xml:space="preserve"> </w:t>
      </w:r>
      <w:r w:rsidR="004B396E" w:rsidRPr="00C04EEB">
        <w:rPr>
          <w:rFonts w:ascii="Garamond" w:hAnsi="Garamond" w:cs="Times New Roman"/>
          <w:sz w:val="24"/>
          <w:szCs w:val="26"/>
        </w:rPr>
        <w:t xml:space="preserve">PP No. 35 </w:t>
      </w:r>
      <w:proofErr w:type="spellStart"/>
      <w:r w:rsidR="004B396E" w:rsidRPr="00C04EEB">
        <w:rPr>
          <w:rFonts w:ascii="Garamond" w:hAnsi="Garamond" w:cs="Times New Roman"/>
          <w:sz w:val="24"/>
          <w:szCs w:val="26"/>
        </w:rPr>
        <w:t>tahun</w:t>
      </w:r>
      <w:proofErr w:type="spellEnd"/>
      <w:r w:rsidR="004B396E" w:rsidRPr="00C04EEB">
        <w:rPr>
          <w:rFonts w:ascii="Garamond" w:hAnsi="Garamond" w:cs="Times New Roman"/>
          <w:sz w:val="24"/>
          <w:szCs w:val="26"/>
        </w:rPr>
        <w:t xml:space="preserve"> 2004 </w:t>
      </w:r>
      <w:proofErr w:type="spellStart"/>
      <w:r w:rsidR="004B396E" w:rsidRPr="00C04EEB">
        <w:rPr>
          <w:rFonts w:ascii="Garamond" w:hAnsi="Garamond" w:cs="Times New Roman"/>
          <w:sz w:val="24"/>
          <w:szCs w:val="26"/>
        </w:rPr>
        <w:t>dikeluarkan</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beberapa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kontrak</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minyak</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dan</w:t>
      </w:r>
      <w:proofErr w:type="spellEnd"/>
      <w:r w:rsidR="004B396E" w:rsidRPr="00C04EEB">
        <w:rPr>
          <w:rFonts w:ascii="Garamond" w:hAnsi="Garamond" w:cs="Times New Roman"/>
          <w:sz w:val="24"/>
          <w:szCs w:val="26"/>
        </w:rPr>
        <w:t xml:space="preserve"> gas di Indonesia </w:t>
      </w:r>
      <w:proofErr w:type="spellStart"/>
      <w:r w:rsidR="004B396E" w:rsidRPr="00C04EEB">
        <w:rPr>
          <w:rFonts w:ascii="Garamond" w:hAnsi="Garamond" w:cs="Times New Roman"/>
          <w:sz w:val="24"/>
          <w:szCs w:val="26"/>
        </w:rPr>
        <w:t>menghadapi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fase</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terminasi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dimana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otoritas</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menerbitkan</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Peraturan</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Menteri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Energi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dan</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Sumber</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Daya</w:t>
      </w:r>
      <w:proofErr w:type="spellEnd"/>
      <w:r w:rsidR="004B396E" w:rsidRPr="00C04EEB">
        <w:rPr>
          <w:rFonts w:ascii="Garamond" w:hAnsi="Garamond" w:cs="Times New Roman"/>
          <w:sz w:val="24"/>
          <w:szCs w:val="26"/>
        </w:rPr>
        <w:t xml:space="preserve"> Mineral (</w:t>
      </w:r>
      <w:proofErr w:type="spellStart"/>
      <w:r w:rsidR="004B396E" w:rsidRPr="00C04EEB">
        <w:rPr>
          <w:rFonts w:ascii="Garamond" w:hAnsi="Garamond" w:cs="Times New Roman"/>
          <w:sz w:val="24"/>
          <w:szCs w:val="26"/>
        </w:rPr>
        <w:t>Permen</w:t>
      </w:r>
      <w:proofErr w:type="spellEnd"/>
      <w:r w:rsidR="004B396E" w:rsidRPr="00C04EEB">
        <w:rPr>
          <w:rFonts w:ascii="Garamond" w:hAnsi="Garamond" w:cs="Times New Roman"/>
          <w:sz w:val="24"/>
          <w:szCs w:val="26"/>
        </w:rPr>
        <w:t xml:space="preserve"> ESDM) No. 15 </w:t>
      </w:r>
      <w:proofErr w:type="spellStart"/>
      <w:r w:rsidR="004B396E" w:rsidRPr="00C04EEB">
        <w:rPr>
          <w:rFonts w:ascii="Garamond" w:hAnsi="Garamond" w:cs="Times New Roman"/>
          <w:sz w:val="24"/>
          <w:szCs w:val="26"/>
        </w:rPr>
        <w:t>tahun</w:t>
      </w:r>
      <w:proofErr w:type="spellEnd"/>
      <w:r w:rsidR="004B396E" w:rsidRPr="00C04EEB">
        <w:rPr>
          <w:rFonts w:ascii="Garamond" w:hAnsi="Garamond" w:cs="Times New Roman"/>
          <w:sz w:val="24"/>
          <w:szCs w:val="26"/>
        </w:rPr>
        <w:t xml:space="preserve"> 2015 </w:t>
      </w:r>
      <w:proofErr w:type="spellStart"/>
      <w:r w:rsidR="004B396E" w:rsidRPr="00C04EEB">
        <w:rPr>
          <w:rFonts w:ascii="Garamond" w:hAnsi="Garamond" w:cs="Times New Roman"/>
          <w:sz w:val="24"/>
          <w:szCs w:val="26"/>
        </w:rPr>
        <w:t>tentang</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Pengelolaan</w:t>
      </w:r>
      <w:proofErr w:type="spellEnd"/>
      <w:r w:rsidR="004B396E" w:rsidRPr="00C04EEB">
        <w:rPr>
          <w:rFonts w:ascii="Garamond" w:hAnsi="Garamond" w:cs="Times New Roman"/>
          <w:sz w:val="24"/>
          <w:szCs w:val="26"/>
        </w:rPr>
        <w:t xml:space="preserve"> Wilayah </w:t>
      </w:r>
      <w:proofErr w:type="spellStart"/>
      <w:r w:rsidR="004B396E" w:rsidRPr="00C04EEB">
        <w:rPr>
          <w:rFonts w:ascii="Garamond" w:hAnsi="Garamond" w:cs="Times New Roman"/>
          <w:sz w:val="24"/>
          <w:szCs w:val="26"/>
        </w:rPr>
        <w:t>Kerja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Minyak</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dan</w:t>
      </w:r>
      <w:proofErr w:type="spellEnd"/>
      <w:r w:rsidR="004B396E" w:rsidRPr="00C04EEB">
        <w:rPr>
          <w:rFonts w:ascii="Garamond" w:hAnsi="Garamond" w:cs="Times New Roman"/>
          <w:sz w:val="24"/>
          <w:szCs w:val="26"/>
        </w:rPr>
        <w:t xml:space="preserve"> Gas </w:t>
      </w:r>
      <w:proofErr w:type="spellStart"/>
      <w:r w:rsidR="004B396E" w:rsidRPr="00C04EEB">
        <w:rPr>
          <w:rFonts w:ascii="Garamond" w:hAnsi="Garamond" w:cs="Times New Roman"/>
          <w:sz w:val="24"/>
          <w:szCs w:val="26"/>
        </w:rPr>
        <w:t>Bumi</w:t>
      </w:r>
      <w:proofErr w:type="spellEnd"/>
      <w:r w:rsidR="004B396E" w:rsidRPr="00C04EEB">
        <w:rPr>
          <w:rFonts w:ascii="Garamond" w:hAnsi="Garamond" w:cs="Times New Roman"/>
          <w:sz w:val="24"/>
          <w:szCs w:val="26"/>
        </w:rPr>
        <w:t xml:space="preserve"> yang Akan </w:t>
      </w:r>
      <w:proofErr w:type="spellStart"/>
      <w:r w:rsidR="004B396E" w:rsidRPr="00C04EEB">
        <w:rPr>
          <w:rFonts w:ascii="Garamond" w:hAnsi="Garamond" w:cs="Times New Roman"/>
          <w:sz w:val="24"/>
          <w:szCs w:val="26"/>
        </w:rPr>
        <w:t>Berakhir</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Kontrak</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Kerjasamanya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Sekali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lagi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regulasi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ini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mengakomodasi</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peluang</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bagi</w:t>
      </w:r>
      <w:proofErr w:type="spellEnd"/>
      <w:r w:rsidR="004B396E" w:rsidRPr="00C04EEB">
        <w:rPr>
          <w:rFonts w:ascii="Garamond" w:hAnsi="Garamond" w:cs="Times New Roman"/>
          <w:sz w:val="24"/>
          <w:szCs w:val="26"/>
        </w:rPr>
        <w:t xml:space="preserve"> BUMD </w:t>
      </w:r>
      <w:proofErr w:type="spellStart"/>
      <w:r w:rsidR="004B396E" w:rsidRPr="00C04EEB">
        <w:rPr>
          <w:rFonts w:ascii="Garamond" w:hAnsi="Garamond" w:cs="Times New Roman"/>
          <w:sz w:val="24"/>
          <w:szCs w:val="26"/>
        </w:rPr>
        <w:t>untuk</w:t>
      </w:r>
      <w:proofErr w:type="spellEnd"/>
      <w:r>
        <w:rPr>
          <w:rFonts w:ascii="Garamond" w:hAnsi="Garamond" w:cs="Times New Roman"/>
          <w:sz w:val="24"/>
          <w:szCs w:val="26"/>
          <w:lang w:val="id-ID"/>
        </w:rPr>
        <w:t xml:space="preserve"> </w:t>
      </w:r>
      <w:proofErr w:type="spellStart"/>
      <w:r w:rsidR="004B396E" w:rsidRPr="00C04EEB">
        <w:rPr>
          <w:rFonts w:ascii="Garamond" w:hAnsi="Garamond" w:cs="Times New Roman"/>
          <w:sz w:val="24"/>
          <w:szCs w:val="26"/>
        </w:rPr>
        <w:t>ikut</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serta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dalam</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pengelolaan</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suatu</w:t>
      </w:r>
      <w:proofErr w:type="spellEnd"/>
      <w:r w:rsidR="004B396E" w:rsidRPr="00C04EEB">
        <w:rPr>
          <w:rFonts w:ascii="Garamond" w:hAnsi="Garamond" w:cs="Times New Roman"/>
          <w:sz w:val="24"/>
          <w:szCs w:val="26"/>
        </w:rPr>
        <w:t xml:space="preserve"> </w:t>
      </w:r>
      <w:proofErr w:type="spellStart"/>
      <w:proofErr w:type="gramStart"/>
      <w:r w:rsidR="004B396E" w:rsidRPr="00C04EEB">
        <w:rPr>
          <w:rFonts w:ascii="Garamond" w:hAnsi="Garamond" w:cs="Times New Roman"/>
          <w:sz w:val="24"/>
          <w:szCs w:val="26"/>
        </w:rPr>
        <w:t>blok</w:t>
      </w:r>
      <w:proofErr w:type="spellEnd"/>
      <w:proofErr w:type="gram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dalam</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bentuk</w:t>
      </w:r>
      <w:proofErr w:type="spellEnd"/>
      <w:r w:rsidR="004B396E" w:rsidRPr="00C04EEB">
        <w:rPr>
          <w:rFonts w:ascii="Garamond" w:hAnsi="Garamond" w:cs="Times New Roman"/>
          <w:sz w:val="24"/>
          <w:szCs w:val="26"/>
        </w:rPr>
        <w:t xml:space="preserve"> PI 10% </w:t>
      </w:r>
      <w:proofErr w:type="spellStart"/>
      <w:r w:rsidR="004B396E" w:rsidRPr="00C04EEB">
        <w:rPr>
          <w:rFonts w:ascii="Garamond" w:hAnsi="Garamond" w:cs="Times New Roman"/>
          <w:sz w:val="24"/>
          <w:szCs w:val="26"/>
        </w:rPr>
        <w:t>pada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masa</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kontrak</w:t>
      </w:r>
      <w:proofErr w:type="spellEnd"/>
      <w:r w:rsidR="004B396E" w:rsidRPr="00C04EEB">
        <w:rPr>
          <w:rFonts w:ascii="Garamond" w:hAnsi="Garamond" w:cs="Times New Roman"/>
          <w:sz w:val="24"/>
          <w:szCs w:val="26"/>
        </w:rPr>
        <w:t xml:space="preserve"> </w:t>
      </w:r>
      <w:proofErr w:type="spellStart"/>
      <w:r w:rsidR="004B396E" w:rsidRPr="00C04EEB">
        <w:rPr>
          <w:rFonts w:ascii="Garamond" w:hAnsi="Garamond" w:cs="Times New Roman"/>
          <w:sz w:val="24"/>
          <w:szCs w:val="26"/>
        </w:rPr>
        <w:t>berikutnya</w:t>
      </w:r>
      <w:proofErr w:type="spellEnd"/>
      <w:r w:rsidR="004B396E" w:rsidRPr="00C04EEB">
        <w:rPr>
          <w:rFonts w:ascii="Garamond" w:hAnsi="Garamond" w:cs="Times New Roman"/>
          <w:sz w:val="24"/>
          <w:szCs w:val="26"/>
        </w:rPr>
        <w:t>.</w:t>
      </w:r>
    </w:p>
    <w:p w:rsidR="0020378A" w:rsidRPr="00C04EEB" w:rsidRDefault="0020378A" w:rsidP="00C04EEB">
      <w:pPr>
        <w:pStyle w:val="HTMLPreformatted"/>
        <w:rPr>
          <w:rFonts w:ascii="Garamond" w:hAnsi="Garamond" w:cs="Times New Roman"/>
          <w:sz w:val="24"/>
          <w:szCs w:val="26"/>
        </w:rPr>
      </w:pPr>
    </w:p>
    <w:p w:rsidR="0020378A" w:rsidRPr="0020378A" w:rsidRDefault="0020378A" w:rsidP="0020378A">
      <w:pPr>
        <w:pStyle w:val="ListParagraph"/>
        <w:numPr>
          <w:ilvl w:val="0"/>
          <w:numId w:val="1"/>
        </w:numPr>
        <w:ind w:left="426" w:hanging="426"/>
        <w:rPr>
          <w:rFonts w:ascii="Garamond" w:hAnsi="Garamond" w:cs="Times New Roman"/>
          <w:b/>
          <w:sz w:val="24"/>
          <w:szCs w:val="26"/>
        </w:rPr>
      </w:pPr>
      <w:r>
        <w:rPr>
          <w:rFonts w:ascii="Garamond" w:hAnsi="Garamond" w:cs="Times New Roman"/>
          <w:b/>
          <w:sz w:val="24"/>
          <w:szCs w:val="26"/>
          <w:lang w:val="id-ID"/>
        </w:rPr>
        <w:lastRenderedPageBreak/>
        <w:t>Implementasi PI sebelum Permen 37/2016</w:t>
      </w:r>
    </w:p>
    <w:p w:rsidR="00F93B57" w:rsidRDefault="00F93B57" w:rsidP="00C04EEB">
      <w:pPr>
        <w:pStyle w:val="HTMLPreformatted"/>
        <w:rPr>
          <w:rFonts w:ascii="Garamond" w:hAnsi="Garamond" w:cs="Times New Roman"/>
          <w:sz w:val="24"/>
          <w:szCs w:val="26"/>
          <w:lang w:val="id-ID"/>
        </w:rPr>
      </w:pPr>
      <w:r>
        <w:rPr>
          <w:rFonts w:ascii="Garamond" w:hAnsi="Garamond" w:cs="Times New Roman"/>
          <w:sz w:val="24"/>
          <w:szCs w:val="26"/>
          <w:lang w:val="id-ID"/>
        </w:rPr>
        <w:t>Permasalahan utama daerah terlibat dalam kegiatan hulu (eksplorasi dan produksi) migas adalah besarnya modal yang dikeluarkan untuk kegiatan hulu migas. Dengan kepemilikan PI 10%, artinya daerah wajib menyediakan investasi dan modal kerja sebesar 10% dari kegiatan hulu migas yang bisa mencapai jutaan dollar per tahun (1 juta dolar amerika = 14 milyar rupiah). Hal ini menyebabkan BUMD akhirnya bekerjasama dengan pihak swasta sebagi investor untuk membiayai operasi migas.</w:t>
      </w:r>
    </w:p>
    <w:p w:rsidR="0068745A" w:rsidRDefault="0068745A" w:rsidP="0068745A">
      <w:pPr>
        <w:pStyle w:val="HTMLPreformatted"/>
        <w:rPr>
          <w:rFonts w:ascii="Garamond" w:hAnsi="Garamond" w:cs="Times New Roman"/>
          <w:sz w:val="24"/>
          <w:szCs w:val="26"/>
          <w:lang w:val="id-ID"/>
        </w:rPr>
      </w:pPr>
      <w:r>
        <w:rPr>
          <w:rFonts w:ascii="Garamond" w:hAnsi="Garamond" w:cs="Times New Roman"/>
          <w:sz w:val="24"/>
          <w:szCs w:val="26"/>
          <w:lang w:val="id-ID"/>
        </w:rPr>
        <w:t>Beberapa BUMD yang sudah merealisasikan PI sebelum tahun 2016 adalah:</w:t>
      </w:r>
    </w:p>
    <w:tbl>
      <w:tblPr>
        <w:tblStyle w:val="TableGrid"/>
        <w:tblW w:w="8668" w:type="dxa"/>
        <w:tblLook w:val="04A0" w:firstRow="1" w:lastRow="0" w:firstColumn="1" w:lastColumn="0" w:noHBand="0" w:noVBand="1"/>
      </w:tblPr>
      <w:tblGrid>
        <w:gridCol w:w="660"/>
        <w:gridCol w:w="1603"/>
        <w:gridCol w:w="1985"/>
        <w:gridCol w:w="4420"/>
      </w:tblGrid>
      <w:tr w:rsidR="0068745A" w:rsidRPr="00392784" w:rsidTr="008049CF">
        <w:trPr>
          <w:trHeight w:val="373"/>
        </w:trPr>
        <w:tc>
          <w:tcPr>
            <w:tcW w:w="660" w:type="dxa"/>
            <w:hideMark/>
          </w:tcPr>
          <w:p w:rsidR="0068745A" w:rsidRPr="00392784" w:rsidRDefault="0068745A" w:rsidP="008049CF">
            <w:pPr>
              <w:spacing w:before="120" w:after="160" w:line="276" w:lineRule="auto"/>
              <w:jc w:val="both"/>
              <w:rPr>
                <w:rFonts w:cstheme="minorHAnsi"/>
                <w:sz w:val="20"/>
                <w:szCs w:val="20"/>
              </w:rPr>
            </w:pPr>
            <w:r>
              <w:rPr>
                <w:rFonts w:ascii="Garamond" w:hAnsi="Garamond" w:cs="Times New Roman"/>
                <w:sz w:val="24"/>
                <w:szCs w:val="26"/>
              </w:rPr>
              <w:t xml:space="preserve"> </w:t>
            </w:r>
            <w:r w:rsidRPr="00392784">
              <w:rPr>
                <w:rFonts w:cstheme="minorHAnsi"/>
                <w:b/>
                <w:bCs/>
                <w:sz w:val="20"/>
                <w:szCs w:val="20"/>
                <w:lang w:val="en-US"/>
              </w:rPr>
              <w:t>No.</w:t>
            </w:r>
          </w:p>
        </w:tc>
        <w:tc>
          <w:tcPr>
            <w:tcW w:w="1603"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b/>
                <w:bCs/>
                <w:sz w:val="20"/>
                <w:szCs w:val="20"/>
                <w:lang w:val="en-US"/>
              </w:rPr>
              <w:t xml:space="preserve">Wilayah </w:t>
            </w:r>
            <w:proofErr w:type="spellStart"/>
            <w:r w:rsidRPr="00392784">
              <w:rPr>
                <w:rFonts w:cstheme="minorHAnsi"/>
                <w:b/>
                <w:bCs/>
                <w:sz w:val="20"/>
                <w:szCs w:val="20"/>
                <w:lang w:val="en-US"/>
              </w:rPr>
              <w:t>Kerja</w:t>
            </w:r>
            <w:proofErr w:type="spellEnd"/>
          </w:p>
        </w:tc>
        <w:tc>
          <w:tcPr>
            <w:tcW w:w="1985"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b/>
                <w:bCs/>
                <w:sz w:val="20"/>
                <w:szCs w:val="20"/>
                <w:lang w:val="en-US"/>
              </w:rPr>
              <w:t>Operator</w:t>
            </w:r>
          </w:p>
        </w:tc>
        <w:tc>
          <w:tcPr>
            <w:tcW w:w="4420" w:type="dxa"/>
            <w:hideMark/>
          </w:tcPr>
          <w:p w:rsidR="0068745A" w:rsidRPr="00392784" w:rsidRDefault="0068745A" w:rsidP="008049CF">
            <w:pPr>
              <w:spacing w:before="120" w:after="160" w:line="276" w:lineRule="auto"/>
              <w:jc w:val="both"/>
              <w:rPr>
                <w:rFonts w:cstheme="minorHAnsi"/>
                <w:sz w:val="20"/>
                <w:szCs w:val="20"/>
              </w:rPr>
            </w:pPr>
            <w:r>
              <w:rPr>
                <w:rFonts w:cstheme="minorHAnsi"/>
                <w:b/>
                <w:bCs/>
                <w:sz w:val="20"/>
                <w:szCs w:val="20"/>
              </w:rPr>
              <w:t>BUMD</w:t>
            </w:r>
          </w:p>
        </w:tc>
      </w:tr>
      <w:tr w:rsidR="0068745A" w:rsidRPr="00392784" w:rsidTr="008049CF">
        <w:trPr>
          <w:trHeight w:val="1799"/>
        </w:trPr>
        <w:tc>
          <w:tcPr>
            <w:tcW w:w="660"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b/>
                <w:bCs/>
                <w:sz w:val="20"/>
                <w:szCs w:val="20"/>
                <w:lang w:val="en-US"/>
              </w:rPr>
              <w:t>1</w:t>
            </w:r>
          </w:p>
        </w:tc>
        <w:tc>
          <w:tcPr>
            <w:tcW w:w="1603"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CEPU</w:t>
            </w:r>
          </w:p>
        </w:tc>
        <w:tc>
          <w:tcPr>
            <w:tcW w:w="1985"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EXXONMOBIL CEPU LIMITED</w:t>
            </w:r>
          </w:p>
        </w:tc>
        <w:tc>
          <w:tcPr>
            <w:tcW w:w="4420" w:type="dxa"/>
            <w:hideMark/>
          </w:tcPr>
          <w:p w:rsidR="0068745A" w:rsidRPr="00392784" w:rsidRDefault="0068745A" w:rsidP="008049CF">
            <w:pPr>
              <w:spacing w:before="120" w:after="160" w:line="276" w:lineRule="auto"/>
              <w:jc w:val="both"/>
              <w:rPr>
                <w:rFonts w:cstheme="minorHAnsi"/>
                <w:sz w:val="20"/>
                <w:szCs w:val="20"/>
              </w:rPr>
            </w:pPr>
            <w:r>
              <w:rPr>
                <w:rFonts w:cstheme="minorHAnsi"/>
                <w:sz w:val="20"/>
                <w:szCs w:val="20"/>
                <w:lang w:val="en-US"/>
              </w:rPr>
              <w:t xml:space="preserve">PT SARANA PATRA HULU CEPU: </w:t>
            </w:r>
            <w:r w:rsidRPr="00392784">
              <w:rPr>
                <w:rFonts w:cstheme="minorHAnsi"/>
                <w:sz w:val="20"/>
                <w:szCs w:val="20"/>
                <w:lang w:val="en-US"/>
              </w:rPr>
              <w:t>1.091%    </w:t>
            </w:r>
          </w:p>
          <w:p w:rsidR="0068745A" w:rsidRPr="00392784" w:rsidRDefault="0068745A" w:rsidP="008049CF">
            <w:pPr>
              <w:spacing w:before="120" w:after="160" w:line="276" w:lineRule="auto"/>
              <w:jc w:val="both"/>
              <w:rPr>
                <w:rFonts w:cstheme="minorHAnsi"/>
                <w:sz w:val="20"/>
                <w:szCs w:val="20"/>
              </w:rPr>
            </w:pPr>
            <w:r>
              <w:rPr>
                <w:rFonts w:cstheme="minorHAnsi"/>
                <w:sz w:val="20"/>
                <w:szCs w:val="20"/>
                <w:lang w:val="en-US"/>
              </w:rPr>
              <w:t xml:space="preserve">PT ASRI DHARMA SEJAHTERA: </w:t>
            </w:r>
            <w:r w:rsidRPr="00392784">
              <w:rPr>
                <w:rFonts w:cstheme="minorHAnsi"/>
                <w:sz w:val="20"/>
                <w:szCs w:val="20"/>
                <w:lang w:val="en-US"/>
              </w:rPr>
              <w:t>4.4847%</w:t>
            </w:r>
          </w:p>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 </w:t>
            </w:r>
            <w:r>
              <w:rPr>
                <w:rFonts w:cstheme="minorHAnsi"/>
                <w:sz w:val="20"/>
                <w:szCs w:val="20"/>
                <w:lang w:val="en-US"/>
              </w:rPr>
              <w:t xml:space="preserve">PT BLORA PATRAGAS HULU: </w:t>
            </w:r>
            <w:r w:rsidRPr="00392784">
              <w:rPr>
                <w:rFonts w:cstheme="minorHAnsi"/>
                <w:sz w:val="20"/>
                <w:szCs w:val="20"/>
                <w:lang w:val="en-US"/>
              </w:rPr>
              <w:t>2.182%</w:t>
            </w:r>
          </w:p>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 </w:t>
            </w:r>
            <w:r>
              <w:rPr>
                <w:rFonts w:cstheme="minorHAnsi"/>
                <w:sz w:val="20"/>
                <w:szCs w:val="20"/>
                <w:lang w:val="en-US"/>
              </w:rPr>
              <w:t xml:space="preserve">PT PETROGAS JATIM UTAMA CENDANA: </w:t>
            </w:r>
            <w:r w:rsidRPr="00392784">
              <w:rPr>
                <w:rFonts w:cstheme="minorHAnsi"/>
                <w:sz w:val="20"/>
                <w:szCs w:val="20"/>
                <w:lang w:val="en-US"/>
              </w:rPr>
              <w:t>2.2423%</w:t>
            </w:r>
          </w:p>
        </w:tc>
      </w:tr>
      <w:tr w:rsidR="0068745A" w:rsidRPr="00392784" w:rsidTr="008049CF">
        <w:trPr>
          <w:trHeight w:val="845"/>
        </w:trPr>
        <w:tc>
          <w:tcPr>
            <w:tcW w:w="660"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b/>
                <w:bCs/>
                <w:sz w:val="20"/>
                <w:szCs w:val="20"/>
                <w:lang w:val="en-US"/>
              </w:rPr>
              <w:t>2</w:t>
            </w:r>
          </w:p>
        </w:tc>
        <w:tc>
          <w:tcPr>
            <w:tcW w:w="1603"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RIMAU</w:t>
            </w:r>
          </w:p>
        </w:tc>
        <w:tc>
          <w:tcPr>
            <w:tcW w:w="1985"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PT. MEDCO E&amp;P RIMAU</w:t>
            </w:r>
          </w:p>
        </w:tc>
        <w:tc>
          <w:tcPr>
            <w:tcW w:w="4420"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 xml:space="preserve">PERUSAHAAN DAERAH PERTAMBANGAN DAN ENERGI SUMATERA SELATAN </w:t>
            </w:r>
            <w:r>
              <w:rPr>
                <w:rFonts w:cstheme="minorHAnsi"/>
                <w:sz w:val="20"/>
                <w:szCs w:val="20"/>
              </w:rPr>
              <w:t>:</w:t>
            </w:r>
            <w:r w:rsidRPr="00392784">
              <w:rPr>
                <w:rFonts w:cstheme="minorHAnsi"/>
                <w:sz w:val="20"/>
                <w:szCs w:val="20"/>
                <w:lang w:val="en-US"/>
              </w:rPr>
              <w:t>5%</w:t>
            </w:r>
          </w:p>
        </w:tc>
      </w:tr>
      <w:tr w:rsidR="0068745A" w:rsidRPr="00392784" w:rsidTr="008049CF">
        <w:trPr>
          <w:trHeight w:val="654"/>
        </w:trPr>
        <w:tc>
          <w:tcPr>
            <w:tcW w:w="660"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b/>
                <w:bCs/>
                <w:sz w:val="20"/>
                <w:szCs w:val="20"/>
                <w:lang w:val="en-US"/>
              </w:rPr>
              <w:t>3</w:t>
            </w:r>
          </w:p>
        </w:tc>
        <w:tc>
          <w:tcPr>
            <w:tcW w:w="1603" w:type="dxa"/>
            <w:hideMark/>
          </w:tcPr>
          <w:p w:rsidR="0068745A" w:rsidRPr="00392784" w:rsidRDefault="0068745A" w:rsidP="008049CF">
            <w:pPr>
              <w:spacing w:before="120" w:after="160" w:line="276" w:lineRule="auto"/>
              <w:jc w:val="both"/>
              <w:rPr>
                <w:rFonts w:cstheme="minorHAnsi"/>
                <w:sz w:val="20"/>
                <w:szCs w:val="20"/>
              </w:rPr>
            </w:pPr>
            <w:r w:rsidRPr="00392784">
              <w:rPr>
                <w:rFonts w:cstheme="minorHAnsi"/>
                <w:sz w:val="20"/>
                <w:szCs w:val="20"/>
                <w:lang w:val="en-US"/>
              </w:rPr>
              <w:t>MADURA OFFSHORE</w:t>
            </w:r>
          </w:p>
        </w:tc>
        <w:tc>
          <w:tcPr>
            <w:tcW w:w="1985" w:type="dxa"/>
            <w:hideMark/>
          </w:tcPr>
          <w:p w:rsidR="0068745A" w:rsidRPr="00392784" w:rsidRDefault="0068745A" w:rsidP="008049CF">
            <w:pPr>
              <w:spacing w:before="120" w:after="160" w:line="276" w:lineRule="auto"/>
              <w:jc w:val="both"/>
              <w:rPr>
                <w:rFonts w:cstheme="minorHAnsi"/>
                <w:sz w:val="20"/>
                <w:szCs w:val="20"/>
              </w:rPr>
            </w:pPr>
            <w:r>
              <w:rPr>
                <w:rFonts w:cstheme="minorHAnsi"/>
                <w:sz w:val="20"/>
                <w:szCs w:val="20"/>
                <w:lang w:val="en-US"/>
              </w:rPr>
              <w:t xml:space="preserve">SANTOS </w:t>
            </w:r>
            <w:r w:rsidRPr="00392784">
              <w:rPr>
                <w:rFonts w:cstheme="minorHAnsi"/>
                <w:sz w:val="20"/>
                <w:szCs w:val="20"/>
                <w:lang w:val="en-US"/>
              </w:rPr>
              <w:t>(MADURA OFFSHORE)  PTY. LTD.</w:t>
            </w:r>
          </w:p>
        </w:tc>
        <w:tc>
          <w:tcPr>
            <w:tcW w:w="4420" w:type="dxa"/>
            <w:hideMark/>
          </w:tcPr>
          <w:p w:rsidR="0068745A" w:rsidRPr="00392784" w:rsidRDefault="0068745A" w:rsidP="008049CF">
            <w:pPr>
              <w:spacing w:before="120" w:after="160" w:line="276" w:lineRule="auto"/>
              <w:jc w:val="both"/>
              <w:rPr>
                <w:rFonts w:cstheme="minorHAnsi"/>
                <w:sz w:val="20"/>
                <w:szCs w:val="20"/>
              </w:rPr>
            </w:pPr>
            <w:r>
              <w:rPr>
                <w:rFonts w:cstheme="minorHAnsi"/>
                <w:sz w:val="20"/>
                <w:szCs w:val="20"/>
                <w:lang w:val="en-US"/>
              </w:rPr>
              <w:t xml:space="preserve">PT PETROGAS PANTAI MADURA: </w:t>
            </w:r>
            <w:r w:rsidRPr="00392784">
              <w:rPr>
                <w:rFonts w:cstheme="minorHAnsi"/>
                <w:sz w:val="20"/>
                <w:szCs w:val="20"/>
                <w:lang w:val="en-US"/>
              </w:rPr>
              <w:t>10%</w:t>
            </w:r>
          </w:p>
        </w:tc>
      </w:tr>
    </w:tbl>
    <w:p w:rsidR="0068745A" w:rsidRDefault="0068745A" w:rsidP="00C04EEB">
      <w:pPr>
        <w:pStyle w:val="HTMLPreformatted"/>
        <w:rPr>
          <w:rFonts w:ascii="Garamond" w:hAnsi="Garamond" w:cs="Times New Roman"/>
          <w:sz w:val="24"/>
          <w:szCs w:val="26"/>
          <w:lang w:val="id-ID"/>
        </w:rPr>
      </w:pPr>
    </w:p>
    <w:p w:rsidR="004B396E" w:rsidRDefault="004B396E" w:rsidP="00C04EEB">
      <w:pPr>
        <w:pStyle w:val="HTMLPreformatted"/>
        <w:rPr>
          <w:rFonts w:ascii="Garamond" w:hAnsi="Garamond" w:cs="Times New Roman"/>
          <w:sz w:val="24"/>
          <w:szCs w:val="26"/>
        </w:rPr>
      </w:pPr>
      <w:proofErr w:type="spellStart"/>
      <w:r w:rsidRPr="00C04EEB">
        <w:rPr>
          <w:rFonts w:ascii="Garamond" w:hAnsi="Garamond" w:cs="Times New Roman"/>
          <w:sz w:val="24"/>
          <w:szCs w:val="26"/>
        </w:rPr>
        <w:t>Kenyataan</w:t>
      </w:r>
      <w:proofErr w:type="spellEnd"/>
      <w:r w:rsidR="00F93B57">
        <w:rPr>
          <w:rFonts w:ascii="Garamond" w:hAnsi="Garamond" w:cs="Times New Roman"/>
          <w:sz w:val="24"/>
          <w:szCs w:val="26"/>
          <w:lang w:val="id-ID"/>
        </w:rPr>
        <w:t xml:space="preserve">nya, </w:t>
      </w:r>
      <w:proofErr w:type="spellStart"/>
      <w:r w:rsidRPr="00C04EEB">
        <w:rPr>
          <w:rFonts w:ascii="Garamond" w:hAnsi="Garamond" w:cs="Times New Roman"/>
          <w:sz w:val="24"/>
          <w:szCs w:val="26"/>
        </w:rPr>
        <w:t>pihak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swasta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mengambil</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lebih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banyak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keuntungan</w:t>
      </w:r>
      <w:proofErr w:type="spellEnd"/>
      <w:r w:rsidRPr="00C04EEB">
        <w:rPr>
          <w:rFonts w:ascii="Garamond" w:hAnsi="Garamond" w:cs="Times New Roman"/>
          <w:sz w:val="24"/>
          <w:szCs w:val="26"/>
        </w:rPr>
        <w:t xml:space="preserve"> PI 10% </w:t>
      </w:r>
      <w:proofErr w:type="spellStart"/>
      <w:r w:rsidRPr="00C04EEB">
        <w:rPr>
          <w:rFonts w:ascii="Garamond" w:hAnsi="Garamond" w:cs="Times New Roman"/>
          <w:sz w:val="24"/>
          <w:szCs w:val="26"/>
        </w:rPr>
        <w:t>dari</w:t>
      </w:r>
      <w:proofErr w:type="spellEnd"/>
      <w:r w:rsidRPr="00C04EEB">
        <w:rPr>
          <w:rFonts w:ascii="Garamond" w:hAnsi="Garamond" w:cs="Times New Roman"/>
          <w:sz w:val="24"/>
          <w:szCs w:val="26"/>
        </w:rPr>
        <w:t xml:space="preserve"> BUMD </w:t>
      </w:r>
      <w:r w:rsidR="00F93B57">
        <w:rPr>
          <w:rFonts w:ascii="Garamond" w:hAnsi="Garamond" w:cs="Times New Roman"/>
          <w:sz w:val="24"/>
          <w:szCs w:val="26"/>
          <w:lang w:val="id-ID"/>
        </w:rPr>
        <w:t xml:space="preserve">karena dengan </w:t>
      </w:r>
      <w:proofErr w:type="spellStart"/>
      <w:r w:rsidRPr="00C04EEB">
        <w:rPr>
          <w:rFonts w:ascii="Garamond" w:hAnsi="Garamond" w:cs="Times New Roman"/>
          <w:sz w:val="24"/>
          <w:szCs w:val="26"/>
        </w:rPr>
        <w:t>menggandeng</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pihak</w:t>
      </w:r>
      <w:proofErr w:type="spellEnd"/>
      <w:r w:rsidRPr="00C04EEB">
        <w:rPr>
          <w:rFonts w:ascii="Garamond" w:hAnsi="Garamond" w:cs="Times New Roman"/>
          <w:sz w:val="24"/>
          <w:szCs w:val="26"/>
        </w:rPr>
        <w:t xml:space="preserve"> lain </w:t>
      </w:r>
      <w:proofErr w:type="spellStart"/>
      <w:r w:rsidRPr="00C04EEB">
        <w:rPr>
          <w:rFonts w:ascii="Garamond" w:hAnsi="Garamond" w:cs="Times New Roman"/>
          <w:sz w:val="24"/>
          <w:szCs w:val="26"/>
        </w:rPr>
        <w:t>sebagai</w:t>
      </w:r>
      <w:proofErr w:type="spellEnd"/>
      <w:r w:rsidRPr="00C04EEB">
        <w:rPr>
          <w:rFonts w:ascii="Garamond" w:hAnsi="Garamond" w:cs="Times New Roman"/>
          <w:sz w:val="24"/>
          <w:szCs w:val="26"/>
        </w:rPr>
        <w:t xml:space="preserve"> investor, BUMD </w:t>
      </w:r>
      <w:proofErr w:type="spellStart"/>
      <w:r w:rsidRPr="00C04EEB">
        <w:rPr>
          <w:rFonts w:ascii="Garamond" w:hAnsi="Garamond" w:cs="Times New Roman"/>
          <w:sz w:val="24"/>
          <w:szCs w:val="26"/>
        </w:rPr>
        <w:t>pertama</w:t>
      </w:r>
      <w:proofErr w:type="spellEnd"/>
      <w:r w:rsidRPr="00C04EEB">
        <w:rPr>
          <w:rFonts w:ascii="Garamond" w:hAnsi="Garamond" w:cs="Times New Roman"/>
          <w:sz w:val="24"/>
          <w:szCs w:val="26"/>
        </w:rPr>
        <w:t xml:space="preserve"> kali </w:t>
      </w:r>
      <w:proofErr w:type="spellStart"/>
      <w:r w:rsidRPr="00C04EEB">
        <w:rPr>
          <w:rFonts w:ascii="Garamond" w:hAnsi="Garamond" w:cs="Times New Roman"/>
          <w:sz w:val="24"/>
          <w:szCs w:val="26"/>
        </w:rPr>
        <w:t>akan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diwajibkan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untuk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membayar</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semua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investasi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untuk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kemudian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membagi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pendapatan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berdasarkan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persentase</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saham</w:t>
      </w:r>
      <w:proofErr w:type="spellEnd"/>
      <w:r w:rsidRPr="00C04EEB">
        <w:rPr>
          <w:rFonts w:ascii="Garamond" w:hAnsi="Garamond" w:cs="Times New Roman"/>
          <w:sz w:val="24"/>
          <w:szCs w:val="26"/>
        </w:rPr>
        <w:t xml:space="preserve"> yang </w:t>
      </w:r>
      <w:proofErr w:type="spellStart"/>
      <w:r w:rsidRPr="00C04EEB">
        <w:rPr>
          <w:rFonts w:ascii="Garamond" w:hAnsi="Garamond" w:cs="Times New Roman"/>
          <w:sz w:val="24"/>
          <w:szCs w:val="26"/>
        </w:rPr>
        <w:t>dimiliki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sehingga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pendapatan</w:t>
      </w:r>
      <w:proofErr w:type="spellEnd"/>
      <w:r w:rsidRPr="00C04EEB">
        <w:rPr>
          <w:rFonts w:ascii="Garamond" w:hAnsi="Garamond" w:cs="Times New Roman"/>
          <w:sz w:val="24"/>
          <w:szCs w:val="26"/>
        </w:rPr>
        <w:t xml:space="preserve"> BUMD </w:t>
      </w:r>
      <w:proofErr w:type="spellStart"/>
      <w:r w:rsidRPr="00C04EEB">
        <w:rPr>
          <w:rFonts w:ascii="Garamond" w:hAnsi="Garamond" w:cs="Times New Roman"/>
          <w:sz w:val="24"/>
          <w:szCs w:val="26"/>
        </w:rPr>
        <w:t>menjadi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sangat</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rendah</w:t>
      </w:r>
      <w:proofErr w:type="spellEnd"/>
      <w:r w:rsidRPr="00C04EEB">
        <w:rPr>
          <w:rFonts w:ascii="Garamond" w:hAnsi="Garamond" w:cs="Times New Roman"/>
          <w:sz w:val="24"/>
          <w:szCs w:val="26"/>
        </w:rPr>
        <w:t xml:space="preserve">. Hal </w:t>
      </w:r>
      <w:proofErr w:type="spellStart"/>
      <w:r w:rsidRPr="00C04EEB">
        <w:rPr>
          <w:rFonts w:ascii="Garamond" w:hAnsi="Garamond" w:cs="Times New Roman"/>
          <w:sz w:val="24"/>
          <w:szCs w:val="26"/>
        </w:rPr>
        <w:t>ini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tentunya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tidak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sesuai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dengan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tujuan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pemerintah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dalam</w:t>
      </w:r>
      <w:proofErr w:type="spellEnd"/>
      <w:r w:rsidRPr="00C04EEB">
        <w:rPr>
          <w:rFonts w:ascii="Garamond" w:hAnsi="Garamond" w:cs="Times New Roman"/>
          <w:sz w:val="24"/>
          <w:szCs w:val="26"/>
        </w:rPr>
        <w:t xml:space="preserve"> PP No. 35 </w:t>
      </w:r>
      <w:proofErr w:type="spellStart"/>
      <w:r w:rsidRPr="00C04EEB">
        <w:rPr>
          <w:rFonts w:ascii="Garamond" w:hAnsi="Garamond" w:cs="Times New Roman"/>
          <w:sz w:val="24"/>
          <w:szCs w:val="26"/>
        </w:rPr>
        <w:t>tahun</w:t>
      </w:r>
      <w:proofErr w:type="spellEnd"/>
      <w:r w:rsidRPr="00C04EEB">
        <w:rPr>
          <w:rFonts w:ascii="Garamond" w:hAnsi="Garamond" w:cs="Times New Roman"/>
          <w:sz w:val="24"/>
          <w:szCs w:val="26"/>
        </w:rPr>
        <w:t xml:space="preserve"> 2004 </w:t>
      </w:r>
      <w:proofErr w:type="spellStart"/>
      <w:r w:rsidRPr="00C04EEB">
        <w:rPr>
          <w:rFonts w:ascii="Garamond" w:hAnsi="Garamond" w:cs="Times New Roman"/>
          <w:sz w:val="24"/>
          <w:szCs w:val="26"/>
        </w:rPr>
        <w:t>dan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Permen</w:t>
      </w:r>
      <w:proofErr w:type="spellEnd"/>
      <w:r w:rsidRPr="00C04EEB">
        <w:rPr>
          <w:rFonts w:ascii="Garamond" w:hAnsi="Garamond" w:cs="Times New Roman"/>
          <w:sz w:val="24"/>
          <w:szCs w:val="26"/>
        </w:rPr>
        <w:t xml:space="preserve"> ESDM No. 15 </w:t>
      </w:r>
      <w:proofErr w:type="spellStart"/>
      <w:r w:rsidRPr="00C04EEB">
        <w:rPr>
          <w:rFonts w:ascii="Garamond" w:hAnsi="Garamond" w:cs="Times New Roman"/>
          <w:sz w:val="24"/>
          <w:szCs w:val="26"/>
        </w:rPr>
        <w:t>tahun</w:t>
      </w:r>
      <w:proofErr w:type="spellEnd"/>
      <w:r w:rsidRPr="00C04EEB">
        <w:rPr>
          <w:rFonts w:ascii="Garamond" w:hAnsi="Garamond" w:cs="Times New Roman"/>
          <w:sz w:val="24"/>
          <w:szCs w:val="26"/>
        </w:rPr>
        <w:t xml:space="preserve"> 2015.</w:t>
      </w:r>
    </w:p>
    <w:p w:rsidR="0068745A" w:rsidRDefault="0068745A" w:rsidP="00C04EEB">
      <w:pPr>
        <w:pStyle w:val="HTMLPreformatted"/>
        <w:rPr>
          <w:rFonts w:ascii="Garamond" w:hAnsi="Garamond" w:cs="Times New Roman"/>
          <w:sz w:val="24"/>
          <w:szCs w:val="26"/>
          <w:lang w:val="id-ID"/>
        </w:rPr>
      </w:pPr>
      <w:r>
        <w:rPr>
          <w:rFonts w:ascii="Garamond" w:hAnsi="Garamond" w:cs="Times New Roman"/>
          <w:sz w:val="24"/>
          <w:szCs w:val="26"/>
          <w:lang w:val="id-ID"/>
        </w:rPr>
        <w:t xml:space="preserve">Sebagai contoh adalah yang terjadi pada BUMD milik Pemerintah Kabupaten Bojonegoro yang memiliki PI di Blok Cepu yang dioperasikan oleh kontraktor ExxonMobil Cepu Limited. </w:t>
      </w:r>
      <w:r w:rsidRPr="0068745A">
        <w:rPr>
          <w:rFonts w:ascii="Garamond" w:hAnsi="Garamond" w:cs="Times New Roman"/>
          <w:sz w:val="24"/>
          <w:szCs w:val="26"/>
          <w:lang w:val="id-ID"/>
        </w:rPr>
        <w:t xml:space="preserve">Badan Usaha Milik Daerah (BUMD) Bojonegoro, Jawa Timur, </w:t>
      </w:r>
      <w:r>
        <w:rPr>
          <w:rFonts w:ascii="Garamond" w:hAnsi="Garamond" w:cs="Times New Roman"/>
          <w:sz w:val="24"/>
          <w:szCs w:val="26"/>
          <w:lang w:val="id-ID"/>
        </w:rPr>
        <w:t xml:space="preserve">PT Asri Dharma Sejahtera (ADS) baru </w:t>
      </w:r>
      <w:r w:rsidRPr="0068745A">
        <w:rPr>
          <w:rFonts w:ascii="Garamond" w:hAnsi="Garamond" w:cs="Times New Roman"/>
          <w:sz w:val="24"/>
          <w:szCs w:val="26"/>
          <w:lang w:val="id-ID"/>
        </w:rPr>
        <w:t>menerima pendapatan penyertaan modal (Participating Interest/PI) Blok Cepu</w:t>
      </w:r>
      <w:r>
        <w:rPr>
          <w:rFonts w:ascii="Garamond" w:hAnsi="Garamond" w:cs="Times New Roman"/>
          <w:sz w:val="24"/>
          <w:szCs w:val="26"/>
          <w:lang w:val="id-ID"/>
        </w:rPr>
        <w:t xml:space="preserve"> pada tahun 2019 dari PI yang sudah didapatkan sejak tahun 2009. Selama 10 tahun, hanya pihak investor yang menikmati hasil Blok Cepu ini.</w:t>
      </w:r>
    </w:p>
    <w:p w:rsidR="003C267D" w:rsidRDefault="003C267D" w:rsidP="003C267D">
      <w:pPr>
        <w:pStyle w:val="HTMLPreformatted"/>
        <w:rPr>
          <w:rFonts w:ascii="Garamond" w:hAnsi="Garamond" w:cs="Times New Roman"/>
          <w:sz w:val="24"/>
          <w:szCs w:val="26"/>
          <w:lang w:val="id-ID"/>
        </w:rPr>
      </w:pPr>
      <w:r w:rsidRPr="003C267D">
        <w:rPr>
          <w:rFonts w:ascii="Garamond" w:hAnsi="Garamond" w:cs="Times New Roman"/>
          <w:sz w:val="24"/>
          <w:szCs w:val="26"/>
          <w:lang w:val="id-ID"/>
        </w:rPr>
        <w:t>Dari penerimaan porsi minyak mentah tersebut, tahun 2019 ini PT ADS memiliki pendapatan sebesar USD120 juta atau sekitar Rp1,7 tr</w:t>
      </w:r>
      <w:r>
        <w:rPr>
          <w:rFonts w:ascii="Garamond" w:hAnsi="Garamond" w:cs="Times New Roman"/>
          <w:sz w:val="24"/>
          <w:szCs w:val="26"/>
          <w:lang w:val="id-ID"/>
        </w:rPr>
        <w:t xml:space="preserve">iliun. </w:t>
      </w:r>
      <w:r w:rsidRPr="003C267D">
        <w:rPr>
          <w:rFonts w:ascii="Garamond" w:hAnsi="Garamond" w:cs="Times New Roman"/>
          <w:sz w:val="24"/>
          <w:szCs w:val="26"/>
          <w:lang w:val="id-ID"/>
        </w:rPr>
        <w:t xml:space="preserve">Porsi minyak dan cost recovery yang didapatkan tersebut, setelah PT ADS melakukan investasi dan biaya operasi di Blok Cepu.  </w:t>
      </w:r>
    </w:p>
    <w:p w:rsidR="00392784" w:rsidRDefault="003C267D" w:rsidP="003C267D">
      <w:pPr>
        <w:pStyle w:val="HTMLPreformatted"/>
        <w:rPr>
          <w:rFonts w:ascii="Garamond" w:hAnsi="Garamond" w:cs="Times New Roman"/>
          <w:sz w:val="24"/>
          <w:szCs w:val="26"/>
          <w:lang w:val="id-ID"/>
        </w:rPr>
      </w:pPr>
      <w:r w:rsidRPr="003C267D">
        <w:rPr>
          <w:rFonts w:ascii="Garamond" w:hAnsi="Garamond" w:cs="Times New Roman"/>
          <w:sz w:val="24"/>
          <w:szCs w:val="26"/>
          <w:lang w:val="id-ID"/>
        </w:rPr>
        <w:t>Sejak tahun 2009 hingga 2015, PT ADS telah melakukan investasi melalui mitranya, PT SER. Sesuai perjanjian, PT ADS harus mengembalikan investasi kepada PT SER senilai Rp1,363 triliun.</w:t>
      </w:r>
      <w:r>
        <w:rPr>
          <w:rFonts w:ascii="Garamond" w:hAnsi="Garamond" w:cs="Times New Roman"/>
          <w:sz w:val="24"/>
          <w:szCs w:val="26"/>
          <w:lang w:val="id-ID"/>
        </w:rPr>
        <w:t xml:space="preserve"> P</w:t>
      </w:r>
      <w:r w:rsidRPr="003C267D">
        <w:rPr>
          <w:rFonts w:ascii="Garamond" w:hAnsi="Garamond" w:cs="Times New Roman"/>
          <w:sz w:val="24"/>
          <w:szCs w:val="26"/>
          <w:lang w:val="id-ID"/>
        </w:rPr>
        <w:t xml:space="preserve">endapatan dari penjualan minyak bagian perusahaan plat merah itu belum bisa masuk ke </w:t>
      </w:r>
      <w:r w:rsidRPr="003C267D">
        <w:rPr>
          <w:rFonts w:ascii="Garamond" w:hAnsi="Garamond" w:cs="Times New Roman"/>
          <w:sz w:val="24"/>
          <w:szCs w:val="26"/>
          <w:lang w:val="id-ID"/>
        </w:rPr>
        <w:lastRenderedPageBreak/>
        <w:t>kas daerah karena harus dibayarkan kepada PT Surya Energi Raya (SER), sebagai penyandang dana PI Blok</w:t>
      </w:r>
      <w:r>
        <w:rPr>
          <w:rFonts w:ascii="Garamond" w:hAnsi="Garamond" w:cs="Times New Roman"/>
          <w:sz w:val="24"/>
          <w:szCs w:val="26"/>
          <w:lang w:val="id-ID"/>
        </w:rPr>
        <w:t xml:space="preserve"> Cepu. </w:t>
      </w:r>
      <w:r w:rsidRPr="003C267D">
        <w:rPr>
          <w:rFonts w:ascii="Garamond" w:hAnsi="Garamond" w:cs="Times New Roman"/>
          <w:sz w:val="24"/>
          <w:szCs w:val="26"/>
          <w:lang w:val="id-ID"/>
        </w:rPr>
        <w:t>Setelah investasi dibayarkan, baru PT ADS mendapat bagi hasil. Skemanya, 75% untuk PT SER, dan 25% untuk PT ADS.</w:t>
      </w:r>
    </w:p>
    <w:p w:rsidR="0068745A" w:rsidRDefault="0068745A" w:rsidP="00392784">
      <w:pPr>
        <w:spacing w:before="120" w:line="276" w:lineRule="auto"/>
        <w:jc w:val="both"/>
        <w:rPr>
          <w:rFonts w:ascii="Garamond" w:hAnsi="Garamond"/>
          <w:sz w:val="24"/>
          <w:szCs w:val="26"/>
        </w:rPr>
      </w:pPr>
    </w:p>
    <w:p w:rsidR="006D1831" w:rsidRPr="0020378A" w:rsidRDefault="006D1831" w:rsidP="006D1831">
      <w:pPr>
        <w:pStyle w:val="ListParagraph"/>
        <w:numPr>
          <w:ilvl w:val="0"/>
          <w:numId w:val="1"/>
        </w:numPr>
        <w:ind w:left="426" w:hanging="426"/>
        <w:rPr>
          <w:rFonts w:ascii="Garamond" w:hAnsi="Garamond" w:cs="Times New Roman"/>
          <w:b/>
          <w:sz w:val="24"/>
          <w:szCs w:val="26"/>
        </w:rPr>
      </w:pPr>
      <w:r>
        <w:rPr>
          <w:rFonts w:ascii="Garamond" w:hAnsi="Garamond" w:cs="Times New Roman"/>
          <w:b/>
          <w:sz w:val="24"/>
          <w:szCs w:val="26"/>
          <w:lang w:val="id-ID"/>
        </w:rPr>
        <w:t>Implementasi PI Paska Permen 37/2016</w:t>
      </w:r>
    </w:p>
    <w:p w:rsidR="0020378A" w:rsidRDefault="0020378A" w:rsidP="0020378A">
      <w:pPr>
        <w:pStyle w:val="HTMLPreformatted"/>
        <w:rPr>
          <w:rFonts w:ascii="Garamond" w:hAnsi="Garamond" w:cs="Times New Roman"/>
          <w:sz w:val="24"/>
          <w:szCs w:val="26"/>
        </w:rPr>
      </w:pPr>
      <w:proofErr w:type="spellStart"/>
      <w:r w:rsidRPr="00C04EEB">
        <w:rPr>
          <w:rFonts w:ascii="Garamond" w:hAnsi="Garamond" w:cs="Times New Roman"/>
          <w:sz w:val="24"/>
          <w:szCs w:val="26"/>
        </w:rPr>
        <w:t>Menteri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Energi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Sumber</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Daya</w:t>
      </w:r>
      <w:proofErr w:type="spellEnd"/>
      <w:r w:rsidRPr="00C04EEB">
        <w:rPr>
          <w:rFonts w:ascii="Garamond" w:hAnsi="Garamond" w:cs="Times New Roman"/>
          <w:sz w:val="24"/>
          <w:szCs w:val="26"/>
        </w:rPr>
        <w:t xml:space="preserve"> Mineral </w:t>
      </w:r>
      <w:proofErr w:type="spellStart"/>
      <w:r w:rsidRPr="00C04EEB">
        <w:rPr>
          <w:rFonts w:ascii="Garamond" w:hAnsi="Garamond" w:cs="Times New Roman"/>
          <w:sz w:val="24"/>
          <w:szCs w:val="26"/>
        </w:rPr>
        <w:t>akhirnya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mengeluarkan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peraturan</w:t>
      </w:r>
      <w:proofErr w:type="spellEnd"/>
      <w:r w:rsidRPr="00C04EEB">
        <w:rPr>
          <w:rFonts w:ascii="Garamond" w:hAnsi="Garamond" w:cs="Times New Roman"/>
          <w:sz w:val="24"/>
          <w:szCs w:val="26"/>
        </w:rPr>
        <w:t xml:space="preserve"> yang </w:t>
      </w:r>
      <w:proofErr w:type="spellStart"/>
      <w:r w:rsidRPr="00C04EEB">
        <w:rPr>
          <w:rFonts w:ascii="Garamond" w:hAnsi="Garamond" w:cs="Times New Roman"/>
          <w:sz w:val="24"/>
          <w:szCs w:val="26"/>
        </w:rPr>
        <w:t>lebih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detil</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tentang</w:t>
      </w:r>
      <w:proofErr w:type="spellEnd"/>
      <w:r w:rsidRPr="00C04EEB">
        <w:rPr>
          <w:rFonts w:ascii="Garamond" w:hAnsi="Garamond" w:cs="Times New Roman"/>
          <w:sz w:val="24"/>
          <w:szCs w:val="26"/>
        </w:rPr>
        <w:t xml:space="preserve"> PI 10, </w:t>
      </w:r>
      <w:proofErr w:type="spellStart"/>
      <w:r w:rsidRPr="00C04EEB">
        <w:rPr>
          <w:rFonts w:ascii="Garamond" w:hAnsi="Garamond" w:cs="Times New Roman"/>
          <w:sz w:val="24"/>
          <w:szCs w:val="26"/>
        </w:rPr>
        <w:t>yaitu</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Permen</w:t>
      </w:r>
      <w:proofErr w:type="spellEnd"/>
      <w:r w:rsidRPr="00C04EEB">
        <w:rPr>
          <w:rFonts w:ascii="Garamond" w:hAnsi="Garamond" w:cs="Times New Roman"/>
          <w:sz w:val="24"/>
          <w:szCs w:val="26"/>
        </w:rPr>
        <w:t xml:space="preserve"> ESDM 37/2016 yang </w:t>
      </w:r>
      <w:proofErr w:type="spellStart"/>
      <w:r w:rsidRPr="00C04EEB">
        <w:rPr>
          <w:rFonts w:ascii="Garamond" w:hAnsi="Garamond" w:cs="Times New Roman"/>
          <w:sz w:val="24"/>
          <w:szCs w:val="26"/>
        </w:rPr>
        <w:t>mengatur</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Ketentuan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Penawaran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Partisipasi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Interes</w:t>
      </w:r>
      <w:proofErr w:type="spellEnd"/>
      <w:r w:rsidRPr="00C04EEB">
        <w:rPr>
          <w:rFonts w:ascii="Garamond" w:hAnsi="Garamond" w:cs="Times New Roman"/>
          <w:sz w:val="24"/>
          <w:szCs w:val="26"/>
        </w:rPr>
        <w:t xml:space="preserve"> 10% (</w:t>
      </w:r>
      <w:proofErr w:type="spellStart"/>
      <w:r w:rsidRPr="00C04EEB">
        <w:rPr>
          <w:rFonts w:ascii="Garamond" w:hAnsi="Garamond" w:cs="Times New Roman"/>
          <w:sz w:val="24"/>
          <w:szCs w:val="26"/>
        </w:rPr>
        <w:t>Sepuluh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Persen</w:t>
      </w:r>
      <w:proofErr w:type="spellEnd"/>
      <w:r w:rsidRPr="00C04EEB">
        <w:rPr>
          <w:rFonts w:ascii="Garamond" w:hAnsi="Garamond" w:cs="Times New Roman"/>
          <w:sz w:val="24"/>
          <w:szCs w:val="26"/>
        </w:rPr>
        <w:t xml:space="preserve">) di Wilayah </w:t>
      </w:r>
      <w:proofErr w:type="spellStart"/>
      <w:r w:rsidRPr="00C04EEB">
        <w:rPr>
          <w:rFonts w:ascii="Garamond" w:hAnsi="Garamond" w:cs="Times New Roman"/>
          <w:sz w:val="24"/>
          <w:szCs w:val="26"/>
        </w:rPr>
        <w:t>Kerja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Minyak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dan</w:t>
      </w:r>
      <w:proofErr w:type="spellEnd"/>
      <w:r w:rsidRPr="00C04EEB">
        <w:rPr>
          <w:rFonts w:ascii="Garamond" w:hAnsi="Garamond" w:cs="Times New Roman"/>
          <w:sz w:val="24"/>
          <w:szCs w:val="26"/>
        </w:rPr>
        <w:t xml:space="preserve"> Gas </w:t>
      </w:r>
      <w:proofErr w:type="spellStart"/>
      <w:r w:rsidRPr="00C04EEB">
        <w:rPr>
          <w:rFonts w:ascii="Garamond" w:hAnsi="Garamond" w:cs="Times New Roman"/>
          <w:sz w:val="24"/>
          <w:szCs w:val="26"/>
        </w:rPr>
        <w:t>Bumi</w:t>
      </w:r>
      <w:proofErr w:type="spellEnd"/>
      <w:r>
        <w:rPr>
          <w:rFonts w:ascii="Garamond" w:hAnsi="Garamond" w:cs="Times New Roman"/>
          <w:sz w:val="24"/>
          <w:szCs w:val="26"/>
        </w:rPr>
        <w:t xml:space="preserve">, yang </w:t>
      </w:r>
      <w:r>
        <w:rPr>
          <w:rFonts w:ascii="Garamond" w:hAnsi="Garamond" w:cs="Times New Roman"/>
          <w:sz w:val="24"/>
          <w:szCs w:val="26"/>
          <w:lang w:val="id-ID"/>
        </w:rPr>
        <w:t>mengatur ketentuan un</w:t>
      </w:r>
      <w:proofErr w:type="spellStart"/>
      <w:r w:rsidRPr="00C04EEB">
        <w:rPr>
          <w:rFonts w:ascii="Garamond" w:hAnsi="Garamond" w:cs="Times New Roman"/>
          <w:sz w:val="24"/>
          <w:szCs w:val="26"/>
        </w:rPr>
        <w:t>tuk</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memastikan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bahwa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semua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manfaat</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dari</w:t>
      </w:r>
      <w:proofErr w:type="spellEnd"/>
      <w:r w:rsidRPr="00C04EEB">
        <w:rPr>
          <w:rFonts w:ascii="Garamond" w:hAnsi="Garamond" w:cs="Times New Roman"/>
          <w:sz w:val="24"/>
          <w:szCs w:val="26"/>
        </w:rPr>
        <w:t xml:space="preserve"> PI 10% </w:t>
      </w:r>
      <w:proofErr w:type="spellStart"/>
      <w:r w:rsidRPr="00C04EEB">
        <w:rPr>
          <w:rFonts w:ascii="Garamond" w:hAnsi="Garamond" w:cs="Times New Roman"/>
          <w:sz w:val="24"/>
          <w:szCs w:val="26"/>
        </w:rPr>
        <w:t>diterima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oleh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Pemerintah</w:t>
      </w:r>
      <w:proofErr w:type="spellEnd"/>
      <w:r w:rsidRPr="00C04EEB">
        <w:rPr>
          <w:rFonts w:ascii="Garamond" w:hAnsi="Garamond" w:cs="Times New Roman"/>
          <w:sz w:val="24"/>
          <w:szCs w:val="26"/>
        </w:rPr>
        <w:t xml:space="preserve"> </w:t>
      </w:r>
      <w:r>
        <w:rPr>
          <w:rFonts w:ascii="Garamond" w:hAnsi="Garamond" w:cs="Times New Roman"/>
          <w:sz w:val="24"/>
          <w:szCs w:val="26"/>
        </w:rPr>
        <w:t>Daerah.</w:t>
      </w:r>
    </w:p>
    <w:p w:rsidR="00505478" w:rsidRDefault="0020378A" w:rsidP="0020378A">
      <w:pPr>
        <w:pStyle w:val="HTMLPreformatted"/>
        <w:rPr>
          <w:rFonts w:ascii="Garamond" w:hAnsi="Garamond" w:cs="Times New Roman"/>
          <w:sz w:val="24"/>
          <w:szCs w:val="26"/>
          <w:lang w:val="id-ID"/>
        </w:rPr>
      </w:pPr>
      <w:r>
        <w:rPr>
          <w:rFonts w:ascii="Garamond" w:hAnsi="Garamond" w:cs="Times New Roman"/>
          <w:sz w:val="24"/>
          <w:szCs w:val="26"/>
          <w:lang w:val="id-ID"/>
        </w:rPr>
        <w:t xml:space="preserve">Permen ini menyebutkan bahwa </w:t>
      </w:r>
      <w:r w:rsidRPr="00C3364C">
        <w:rPr>
          <w:rFonts w:ascii="Garamond" w:hAnsi="Garamond" w:cs="Times New Roman"/>
          <w:sz w:val="24"/>
          <w:szCs w:val="26"/>
          <w:lang w:val="id-ID"/>
        </w:rPr>
        <w:t>Penawaran PI 10% dilaksanakan melalui skema kerja sama melalui pembiayaan oleh kontraktor</w:t>
      </w:r>
      <w:r>
        <w:rPr>
          <w:rFonts w:ascii="Garamond" w:hAnsi="Garamond" w:cs="Times New Roman"/>
          <w:sz w:val="24"/>
          <w:szCs w:val="26"/>
          <w:lang w:val="id-ID"/>
        </w:rPr>
        <w:t xml:space="preserve">. Artinya, kontraktor memberikan talangan kepada BUMD untuk memenuhi kewajiban investasi 10% dan kemudian BUMD akan mengembalikan biaya tersebut dari produksi migas yang dihasilkan. </w:t>
      </w:r>
      <w:r w:rsidR="00A30FA8">
        <w:rPr>
          <w:rFonts w:ascii="Garamond" w:hAnsi="Garamond" w:cs="Times New Roman"/>
          <w:sz w:val="24"/>
          <w:szCs w:val="26"/>
          <w:lang w:val="id-ID"/>
        </w:rPr>
        <w:t>Aturan ini jelas tertulis dalam ketentuan:</w:t>
      </w:r>
    </w:p>
    <w:p w:rsidR="0020378A" w:rsidRPr="00A30FA8" w:rsidRDefault="0020378A" w:rsidP="0020378A">
      <w:pPr>
        <w:pStyle w:val="HTMLPreformatted"/>
        <w:rPr>
          <w:rFonts w:ascii="Garamond" w:hAnsi="Garamond" w:cs="Times New Roman"/>
          <w:sz w:val="24"/>
          <w:szCs w:val="26"/>
          <w:lang w:val="id-ID"/>
        </w:rPr>
      </w:pPr>
      <w:proofErr w:type="spellStart"/>
      <w:r w:rsidRPr="00C04EEB">
        <w:rPr>
          <w:rFonts w:ascii="Garamond" w:hAnsi="Garamond" w:cs="Times New Roman"/>
          <w:sz w:val="24"/>
          <w:szCs w:val="26"/>
        </w:rPr>
        <w:t>Permen</w:t>
      </w:r>
      <w:proofErr w:type="spellEnd"/>
      <w:r w:rsidRPr="00C04EEB">
        <w:rPr>
          <w:rFonts w:ascii="Garamond" w:hAnsi="Garamond" w:cs="Times New Roman"/>
          <w:sz w:val="24"/>
          <w:szCs w:val="26"/>
        </w:rPr>
        <w:t xml:space="preserve"> ESDM 37/2016 </w:t>
      </w:r>
      <w:r w:rsidR="00A30FA8">
        <w:rPr>
          <w:rFonts w:ascii="Garamond" w:hAnsi="Garamond" w:cs="Times New Roman"/>
          <w:sz w:val="24"/>
          <w:szCs w:val="26"/>
          <w:lang w:val="id-ID"/>
        </w:rPr>
        <w:t xml:space="preserve">juga </w:t>
      </w:r>
      <w:proofErr w:type="spellStart"/>
      <w:r w:rsidRPr="00C04EEB">
        <w:rPr>
          <w:rFonts w:ascii="Garamond" w:hAnsi="Garamond" w:cs="Times New Roman"/>
          <w:sz w:val="24"/>
          <w:szCs w:val="26"/>
        </w:rPr>
        <w:t>meminta</w:t>
      </w:r>
      <w:proofErr w:type="spellEnd"/>
      <w:r w:rsidRPr="00C04EEB">
        <w:rPr>
          <w:rFonts w:ascii="Garamond" w:hAnsi="Garamond" w:cs="Times New Roman"/>
          <w:sz w:val="24"/>
          <w:szCs w:val="26"/>
        </w:rPr>
        <w:t xml:space="preserve"> agar BUMD </w:t>
      </w:r>
      <w:proofErr w:type="spellStart"/>
      <w:r w:rsidRPr="00C04EEB">
        <w:rPr>
          <w:rFonts w:ascii="Garamond" w:hAnsi="Garamond" w:cs="Times New Roman"/>
          <w:sz w:val="24"/>
          <w:szCs w:val="26"/>
        </w:rPr>
        <w:t>sepenuhnya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atau</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setidaknya</w:t>
      </w:r>
      <w:proofErr w:type="spellEnd"/>
      <w:r w:rsidRPr="00C04EEB">
        <w:rPr>
          <w:rFonts w:ascii="Garamond" w:hAnsi="Garamond" w:cs="Times New Roman"/>
          <w:sz w:val="24"/>
          <w:szCs w:val="26"/>
        </w:rPr>
        <w:t xml:space="preserve"> 99% </w:t>
      </w:r>
      <w:proofErr w:type="spellStart"/>
      <w:r w:rsidRPr="00C04EEB">
        <w:rPr>
          <w:rFonts w:ascii="Garamond" w:hAnsi="Garamond" w:cs="Times New Roman"/>
          <w:sz w:val="24"/>
          <w:szCs w:val="26"/>
        </w:rPr>
        <w:t>dimiliki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oleh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Pemerintah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daerah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Sementara</w:t>
      </w:r>
      <w:proofErr w:type="spellEnd"/>
      <w:r w:rsidRPr="00C04EEB">
        <w:rPr>
          <w:rFonts w:ascii="Garamond" w:hAnsi="Garamond" w:cs="Times New Roman"/>
          <w:sz w:val="24"/>
          <w:szCs w:val="26"/>
        </w:rPr>
        <w:t xml:space="preserve"> 1% </w:t>
      </w:r>
      <w:proofErr w:type="spellStart"/>
      <w:r w:rsidRPr="00C04EEB">
        <w:rPr>
          <w:rFonts w:ascii="Garamond" w:hAnsi="Garamond" w:cs="Times New Roman"/>
          <w:sz w:val="24"/>
          <w:szCs w:val="26"/>
        </w:rPr>
        <w:t>lainnya</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dimiliki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oleh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organisasi</w:t>
      </w:r>
      <w:proofErr w:type="spellEnd"/>
      <w:r w:rsidRPr="00C04EEB">
        <w:rPr>
          <w:rFonts w:ascii="Garamond" w:hAnsi="Garamond" w:cs="Times New Roman"/>
          <w:sz w:val="24"/>
          <w:szCs w:val="26"/>
        </w:rPr>
        <w:t xml:space="preserve"> yang </w:t>
      </w:r>
      <w:proofErr w:type="spellStart"/>
      <w:r w:rsidRPr="00C04EEB">
        <w:rPr>
          <w:rFonts w:ascii="Garamond" w:hAnsi="Garamond" w:cs="Times New Roman"/>
          <w:sz w:val="24"/>
          <w:szCs w:val="26"/>
        </w:rPr>
        <w:t>berafiliasi</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dengan</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pemerintah</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itu</w:t>
      </w:r>
      <w:proofErr w:type="spellEnd"/>
      <w:r w:rsidRPr="00C04EEB">
        <w:rPr>
          <w:rFonts w:ascii="Garamond" w:hAnsi="Garamond" w:cs="Times New Roman"/>
          <w:sz w:val="24"/>
          <w:szCs w:val="26"/>
        </w:rPr>
        <w:t xml:space="preserve"> </w:t>
      </w:r>
      <w:proofErr w:type="spellStart"/>
      <w:r w:rsidRPr="00C04EEB">
        <w:rPr>
          <w:rFonts w:ascii="Garamond" w:hAnsi="Garamond" w:cs="Times New Roman"/>
          <w:sz w:val="24"/>
          <w:szCs w:val="26"/>
        </w:rPr>
        <w:t>sendiri</w:t>
      </w:r>
      <w:proofErr w:type="spellEnd"/>
      <w:r w:rsidRPr="00C04EEB">
        <w:rPr>
          <w:rFonts w:ascii="Garamond" w:hAnsi="Garamond" w:cs="Times New Roman"/>
          <w:sz w:val="24"/>
          <w:szCs w:val="26"/>
        </w:rPr>
        <w:t xml:space="preserve">. </w:t>
      </w:r>
      <w:r w:rsidR="00A30FA8">
        <w:rPr>
          <w:rFonts w:ascii="Garamond" w:hAnsi="Garamond" w:cs="Times New Roman"/>
          <w:sz w:val="24"/>
          <w:szCs w:val="26"/>
          <w:lang w:val="id-ID"/>
        </w:rPr>
        <w:t>Dengan demikian, kepemilikan daerah terjamin dengan ketentuan ini.</w:t>
      </w:r>
    </w:p>
    <w:p w:rsidR="004F7743" w:rsidRDefault="00505478" w:rsidP="00C04EEB">
      <w:pPr>
        <w:pStyle w:val="ListParagraph"/>
        <w:spacing w:before="120"/>
        <w:ind w:left="0"/>
        <w:contextualSpacing w:val="0"/>
        <w:rPr>
          <w:rFonts w:ascii="Garamond" w:hAnsi="Garamond" w:cs="Times New Roman"/>
          <w:sz w:val="24"/>
          <w:szCs w:val="26"/>
          <w:lang w:val="id-ID"/>
        </w:rPr>
      </w:pPr>
      <w:r>
        <w:rPr>
          <w:rFonts w:ascii="Garamond" w:hAnsi="Garamond" w:cs="Times New Roman"/>
          <w:sz w:val="24"/>
          <w:szCs w:val="26"/>
          <w:lang w:val="id-ID"/>
        </w:rPr>
        <w:t xml:space="preserve">Salah satu </w:t>
      </w:r>
      <w:r w:rsidR="004F7743">
        <w:rPr>
          <w:rFonts w:ascii="Garamond" w:hAnsi="Garamond" w:cs="Times New Roman"/>
          <w:sz w:val="24"/>
          <w:szCs w:val="26"/>
          <w:lang w:val="id-ID"/>
        </w:rPr>
        <w:t xml:space="preserve">BUMD yang sudah berhasil mengimplemantasikan Permen 37/2016 adalah PT.Migas Hulu Jabar yang memiliki PI di Blok ONWJ yang dioperasikan oleh kontraktor PT.Pertamina Hulu Energi – ONWJ. </w:t>
      </w:r>
    </w:p>
    <w:p w:rsidR="00B627C7" w:rsidRDefault="004F7743" w:rsidP="00C04EEB">
      <w:pPr>
        <w:pStyle w:val="ListParagraph"/>
        <w:spacing w:before="120"/>
        <w:ind w:left="0"/>
        <w:contextualSpacing w:val="0"/>
        <w:rPr>
          <w:rFonts w:ascii="Garamond" w:hAnsi="Garamond" w:cs="Times New Roman"/>
          <w:sz w:val="24"/>
          <w:szCs w:val="26"/>
          <w:lang w:val="id-ID"/>
        </w:rPr>
      </w:pPr>
      <w:r>
        <w:rPr>
          <w:rFonts w:ascii="Garamond" w:hAnsi="Garamond" w:cs="Times New Roman"/>
          <w:sz w:val="24"/>
          <w:szCs w:val="26"/>
          <w:lang w:val="id-ID"/>
        </w:rPr>
        <w:t>PT.Migas Hulu Jabar merupakan</w:t>
      </w:r>
      <w:r w:rsidRPr="004F7743">
        <w:rPr>
          <w:rFonts w:ascii="Garamond" w:hAnsi="Garamond" w:cs="Times New Roman"/>
          <w:sz w:val="24"/>
          <w:szCs w:val="26"/>
          <w:lang w:val="id-ID"/>
        </w:rPr>
        <w:t xml:space="preserve"> BUMD Inisiator &amp; implementator pertama penerima Participating Interest 10% Wilayah Kerja Offshore North West Java (PI 10% WK ONWJ) bersama BUMD Kabupaten Bekasi, Subang, Kerawang &amp; Indramayu </w:t>
      </w:r>
      <w:r w:rsidR="00B627C7">
        <w:rPr>
          <w:rFonts w:ascii="Garamond" w:hAnsi="Garamond" w:cs="Times New Roman"/>
          <w:sz w:val="24"/>
          <w:szCs w:val="26"/>
          <w:lang w:val="id-ID"/>
        </w:rPr>
        <w:t>serta BUMD Provinsi DKI Jakarta.</w:t>
      </w:r>
    </w:p>
    <w:p w:rsidR="00B627C7" w:rsidRDefault="00C43E5A" w:rsidP="00C04EEB">
      <w:pPr>
        <w:pStyle w:val="ListParagraph"/>
        <w:spacing w:before="120"/>
        <w:ind w:left="0"/>
        <w:contextualSpacing w:val="0"/>
        <w:rPr>
          <w:rFonts w:ascii="Garamond" w:hAnsi="Garamond" w:cs="Times New Roman"/>
          <w:sz w:val="24"/>
          <w:szCs w:val="26"/>
          <w:lang w:val="id-ID"/>
        </w:rPr>
      </w:pPr>
      <w:r>
        <w:rPr>
          <w:rFonts w:ascii="Garamond" w:hAnsi="Garamond" w:cs="Times New Roman"/>
          <w:sz w:val="24"/>
          <w:szCs w:val="26"/>
          <w:lang w:val="id-ID"/>
        </w:rPr>
        <w:t>Pada tahun b</w:t>
      </w:r>
      <w:r w:rsidRPr="00C43E5A">
        <w:rPr>
          <w:rFonts w:ascii="Garamond" w:hAnsi="Garamond" w:cs="Times New Roman"/>
          <w:sz w:val="24"/>
          <w:szCs w:val="26"/>
          <w:lang w:val="id-ID"/>
        </w:rPr>
        <w:t>uku 2018</w:t>
      </w:r>
      <w:r>
        <w:rPr>
          <w:rFonts w:ascii="Garamond" w:hAnsi="Garamond" w:cs="Times New Roman"/>
          <w:sz w:val="24"/>
          <w:szCs w:val="26"/>
          <w:lang w:val="id-ID"/>
        </w:rPr>
        <w:t xml:space="preserve">. PT Migas Hulu Jabar mencatatkan laba </w:t>
      </w:r>
      <w:r w:rsidRPr="00C43E5A">
        <w:rPr>
          <w:rFonts w:ascii="Garamond" w:hAnsi="Garamond" w:cs="Times New Roman"/>
          <w:sz w:val="24"/>
          <w:szCs w:val="26"/>
          <w:lang w:val="id-ID"/>
        </w:rPr>
        <w:t>sebesar US$7,85 juta dan mengalokasikan dividen sebesar US$2,60 juta atau sebesar 87,60% dari laba bersih setelah dikurangi cadangan perusahaan.</w:t>
      </w:r>
      <w:r>
        <w:rPr>
          <w:rFonts w:ascii="Garamond" w:hAnsi="Garamond" w:cs="Times New Roman"/>
          <w:sz w:val="24"/>
          <w:szCs w:val="26"/>
          <w:lang w:val="id-ID"/>
        </w:rPr>
        <w:t xml:space="preserve"> </w:t>
      </w:r>
    </w:p>
    <w:p w:rsidR="00C43E5A" w:rsidRDefault="00C43E5A" w:rsidP="00C04EEB">
      <w:pPr>
        <w:pStyle w:val="ListParagraph"/>
        <w:spacing w:before="120"/>
        <w:ind w:left="0"/>
        <w:contextualSpacing w:val="0"/>
        <w:rPr>
          <w:rFonts w:ascii="Garamond" w:hAnsi="Garamond" w:cs="Times New Roman"/>
          <w:sz w:val="24"/>
          <w:szCs w:val="26"/>
          <w:lang w:val="id-ID"/>
        </w:rPr>
      </w:pPr>
      <w:r>
        <w:rPr>
          <w:rFonts w:ascii="Garamond" w:hAnsi="Garamond" w:cs="Times New Roman"/>
          <w:sz w:val="24"/>
          <w:szCs w:val="26"/>
          <w:lang w:val="id-ID"/>
        </w:rPr>
        <w:t>Selanjutnya, d</w:t>
      </w:r>
      <w:r w:rsidRPr="00C43E5A">
        <w:rPr>
          <w:rFonts w:ascii="Garamond" w:hAnsi="Garamond" w:cs="Times New Roman"/>
          <w:sz w:val="24"/>
          <w:szCs w:val="26"/>
          <w:lang w:val="id-ID"/>
        </w:rPr>
        <w:t>ana cadangan dari laba bersih akan digunakan MUJ untuk pembelian aset diantaranya kantor dan melakukan pengembangan usaha di bidang energi khususnya di Provinsi Jawa Barat. Pengembangan usaha ini diharapkan dapat memberikan kontribusi untuk turut serta dalam pemenuhan kebutuhan energi di Jawa Barat dan dapat menjadi penambah pendapatan perseroan yang tentu akan meningkatkan Dividen ke Pemegang Saham dalam bentuk PAD ke Pemerintah Provinsi Jawa Barat di tahun-tahun yang akan datang</w:t>
      </w:r>
      <w:r w:rsidR="00B627C7">
        <w:rPr>
          <w:rFonts w:ascii="Garamond" w:hAnsi="Garamond" w:cs="Times New Roman"/>
          <w:sz w:val="24"/>
          <w:szCs w:val="26"/>
          <w:lang w:val="id-ID"/>
        </w:rPr>
        <w:t>.</w:t>
      </w:r>
    </w:p>
    <w:p w:rsidR="00B627C7" w:rsidRDefault="00B627C7" w:rsidP="00C04EEB">
      <w:pPr>
        <w:pStyle w:val="ListParagraph"/>
        <w:spacing w:before="120"/>
        <w:ind w:left="0"/>
        <w:contextualSpacing w:val="0"/>
        <w:rPr>
          <w:rFonts w:ascii="Garamond" w:hAnsi="Garamond" w:cs="Times New Roman"/>
          <w:sz w:val="24"/>
          <w:szCs w:val="26"/>
          <w:lang w:val="id-ID"/>
        </w:rPr>
      </w:pPr>
      <w:r>
        <w:rPr>
          <w:rFonts w:ascii="Garamond" w:hAnsi="Garamond" w:cs="Times New Roman"/>
          <w:sz w:val="24"/>
          <w:szCs w:val="26"/>
          <w:lang w:val="id-ID"/>
        </w:rPr>
        <w:t xml:space="preserve">Dalam tahun-tahun ke depan, beberapa BUMD akan menerima PI 10% dengan skema sesuai Permen 37/2016. BUMD-BUMD calon penerima PI ini berada di 19 Provinsi dimana blok-blok tersebut berada. Semoga hal ini menjadi cahaya baru BUMD di Indonesia.   </w:t>
      </w:r>
    </w:p>
    <w:p w:rsidR="004F7743" w:rsidRPr="00505478" w:rsidRDefault="004F7743" w:rsidP="00C04EEB">
      <w:pPr>
        <w:pStyle w:val="ListParagraph"/>
        <w:spacing w:before="120"/>
        <w:ind w:left="0"/>
        <w:contextualSpacing w:val="0"/>
        <w:rPr>
          <w:rFonts w:ascii="Garamond" w:hAnsi="Garamond" w:cs="Times New Roman"/>
          <w:sz w:val="24"/>
          <w:szCs w:val="26"/>
          <w:lang w:val="id-ID"/>
        </w:rPr>
      </w:pPr>
    </w:p>
    <w:p w:rsidR="008E37FA" w:rsidRPr="00C04EEB" w:rsidRDefault="008E37FA" w:rsidP="00C04EEB">
      <w:pPr>
        <w:pStyle w:val="ListParagraph"/>
        <w:spacing w:before="120"/>
        <w:ind w:left="0"/>
        <w:contextualSpacing w:val="0"/>
        <w:rPr>
          <w:rFonts w:ascii="Garamond" w:hAnsi="Garamond" w:cs="Times New Roman"/>
          <w:sz w:val="24"/>
          <w:szCs w:val="26"/>
        </w:rPr>
      </w:pPr>
    </w:p>
    <w:p w:rsidR="004B396E" w:rsidRPr="00C04EEB" w:rsidRDefault="004B396E" w:rsidP="00C04EEB">
      <w:pPr>
        <w:spacing w:line="276" w:lineRule="auto"/>
        <w:jc w:val="both"/>
        <w:rPr>
          <w:rFonts w:ascii="Garamond" w:hAnsi="Garamond"/>
          <w:b/>
          <w:sz w:val="24"/>
          <w:szCs w:val="26"/>
        </w:rPr>
      </w:pPr>
    </w:p>
    <w:p w:rsidR="006D1831" w:rsidRDefault="006D1831">
      <w:pPr>
        <w:rPr>
          <w:rFonts w:ascii="Garamond" w:hAnsi="Garamond"/>
          <w:b/>
          <w:sz w:val="24"/>
          <w:szCs w:val="26"/>
        </w:rPr>
      </w:pPr>
      <w:r>
        <w:rPr>
          <w:rFonts w:ascii="Garamond" w:hAnsi="Garamond"/>
          <w:b/>
          <w:sz w:val="24"/>
          <w:szCs w:val="26"/>
        </w:rPr>
        <w:br w:type="page"/>
      </w:r>
    </w:p>
    <w:p w:rsidR="00DC1065" w:rsidRDefault="00A30FA8" w:rsidP="00C04EEB">
      <w:pPr>
        <w:spacing w:line="276" w:lineRule="auto"/>
        <w:jc w:val="both"/>
        <w:rPr>
          <w:rFonts w:ascii="Garamond" w:hAnsi="Garamond"/>
          <w:b/>
          <w:sz w:val="24"/>
          <w:szCs w:val="26"/>
        </w:rPr>
      </w:pPr>
      <w:r>
        <w:rPr>
          <w:rFonts w:ascii="Garamond" w:hAnsi="Garamond"/>
          <w:b/>
          <w:sz w:val="24"/>
          <w:szCs w:val="26"/>
        </w:rPr>
        <w:lastRenderedPageBreak/>
        <w:t>Referensi:</w:t>
      </w:r>
    </w:p>
    <w:p w:rsidR="00A30FA8" w:rsidRPr="0073170F" w:rsidRDefault="00A30FA8" w:rsidP="00A30FA8">
      <w:pPr>
        <w:spacing w:line="360" w:lineRule="auto"/>
        <w:ind w:left="567" w:hanging="567"/>
      </w:pPr>
      <w:r w:rsidRPr="0073170F">
        <w:t xml:space="preserve">Pemerintah Indonesia. 2004. </w:t>
      </w:r>
      <w:r w:rsidRPr="0073170F">
        <w:rPr>
          <w:i/>
        </w:rPr>
        <w:t>Peraturan Pemerintah Republik Indonesia No. 35 Tahun 2004 tentang Kegiatan Usaha Hulu Minyak dan Gas Bumi</w:t>
      </w:r>
      <w:r w:rsidRPr="0073170F">
        <w:t>. Lembar Negara RI Tahun 2004, No. 123. Jakarta: Sekretariat Negara.</w:t>
      </w:r>
    </w:p>
    <w:p w:rsidR="00A30FA8" w:rsidRPr="0073170F" w:rsidRDefault="00A30FA8" w:rsidP="00A30FA8">
      <w:pPr>
        <w:spacing w:line="360" w:lineRule="auto"/>
        <w:ind w:left="567" w:hanging="567"/>
      </w:pPr>
      <w:r w:rsidRPr="0073170F">
        <w:t xml:space="preserve">Pemerintah Indonesia. 2015. </w:t>
      </w:r>
      <w:r w:rsidRPr="0073170F">
        <w:rPr>
          <w:i/>
        </w:rPr>
        <w:t>Peraturan Menteri Energi dan Sumber Daya Mineral Republik Indonesia No. 15 Tahun 2015 tentang Pengelolaan Wilayah Kerja Minyak dan Gas Bumi Yang Akan Berakhir Kontrak Kerjasamanya</w:t>
      </w:r>
      <w:r w:rsidRPr="0073170F">
        <w:t>. Berita Negara RI Tahun 2015 No. 714. Jakarta.</w:t>
      </w:r>
    </w:p>
    <w:p w:rsidR="00A30FA8" w:rsidRPr="0073170F" w:rsidRDefault="00A30FA8" w:rsidP="00A30FA8">
      <w:pPr>
        <w:spacing w:line="360" w:lineRule="auto"/>
        <w:ind w:left="567" w:hanging="567"/>
      </w:pPr>
      <w:r w:rsidRPr="0073170F">
        <w:t xml:space="preserve">Pemerintah Indonesia. 2016. </w:t>
      </w:r>
      <w:r w:rsidRPr="0073170F">
        <w:rPr>
          <w:i/>
        </w:rPr>
        <w:t>Peraturan Menteri Energi dan Sumber Daya Mineral Republik Indonesia No. 37 Tahun 2016 tentang Ketentuan Penawaran Participating Interest 10% (Sepuluh Persen) Pada Wilayah Kerja Minyak dan Gas Bumi</w:t>
      </w:r>
      <w:r w:rsidRPr="0073170F">
        <w:t>. Berita Negara RI Tahun 2016 No. 1795. Jakarta.</w:t>
      </w:r>
    </w:p>
    <w:p w:rsidR="00A30FA8" w:rsidRPr="0073170F" w:rsidRDefault="00A30FA8" w:rsidP="00A30FA8">
      <w:pPr>
        <w:spacing w:line="360" w:lineRule="auto"/>
        <w:ind w:left="567" w:hanging="567"/>
      </w:pPr>
      <w:r w:rsidRPr="0073170F">
        <w:t xml:space="preserve">Pemerintah Indonesia. 2017. </w:t>
      </w:r>
      <w:r w:rsidRPr="0073170F">
        <w:rPr>
          <w:i/>
        </w:rPr>
        <w:t>Peraturan Pemerintah Republik Indonesia No. 54 Tahun 2017 tentang Badan Usaha Milik Daerah</w:t>
      </w:r>
      <w:r w:rsidRPr="0073170F">
        <w:t>. Lembar Negara RI Tahun 2017 No. 135. Jakarta</w:t>
      </w:r>
    </w:p>
    <w:p w:rsidR="00A30FA8" w:rsidRPr="00472951" w:rsidRDefault="00651B2B" w:rsidP="00472951">
      <w:pPr>
        <w:spacing w:line="360" w:lineRule="auto"/>
        <w:ind w:left="567" w:hanging="567"/>
      </w:pPr>
      <w:r>
        <w:t>Muhamad Sani</w:t>
      </w:r>
      <w:r w:rsidR="00A30FA8">
        <w:t>. 2109. Berkat PI 10% WK ONWJ PT Migas Hulu Jabar Bagi Deviden ke Pemprov Jabar dan Kembangkan Usaha Migas</w:t>
      </w:r>
      <w:r w:rsidR="00893199">
        <w:t>, diakses dari</w:t>
      </w:r>
      <w:r w:rsidR="00A30FA8" w:rsidRPr="0073170F">
        <w:rPr>
          <w:color w:val="FFFFFF" w:themeColor="background1"/>
        </w:rPr>
        <w:t>d</w:t>
      </w:r>
      <w:r w:rsidR="00A30FA8" w:rsidRPr="00A30FA8">
        <w:t>https://adpm.or.id/2019/05/07/berkat-pi-10-wk-onwj-pt-migas-hulu-jabar-muj-bagi-deviden-ke-pemprov-jabar-dan-kembangkan-usaha-migas/</w:t>
      </w:r>
      <w:r w:rsidR="00893199">
        <w:rPr>
          <w:color w:val="000000" w:themeColor="text1"/>
        </w:rPr>
        <w:t>, pada tanggal</w:t>
      </w:r>
      <w:r w:rsidR="00472951">
        <w:rPr>
          <w:color w:val="000000" w:themeColor="text1"/>
        </w:rPr>
        <w:t xml:space="preserve"> 16 Juli</w:t>
      </w:r>
      <w:r w:rsidR="00A30FA8" w:rsidRPr="0073170F">
        <w:rPr>
          <w:color w:val="000000" w:themeColor="text1"/>
        </w:rPr>
        <w:t xml:space="preserve"> 2019.  </w:t>
      </w:r>
    </w:p>
    <w:p w:rsidR="00472951" w:rsidRDefault="00651B2B" w:rsidP="00472951">
      <w:pPr>
        <w:spacing w:line="360" w:lineRule="auto"/>
        <w:ind w:left="567" w:hanging="567"/>
        <w:rPr>
          <w:color w:val="000000" w:themeColor="text1"/>
        </w:rPr>
      </w:pPr>
      <w:r>
        <w:t>Nugroho</w:t>
      </w:r>
      <w:r w:rsidR="00472951">
        <w:t xml:space="preserve">. 2109. </w:t>
      </w:r>
      <w:r>
        <w:t>BUMD Bojonegoro Terima Pendapatan Blok Cepu Rp. 1,7 Trilyun</w:t>
      </w:r>
      <w:r w:rsidR="00472951">
        <w:t xml:space="preserve">, diakses dari </w:t>
      </w:r>
      <w:hyperlink r:id="rId7" w:history="1">
        <w:r w:rsidR="00472951">
          <w:rPr>
            <w:rStyle w:val="Hyperlink"/>
          </w:rPr>
          <w:t>http://suarabanyuurip.com/kabar/baca/bumd-bojonegoro-terima-pendapatan-pi-blok-cepu-rp1-7-triliun</w:t>
        </w:r>
      </w:hyperlink>
      <w:r w:rsidR="00472951" w:rsidRPr="00A30FA8">
        <w:t>/</w:t>
      </w:r>
      <w:r w:rsidR="00472951">
        <w:rPr>
          <w:color w:val="000000" w:themeColor="text1"/>
        </w:rPr>
        <w:t>, pada tanggal 16 Juli 2019.</w:t>
      </w:r>
    </w:p>
    <w:p w:rsidR="00A30FA8" w:rsidRDefault="00A30FA8" w:rsidP="00C04EEB">
      <w:pPr>
        <w:spacing w:line="276" w:lineRule="auto"/>
        <w:jc w:val="both"/>
        <w:rPr>
          <w:rFonts w:ascii="Garamond" w:hAnsi="Garamond"/>
          <w:b/>
          <w:sz w:val="24"/>
          <w:szCs w:val="26"/>
        </w:rPr>
      </w:pPr>
    </w:p>
    <w:p w:rsidR="00A30FA8" w:rsidRPr="00C04EEB" w:rsidRDefault="00A30FA8" w:rsidP="00C04EEB">
      <w:pPr>
        <w:spacing w:line="276" w:lineRule="auto"/>
        <w:jc w:val="both"/>
        <w:rPr>
          <w:rFonts w:ascii="Garamond" w:hAnsi="Garamond"/>
          <w:b/>
          <w:sz w:val="24"/>
          <w:szCs w:val="26"/>
        </w:rPr>
      </w:pPr>
    </w:p>
    <w:sectPr w:rsidR="00A30FA8" w:rsidRPr="00C04EEB" w:rsidSect="00B52E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84390"/>
    <w:multiLevelType w:val="hybridMultilevel"/>
    <w:tmpl w:val="45121E6C"/>
    <w:lvl w:ilvl="0" w:tplc="60FC0ABC">
      <w:start w:val="1"/>
      <w:numFmt w:val="bullet"/>
      <w:lvlText w:val="•"/>
      <w:lvlJc w:val="left"/>
      <w:pPr>
        <w:tabs>
          <w:tab w:val="num" w:pos="720"/>
        </w:tabs>
        <w:ind w:left="720" w:hanging="360"/>
      </w:pPr>
      <w:rPr>
        <w:rFonts w:ascii="Arial" w:hAnsi="Arial" w:hint="default"/>
      </w:rPr>
    </w:lvl>
    <w:lvl w:ilvl="1" w:tplc="497C93AA" w:tentative="1">
      <w:start w:val="1"/>
      <w:numFmt w:val="bullet"/>
      <w:lvlText w:val="•"/>
      <w:lvlJc w:val="left"/>
      <w:pPr>
        <w:tabs>
          <w:tab w:val="num" w:pos="1440"/>
        </w:tabs>
        <w:ind w:left="1440" w:hanging="360"/>
      </w:pPr>
      <w:rPr>
        <w:rFonts w:ascii="Arial" w:hAnsi="Arial" w:hint="default"/>
      </w:rPr>
    </w:lvl>
    <w:lvl w:ilvl="2" w:tplc="62FE217A" w:tentative="1">
      <w:start w:val="1"/>
      <w:numFmt w:val="bullet"/>
      <w:lvlText w:val="•"/>
      <w:lvlJc w:val="left"/>
      <w:pPr>
        <w:tabs>
          <w:tab w:val="num" w:pos="2160"/>
        </w:tabs>
        <w:ind w:left="2160" w:hanging="360"/>
      </w:pPr>
      <w:rPr>
        <w:rFonts w:ascii="Arial" w:hAnsi="Arial" w:hint="default"/>
      </w:rPr>
    </w:lvl>
    <w:lvl w:ilvl="3" w:tplc="C4381BA4" w:tentative="1">
      <w:start w:val="1"/>
      <w:numFmt w:val="bullet"/>
      <w:lvlText w:val="•"/>
      <w:lvlJc w:val="left"/>
      <w:pPr>
        <w:tabs>
          <w:tab w:val="num" w:pos="2880"/>
        </w:tabs>
        <w:ind w:left="2880" w:hanging="360"/>
      </w:pPr>
      <w:rPr>
        <w:rFonts w:ascii="Arial" w:hAnsi="Arial" w:hint="default"/>
      </w:rPr>
    </w:lvl>
    <w:lvl w:ilvl="4" w:tplc="B96E25B0" w:tentative="1">
      <w:start w:val="1"/>
      <w:numFmt w:val="bullet"/>
      <w:lvlText w:val="•"/>
      <w:lvlJc w:val="left"/>
      <w:pPr>
        <w:tabs>
          <w:tab w:val="num" w:pos="3600"/>
        </w:tabs>
        <w:ind w:left="3600" w:hanging="360"/>
      </w:pPr>
      <w:rPr>
        <w:rFonts w:ascii="Arial" w:hAnsi="Arial" w:hint="default"/>
      </w:rPr>
    </w:lvl>
    <w:lvl w:ilvl="5" w:tplc="506EF2A6" w:tentative="1">
      <w:start w:val="1"/>
      <w:numFmt w:val="bullet"/>
      <w:lvlText w:val="•"/>
      <w:lvlJc w:val="left"/>
      <w:pPr>
        <w:tabs>
          <w:tab w:val="num" w:pos="4320"/>
        </w:tabs>
        <w:ind w:left="4320" w:hanging="360"/>
      </w:pPr>
      <w:rPr>
        <w:rFonts w:ascii="Arial" w:hAnsi="Arial" w:hint="default"/>
      </w:rPr>
    </w:lvl>
    <w:lvl w:ilvl="6" w:tplc="6B680A14" w:tentative="1">
      <w:start w:val="1"/>
      <w:numFmt w:val="bullet"/>
      <w:lvlText w:val="•"/>
      <w:lvlJc w:val="left"/>
      <w:pPr>
        <w:tabs>
          <w:tab w:val="num" w:pos="5040"/>
        </w:tabs>
        <w:ind w:left="5040" w:hanging="360"/>
      </w:pPr>
      <w:rPr>
        <w:rFonts w:ascii="Arial" w:hAnsi="Arial" w:hint="default"/>
      </w:rPr>
    </w:lvl>
    <w:lvl w:ilvl="7" w:tplc="19BC938C" w:tentative="1">
      <w:start w:val="1"/>
      <w:numFmt w:val="bullet"/>
      <w:lvlText w:val="•"/>
      <w:lvlJc w:val="left"/>
      <w:pPr>
        <w:tabs>
          <w:tab w:val="num" w:pos="5760"/>
        </w:tabs>
        <w:ind w:left="5760" w:hanging="360"/>
      </w:pPr>
      <w:rPr>
        <w:rFonts w:ascii="Arial" w:hAnsi="Arial" w:hint="default"/>
      </w:rPr>
    </w:lvl>
    <w:lvl w:ilvl="8" w:tplc="D35C2DF6" w:tentative="1">
      <w:start w:val="1"/>
      <w:numFmt w:val="bullet"/>
      <w:lvlText w:val="•"/>
      <w:lvlJc w:val="left"/>
      <w:pPr>
        <w:tabs>
          <w:tab w:val="num" w:pos="6480"/>
        </w:tabs>
        <w:ind w:left="6480" w:hanging="360"/>
      </w:pPr>
      <w:rPr>
        <w:rFonts w:ascii="Arial" w:hAnsi="Arial" w:hint="default"/>
      </w:rPr>
    </w:lvl>
  </w:abstractNum>
  <w:abstractNum w:abstractNumId="1">
    <w:nsid w:val="72CA7D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065"/>
    <w:rsid w:val="00181F97"/>
    <w:rsid w:val="0020378A"/>
    <w:rsid w:val="00392784"/>
    <w:rsid w:val="003C267D"/>
    <w:rsid w:val="00472951"/>
    <w:rsid w:val="004B396E"/>
    <w:rsid w:val="004B5D3C"/>
    <w:rsid w:val="004F7743"/>
    <w:rsid w:val="00505478"/>
    <w:rsid w:val="00651B2B"/>
    <w:rsid w:val="0068745A"/>
    <w:rsid w:val="006D1831"/>
    <w:rsid w:val="00893199"/>
    <w:rsid w:val="008E37FA"/>
    <w:rsid w:val="00947F78"/>
    <w:rsid w:val="00A30FA8"/>
    <w:rsid w:val="00B52E14"/>
    <w:rsid w:val="00B627C7"/>
    <w:rsid w:val="00BE68A2"/>
    <w:rsid w:val="00C04EEB"/>
    <w:rsid w:val="00C1162F"/>
    <w:rsid w:val="00C3364C"/>
    <w:rsid w:val="00C43E5A"/>
    <w:rsid w:val="00DC1065"/>
    <w:rsid w:val="00F620D1"/>
    <w:rsid w:val="00F93B57"/>
    <w:rsid w:val="00FF6C2A"/>
  </w:rsids>
  <m:mathPr>
    <m:mathFont m:val="Cambria Math"/>
    <m:brkBin m:val="before"/>
    <m:brkBinSub m:val="--"/>
    <m:smallFrac m:val="0"/>
    <m:dispDef/>
    <m:lMargin m:val="0"/>
    <m:rMargin m:val="0"/>
    <m:defJc m:val="centerGroup"/>
    <m:wrapIndent m:val="1440"/>
    <m:intLim m:val="subSup"/>
    <m:naryLim m:val="undOvr"/>
  </m:mathPr>
  <w:themeFontLang w:val="id-ID"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65"/>
    <w:rPr>
      <w:color w:val="0563C1" w:themeColor="hyperlink"/>
      <w:u w:val="single"/>
    </w:rPr>
  </w:style>
  <w:style w:type="paragraph" w:styleId="Title">
    <w:name w:val="Title"/>
    <w:basedOn w:val="Normal"/>
    <w:next w:val="Normal"/>
    <w:link w:val="TitleChar"/>
    <w:uiPriority w:val="10"/>
    <w:qFormat/>
    <w:rsid w:val="004B3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9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396E"/>
    <w:pPr>
      <w:spacing w:after="200" w:line="276" w:lineRule="auto"/>
      <w:ind w:left="720"/>
      <w:contextualSpacing/>
      <w:jc w:val="both"/>
    </w:pPr>
    <w:rPr>
      <w:rFonts w:eastAsiaTheme="minorEastAsia"/>
      <w:sz w:val="20"/>
      <w:szCs w:val="20"/>
      <w:lang w:val="en-US"/>
    </w:rPr>
  </w:style>
  <w:style w:type="paragraph" w:styleId="HTMLPreformatted">
    <w:name w:val="HTML Preformatted"/>
    <w:basedOn w:val="Normal"/>
    <w:link w:val="HTMLPreformattedChar"/>
    <w:uiPriority w:val="99"/>
    <w:unhideWhenUsed/>
    <w:rsid w:val="004B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4B396E"/>
    <w:rPr>
      <w:rFonts w:ascii="Courier New" w:eastAsiaTheme="minorEastAsia" w:hAnsi="Courier New" w:cs="Courier New"/>
      <w:sz w:val="20"/>
      <w:szCs w:val="20"/>
      <w:lang w:val="en-US"/>
    </w:rPr>
  </w:style>
  <w:style w:type="table" w:customStyle="1" w:styleId="GridTableLight">
    <w:name w:val="Grid Table Light"/>
    <w:basedOn w:val="TableNormal"/>
    <w:uiPriority w:val="40"/>
    <w:rsid w:val="003927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9278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92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065"/>
    <w:rPr>
      <w:color w:val="0563C1" w:themeColor="hyperlink"/>
      <w:u w:val="single"/>
    </w:rPr>
  </w:style>
  <w:style w:type="paragraph" w:styleId="Title">
    <w:name w:val="Title"/>
    <w:basedOn w:val="Normal"/>
    <w:next w:val="Normal"/>
    <w:link w:val="TitleChar"/>
    <w:uiPriority w:val="10"/>
    <w:qFormat/>
    <w:rsid w:val="004B3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9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396E"/>
    <w:pPr>
      <w:spacing w:after="200" w:line="276" w:lineRule="auto"/>
      <w:ind w:left="720"/>
      <w:contextualSpacing/>
      <w:jc w:val="both"/>
    </w:pPr>
    <w:rPr>
      <w:rFonts w:eastAsiaTheme="minorEastAsia"/>
      <w:sz w:val="20"/>
      <w:szCs w:val="20"/>
      <w:lang w:val="en-US"/>
    </w:rPr>
  </w:style>
  <w:style w:type="paragraph" w:styleId="HTMLPreformatted">
    <w:name w:val="HTML Preformatted"/>
    <w:basedOn w:val="Normal"/>
    <w:link w:val="HTMLPreformattedChar"/>
    <w:uiPriority w:val="99"/>
    <w:unhideWhenUsed/>
    <w:rsid w:val="004B3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4B396E"/>
    <w:rPr>
      <w:rFonts w:ascii="Courier New" w:eastAsiaTheme="minorEastAsia" w:hAnsi="Courier New" w:cs="Courier New"/>
      <w:sz w:val="20"/>
      <w:szCs w:val="20"/>
      <w:lang w:val="en-US"/>
    </w:rPr>
  </w:style>
  <w:style w:type="table" w:customStyle="1" w:styleId="GridTableLight">
    <w:name w:val="Grid Table Light"/>
    <w:basedOn w:val="TableNormal"/>
    <w:uiPriority w:val="40"/>
    <w:rsid w:val="003927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39278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92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613337">
      <w:bodyDiv w:val="1"/>
      <w:marLeft w:val="0"/>
      <w:marRight w:val="0"/>
      <w:marTop w:val="0"/>
      <w:marBottom w:val="0"/>
      <w:divBdr>
        <w:top w:val="none" w:sz="0" w:space="0" w:color="auto"/>
        <w:left w:val="none" w:sz="0" w:space="0" w:color="auto"/>
        <w:bottom w:val="none" w:sz="0" w:space="0" w:color="auto"/>
        <w:right w:val="none" w:sz="0" w:space="0" w:color="auto"/>
      </w:divBdr>
      <w:divsChild>
        <w:div w:id="13848931">
          <w:marLeft w:val="446"/>
          <w:marRight w:val="0"/>
          <w:marTop w:val="0"/>
          <w:marBottom w:val="0"/>
          <w:divBdr>
            <w:top w:val="none" w:sz="0" w:space="0" w:color="auto"/>
            <w:left w:val="none" w:sz="0" w:space="0" w:color="auto"/>
            <w:bottom w:val="none" w:sz="0" w:space="0" w:color="auto"/>
            <w:right w:val="none" w:sz="0" w:space="0" w:color="auto"/>
          </w:divBdr>
        </w:div>
        <w:div w:id="1318535558">
          <w:marLeft w:val="446"/>
          <w:marRight w:val="0"/>
          <w:marTop w:val="0"/>
          <w:marBottom w:val="0"/>
          <w:divBdr>
            <w:top w:val="none" w:sz="0" w:space="0" w:color="auto"/>
            <w:left w:val="none" w:sz="0" w:space="0" w:color="auto"/>
            <w:bottom w:val="none" w:sz="0" w:space="0" w:color="auto"/>
            <w:right w:val="none" w:sz="0" w:space="0" w:color="auto"/>
          </w:divBdr>
        </w:div>
      </w:divsChild>
    </w:div>
    <w:div w:id="207778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arabanyuurip.com/kabar/baca/bumd-bojonegoro-terima-pendapatan-pi-blok-cepu-rp1-7-trili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18</cp:revision>
  <dcterms:created xsi:type="dcterms:W3CDTF">2019-07-15T23:31:00Z</dcterms:created>
  <dcterms:modified xsi:type="dcterms:W3CDTF">2021-05-21T07:46:00Z</dcterms:modified>
</cp:coreProperties>
</file>