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6F43" w:rsidRPr="008E6F43" w:rsidRDefault="008E6F43" w:rsidP="008E6F43">
      <w:pPr>
        <w:widowControl/>
        <w:wordWrap/>
        <w:autoSpaceDE/>
        <w:autoSpaceDN/>
        <w:spacing w:line="240" w:lineRule="auto"/>
        <w:jc w:val="left"/>
        <w:rPr>
          <w:rFonts w:ascii="맑은 고딕" w:eastAsia="맑은 고딕" w:hAnsi="맑은 고딕" w:cs="Times New Roman"/>
          <w:bCs/>
          <w:sz w:val="22"/>
          <w:szCs w:val="24"/>
          <w14:ligatures w14:val="standardContextual"/>
        </w:rPr>
      </w:pPr>
      <w:r>
        <w:rPr>
          <w:rFonts w:ascii="맑은 고딕" w:eastAsia="맑은 고딕" w:hAnsi="맑은 고딕" w:cs="Times New Roman"/>
          <w:bCs/>
          <w:sz w:val="22"/>
          <w:szCs w:val="24"/>
          <w14:ligatures w14:val="standardContextual"/>
        </w:rPr>
        <w:t>Active Learning for Discovery of Solid-State Li Ion Conductors Using q-NEH</w:t>
      </w:r>
      <w:r w:rsidR="00C2251A">
        <w:rPr>
          <w:rFonts w:ascii="맑은 고딕" w:eastAsia="맑은 고딕" w:hAnsi="맑은 고딕" w:cs="Times New Roman"/>
          <w:bCs/>
          <w:sz w:val="22"/>
          <w:szCs w:val="24"/>
          <w14:ligatures w14:val="standardContextual"/>
        </w:rPr>
        <w:t>V</w:t>
      </w:r>
      <w:r>
        <w:rPr>
          <w:rFonts w:ascii="맑은 고딕" w:eastAsia="맑은 고딕" w:hAnsi="맑은 고딕" w:cs="Times New Roman"/>
          <w:bCs/>
          <w:sz w:val="22"/>
          <w:szCs w:val="24"/>
          <w14:ligatures w14:val="standardContextual"/>
        </w:rPr>
        <w:t xml:space="preserve">I Algorithm </w:t>
      </w:r>
      <w:r w:rsidR="004213CD">
        <w:rPr>
          <w:rFonts w:ascii="맑은 고딕" w:eastAsia="맑은 고딕" w:hAnsi="맑은 고딕" w:cs="Times New Roman"/>
          <w:bCs/>
          <w:sz w:val="22"/>
          <w:szCs w:val="24"/>
          <w14:ligatures w14:val="standardContextual"/>
        </w:rPr>
        <w:t xml:space="preserve">Operated by </w:t>
      </w:r>
      <w:r w:rsidR="004213CD" w:rsidRPr="000D5DDA">
        <w:rPr>
          <w:bCs/>
        </w:rPr>
        <w:t>CHGNet</w:t>
      </w:r>
      <w:r w:rsidR="004213CD">
        <w:rPr>
          <w:bCs/>
        </w:rPr>
        <w:t xml:space="preserve"> Imbedding. </w:t>
      </w:r>
    </w:p>
    <w:p w:rsidR="008E6F43" w:rsidRPr="008E6F43" w:rsidRDefault="008E6F43" w:rsidP="008E6F43">
      <w:pPr>
        <w:widowControl/>
        <w:wordWrap/>
        <w:autoSpaceDE/>
        <w:autoSpaceDN/>
        <w:spacing w:line="240" w:lineRule="auto"/>
        <w:jc w:val="left"/>
        <w:rPr>
          <w:rFonts w:ascii="맑은 고딕" w:eastAsia="맑은 고딕" w:hAnsi="맑은 고딕" w:cs="Times New Roman"/>
          <w:bCs/>
          <w:sz w:val="22"/>
          <w:szCs w:val="24"/>
          <w14:ligatures w14:val="standardContextual"/>
        </w:rPr>
      </w:pPr>
    </w:p>
    <w:p w:rsidR="008E6F43" w:rsidRPr="008E6F43" w:rsidRDefault="008E6F43" w:rsidP="008E6F43">
      <w:pPr>
        <w:widowControl/>
        <w:wordWrap/>
        <w:autoSpaceDE/>
        <w:autoSpaceDN/>
        <w:spacing w:line="240" w:lineRule="auto"/>
        <w:jc w:val="left"/>
        <w:rPr>
          <w:rFonts w:ascii="맑은 고딕" w:eastAsia="맑은 고딕" w:hAnsi="맑은 고딕" w:cs="Times New Roman"/>
          <w:bCs/>
          <w:sz w:val="22"/>
          <w:szCs w:val="24"/>
          <w:vertAlign w:val="superscript"/>
          <w14:ligatures w14:val="standardContextual"/>
        </w:rPr>
      </w:pPr>
      <w:r w:rsidRPr="008E6F43">
        <w:rPr>
          <w:rFonts w:ascii="맑은 고딕" w:eastAsia="맑은 고딕" w:hAnsi="맑은 고딕" w:cs="Times New Roman"/>
          <w:bCs/>
          <w:sz w:val="22"/>
          <w:szCs w:val="24"/>
          <w14:ligatures w14:val="standardContextual"/>
        </w:rPr>
        <w:t>Young Hoon Seo</w:t>
      </w:r>
      <w:r w:rsidRPr="008E6F43">
        <w:rPr>
          <w:rFonts w:ascii="맑은 고딕" w:eastAsia="맑은 고딕" w:hAnsi="맑은 고딕" w:cs="Times New Roman"/>
          <w:bCs/>
          <w:sz w:val="22"/>
          <w:szCs w:val="24"/>
          <w:vertAlign w:val="superscript"/>
          <w14:ligatures w14:val="standardContextual"/>
        </w:rPr>
        <w:t>1,§</w:t>
      </w:r>
      <w:r>
        <w:rPr>
          <w:rFonts w:ascii="맑은 고딕" w:eastAsia="맑은 고딕" w:hAnsi="맑은 고딕" w:cs="Times New Roman"/>
          <w:bCs/>
          <w:sz w:val="22"/>
          <w:szCs w:val="24"/>
          <w14:ligatures w14:val="standardContextual"/>
        </w:rPr>
        <w:t xml:space="preserve">, </w:t>
      </w:r>
      <w:r w:rsidRPr="008E6F43">
        <w:rPr>
          <w:rFonts w:ascii="맑은 고딕" w:eastAsia="Times New Roman" w:hAnsi="맑은 고딕" w:cs="Times New Roman"/>
          <w:sz w:val="22"/>
          <w:szCs w:val="24"/>
          <w14:ligatures w14:val="standardContextual"/>
        </w:rPr>
        <w:t>Byung Do Lee</w:t>
      </w:r>
      <w:r w:rsidRPr="008E6F43">
        <w:rPr>
          <w:rFonts w:ascii="맑은 고딕" w:eastAsia="맑은 고딕" w:hAnsi="맑은 고딕" w:cs="Times New Roman"/>
          <w:bCs/>
          <w:sz w:val="22"/>
          <w:szCs w:val="24"/>
          <w:vertAlign w:val="superscript"/>
          <w14:ligatures w14:val="standardContextual"/>
        </w:rPr>
        <w:t>1,§</w:t>
      </w:r>
      <w:r w:rsidRPr="008E6F43">
        <w:rPr>
          <w:rFonts w:ascii="맑은 고딕" w:eastAsia="Times New Roman" w:hAnsi="맑은 고딕" w:cs="Times New Roman"/>
          <w:sz w:val="22"/>
          <w:szCs w:val="24"/>
          <w14:ligatures w14:val="standardContextual"/>
        </w:rPr>
        <w:t xml:space="preserve">, </w:t>
      </w:r>
      <w:r w:rsidR="004213CD">
        <w:rPr>
          <w:rFonts w:ascii="Arial" w:hAnsi="Arial" w:cs="Arial"/>
          <w:color w:val="222222"/>
          <w:szCs w:val="20"/>
          <w:shd w:val="clear" w:color="auto" w:fill="FFFFFF"/>
        </w:rPr>
        <w:t>Min Young Cho</w:t>
      </w:r>
      <w:r w:rsidR="004213CD" w:rsidRPr="00C87654">
        <w:rPr>
          <w:bCs/>
          <w:vertAlign w:val="superscript"/>
        </w:rPr>
        <w:t>1</w:t>
      </w:r>
      <w:r w:rsidR="004213CD">
        <w:rPr>
          <w:rFonts w:ascii="Arial" w:hAnsi="Arial" w:cs="Arial"/>
          <w:color w:val="222222"/>
          <w:szCs w:val="20"/>
          <w:shd w:val="clear" w:color="auto" w:fill="FFFFFF"/>
        </w:rPr>
        <w:t xml:space="preserve">, </w:t>
      </w:r>
      <w:r w:rsidRPr="008E6F43">
        <w:rPr>
          <w:rFonts w:ascii="맑은 고딕" w:eastAsia="맑은 고딕" w:hAnsi="맑은 고딕" w:cs="Times New Roman"/>
          <w:bCs/>
          <w:sz w:val="22"/>
          <w:szCs w:val="24"/>
          <w14:ligatures w14:val="standardContextual"/>
        </w:rPr>
        <w:t>Woon Bae Park</w:t>
      </w:r>
      <w:r w:rsidRPr="008E6F43">
        <w:rPr>
          <w:rFonts w:ascii="맑은 고딕" w:eastAsia="맑은 고딕" w:hAnsi="맑은 고딕" w:cs="Times New Roman"/>
          <w:bCs/>
          <w:sz w:val="22"/>
          <w:szCs w:val="24"/>
          <w:vertAlign w:val="superscript"/>
          <w14:ligatures w14:val="standardContextual"/>
        </w:rPr>
        <w:t>2,*</w:t>
      </w:r>
      <w:r w:rsidRPr="008E6F43">
        <w:rPr>
          <w:rFonts w:ascii="맑은 고딕" w:eastAsia="맑은 고딕" w:hAnsi="맑은 고딕" w:cs="Times New Roman"/>
          <w:bCs/>
          <w:sz w:val="22"/>
          <w:szCs w:val="24"/>
          <w14:ligatures w14:val="standardContextual"/>
        </w:rPr>
        <w:t>, Kee-Sun Sohn</w:t>
      </w:r>
      <w:r w:rsidRPr="008E6F43">
        <w:rPr>
          <w:rFonts w:ascii="맑은 고딕" w:eastAsia="맑은 고딕" w:hAnsi="맑은 고딕" w:cs="Times New Roman"/>
          <w:bCs/>
          <w:sz w:val="22"/>
          <w:szCs w:val="24"/>
          <w:vertAlign w:val="superscript"/>
          <w14:ligatures w14:val="standardContextual"/>
        </w:rPr>
        <w:t>1,*</w:t>
      </w:r>
    </w:p>
    <w:p w:rsidR="008E6F43" w:rsidRPr="008E6F43" w:rsidRDefault="008E6F43" w:rsidP="008E6F43">
      <w:pPr>
        <w:widowControl/>
        <w:wordWrap/>
        <w:autoSpaceDE/>
        <w:autoSpaceDN/>
        <w:spacing w:line="240" w:lineRule="auto"/>
        <w:jc w:val="left"/>
        <w:rPr>
          <w:rFonts w:ascii="맑은 고딕" w:eastAsia="맑은 고딕" w:hAnsi="맑은 고딕" w:cs="Times New Roman"/>
          <w:bCs/>
          <w:sz w:val="22"/>
          <w:szCs w:val="24"/>
          <w14:ligatures w14:val="standardContextual"/>
        </w:rPr>
      </w:pPr>
    </w:p>
    <w:p w:rsidR="008E6F43" w:rsidRPr="006B789A" w:rsidRDefault="008E6F43" w:rsidP="008E6F43">
      <w:pPr>
        <w:widowControl/>
        <w:wordWrap/>
        <w:autoSpaceDE/>
        <w:autoSpaceDN/>
        <w:spacing w:line="240" w:lineRule="auto"/>
        <w:jc w:val="left"/>
        <w:rPr>
          <w:rFonts w:ascii="맑은 고딕" w:eastAsia="맑은 고딕" w:hAnsi="맑은 고딕" w:cs="맑은 고딕"/>
          <w:bCs/>
          <w:sz w:val="22"/>
          <w:szCs w:val="24"/>
          <w14:ligatures w14:val="standardContextual"/>
        </w:rPr>
      </w:pPr>
      <w:r w:rsidRPr="006B789A">
        <w:rPr>
          <w:rFonts w:ascii="맑은 고딕" w:eastAsia="맑은 고딕" w:hAnsi="맑은 고딕" w:cs="맑은 고딕"/>
          <w:bCs/>
          <w:sz w:val="22"/>
          <w:szCs w:val="24"/>
          <w:vertAlign w:val="superscript"/>
          <w14:ligatures w14:val="standardContextual"/>
        </w:rPr>
        <w:t>1</w:t>
      </w:r>
      <w:r w:rsidRPr="006B789A">
        <w:rPr>
          <w:rFonts w:ascii="맑은 고딕" w:eastAsia="맑은 고딕" w:hAnsi="맑은 고딕" w:cs="맑은 고딕"/>
          <w:bCs/>
          <w:sz w:val="22"/>
          <w:szCs w:val="24"/>
          <w14:ligatures w14:val="standardContextual"/>
        </w:rPr>
        <w:t xml:space="preserve">Faculty of Nanotechnology and Advanced Materials Engineering, Sejong University, 209 Neungdong-ro, Gwangjin-gu, Seoul, 143-747, South Korea. </w:t>
      </w:r>
    </w:p>
    <w:p w:rsidR="008E6F43" w:rsidRPr="006B789A" w:rsidRDefault="008E6F43" w:rsidP="008E6F43">
      <w:pPr>
        <w:widowControl/>
        <w:wordWrap/>
        <w:autoSpaceDE/>
        <w:autoSpaceDN/>
        <w:spacing w:line="240" w:lineRule="auto"/>
        <w:jc w:val="left"/>
        <w:rPr>
          <w:rFonts w:ascii="맑은 고딕" w:eastAsia="맑은 고딕" w:hAnsi="맑은 고딕" w:cs="맑은 고딕"/>
          <w:bCs/>
          <w:sz w:val="22"/>
          <w:szCs w:val="24"/>
          <w14:ligatures w14:val="standardContextual"/>
        </w:rPr>
      </w:pPr>
      <w:r w:rsidRPr="006B789A">
        <w:rPr>
          <w:rFonts w:ascii="맑은 고딕" w:eastAsia="맑은 고딕" w:hAnsi="맑은 고딕" w:cs="맑은 고딕"/>
          <w:bCs/>
          <w:sz w:val="22"/>
          <w:szCs w:val="24"/>
          <w:vertAlign w:val="superscript"/>
          <w14:ligatures w14:val="standardContextual"/>
        </w:rPr>
        <w:t>2</w:t>
      </w:r>
      <w:r w:rsidR="00D72A18" w:rsidRPr="006B789A">
        <w:rPr>
          <w:rFonts w:ascii="맑은 고딕" w:eastAsia="맑은 고딕" w:hAnsi="맑은 고딕" w:cs="맑은 고딕"/>
          <w:bCs/>
          <w:sz w:val="22"/>
          <w:szCs w:val="24"/>
          <w14:ligatures w14:val="standardContextual"/>
        </w:rPr>
        <w:t>Department of Advanced Components and Materials Engineering</w:t>
      </w:r>
      <w:r w:rsidRPr="006B789A">
        <w:rPr>
          <w:rFonts w:ascii="맑은 고딕" w:eastAsia="맑은 고딕" w:hAnsi="맑은 고딕" w:cs="맑은 고딕"/>
          <w:bCs/>
          <w:sz w:val="22"/>
          <w:szCs w:val="24"/>
          <w14:ligatures w14:val="standardContextual"/>
        </w:rPr>
        <w:t>, Sunchon National University, 291-19 Jungang-ro, Sunchon, Chonnam, 540-742, South Korea.</w:t>
      </w:r>
    </w:p>
    <w:p w:rsidR="008E6F43" w:rsidRPr="006B789A" w:rsidRDefault="008E6F43" w:rsidP="008E6F43">
      <w:pPr>
        <w:widowControl/>
        <w:wordWrap/>
        <w:autoSpaceDE/>
        <w:autoSpaceDN/>
        <w:spacing w:line="240" w:lineRule="auto"/>
        <w:jc w:val="left"/>
        <w:rPr>
          <w:rFonts w:ascii="맑은 고딕" w:eastAsia="맑은 고딕" w:hAnsi="맑은 고딕" w:cs="맑은 고딕"/>
          <w:bCs/>
          <w:sz w:val="22"/>
          <w:szCs w:val="24"/>
          <w14:ligatures w14:val="standardContextual"/>
        </w:rPr>
      </w:pPr>
    </w:p>
    <w:p w:rsidR="008E6F43" w:rsidRPr="006B789A" w:rsidRDefault="008E6F43" w:rsidP="008E6F43">
      <w:pPr>
        <w:widowControl/>
        <w:wordWrap/>
        <w:autoSpaceDE/>
        <w:autoSpaceDN/>
        <w:spacing w:line="240" w:lineRule="auto"/>
        <w:jc w:val="left"/>
        <w:rPr>
          <w:rFonts w:ascii="맑은 고딕" w:eastAsia="맑은 고딕" w:hAnsi="맑은 고딕" w:cs="맑은 고딕"/>
          <w:bCs/>
          <w:sz w:val="22"/>
          <w:szCs w:val="24"/>
          <w14:ligatures w14:val="standardContextual"/>
        </w:rPr>
      </w:pPr>
      <w:r w:rsidRPr="006B789A">
        <w:rPr>
          <w:rFonts w:ascii="맑은 고딕" w:eastAsia="맑은 고딕" w:hAnsi="맑은 고딕" w:cs="맑은 고딕" w:hint="eastAsia"/>
          <w:bCs/>
          <w:sz w:val="22"/>
          <w:szCs w:val="24"/>
          <w:vertAlign w:val="superscript"/>
          <w14:ligatures w14:val="standardContextual"/>
        </w:rPr>
        <w:t>§</w:t>
      </w:r>
      <w:r w:rsidRPr="006B789A">
        <w:rPr>
          <w:rFonts w:ascii="맑은 고딕" w:eastAsia="맑은 고딕" w:hAnsi="맑은 고딕" w:cs="맑은 고딕"/>
          <w:bCs/>
          <w:sz w:val="22"/>
          <w:szCs w:val="24"/>
          <w14:ligatures w14:val="standardContextual"/>
        </w:rPr>
        <w:t xml:space="preserve">These authors contributed equally to this work. </w:t>
      </w:r>
    </w:p>
    <w:p w:rsidR="008E6F43" w:rsidRPr="006B789A" w:rsidRDefault="008E6F43" w:rsidP="008E6F43">
      <w:pPr>
        <w:widowControl/>
        <w:wordWrap/>
        <w:autoSpaceDE/>
        <w:autoSpaceDN/>
        <w:spacing w:line="240" w:lineRule="auto"/>
        <w:jc w:val="left"/>
        <w:rPr>
          <w:rFonts w:ascii="맑은 고딕" w:eastAsia="맑은 고딕" w:hAnsi="맑은 고딕" w:cs="맑은 고딕"/>
          <w:bCs/>
          <w:sz w:val="22"/>
          <w:szCs w:val="24"/>
          <w14:ligatures w14:val="standardContextual"/>
        </w:rPr>
      </w:pPr>
      <w:r w:rsidRPr="006B789A">
        <w:rPr>
          <w:rFonts w:ascii="맑은 고딕" w:eastAsia="맑은 고딕" w:hAnsi="맑은 고딕" w:cs="맑은 고딕"/>
          <w:bCs/>
          <w:sz w:val="22"/>
          <w:szCs w:val="24"/>
          <w14:ligatures w14:val="standardContextual"/>
        </w:rPr>
        <w:t>*e-mail: wbpark@scnu.ac.kr; kssohn@sejong.ac.kr</w:t>
      </w:r>
    </w:p>
    <w:p w:rsidR="008E6F43" w:rsidRPr="006B789A" w:rsidRDefault="008E6F43" w:rsidP="008E6F43">
      <w:pPr>
        <w:widowControl/>
        <w:wordWrap/>
        <w:autoSpaceDE/>
        <w:autoSpaceDN/>
        <w:spacing w:line="240" w:lineRule="auto"/>
        <w:jc w:val="left"/>
        <w:rPr>
          <w:rFonts w:ascii="맑은 고딕" w:eastAsia="맑은 고딕" w:hAnsi="맑은 고딕" w:cs="맑은 고딕"/>
          <w:bCs/>
          <w:sz w:val="22"/>
          <w:szCs w:val="24"/>
          <w14:ligatures w14:val="standardContextual"/>
        </w:rPr>
      </w:pPr>
    </w:p>
    <w:p w:rsidR="008E6F43" w:rsidRPr="006B789A" w:rsidRDefault="008E6F43" w:rsidP="008E6F43">
      <w:pPr>
        <w:widowControl/>
        <w:wordWrap/>
        <w:autoSpaceDE/>
        <w:autoSpaceDN/>
        <w:spacing w:line="240" w:lineRule="auto"/>
        <w:jc w:val="left"/>
        <w:rPr>
          <w:rFonts w:ascii="맑은 고딕" w:eastAsia="맑은 고딕" w:hAnsi="맑은 고딕" w:cs="맑은 고딕"/>
          <w:bCs/>
          <w:sz w:val="22"/>
          <w:szCs w:val="24"/>
          <w14:ligatures w14:val="standardContextual"/>
        </w:rPr>
      </w:pPr>
    </w:p>
    <w:p w:rsidR="008E6F43" w:rsidRPr="006B789A" w:rsidRDefault="008E6F43" w:rsidP="008E6F43">
      <w:pPr>
        <w:widowControl/>
        <w:wordWrap/>
        <w:autoSpaceDE/>
        <w:autoSpaceDN/>
        <w:spacing w:line="240" w:lineRule="auto"/>
        <w:jc w:val="left"/>
        <w:rPr>
          <w:rFonts w:ascii="맑은 고딕" w:eastAsia="맑은 고딕" w:hAnsi="맑은 고딕" w:cs="맑은 고딕"/>
          <w:sz w:val="22"/>
          <w:szCs w:val="24"/>
          <w14:ligatures w14:val="standardContextual"/>
        </w:rPr>
      </w:pPr>
      <w:r w:rsidRPr="006B789A">
        <w:rPr>
          <w:rFonts w:ascii="맑은 고딕" w:eastAsia="맑은 고딕" w:hAnsi="맑은 고딕" w:cs="맑은 고딕"/>
          <w:b/>
          <w:bCs/>
          <w:sz w:val="22"/>
          <w:szCs w:val="24"/>
          <w14:ligatures w14:val="standardContextual"/>
        </w:rPr>
        <w:t>Abstract</w:t>
      </w:r>
    </w:p>
    <w:p w:rsidR="008E6F43" w:rsidRPr="006B789A" w:rsidRDefault="00EF5235" w:rsidP="0000276F">
      <w:pPr>
        <w:rPr>
          <w:rFonts w:ascii="맑은 고딕" w:eastAsia="맑은 고딕" w:hAnsi="맑은 고딕" w:cs="맑은 고딕"/>
          <w:bCs/>
        </w:rPr>
      </w:pPr>
      <w:r w:rsidRPr="006B789A">
        <w:rPr>
          <w:rFonts w:ascii="맑은 고딕" w:eastAsia="맑은 고딕" w:hAnsi="맑은 고딕" w:cs="맑은 고딕"/>
          <w:bCs/>
        </w:rPr>
        <w:t>Solid-state electrolyte (SSE) discovery is bottlenecked by the cost of evaluating ionic transport. Existing databases catalogue tens of thousands of lithium compounds on thermodynamic grounds alone, leaving their function as conductors untested. We recast SSE discovery as a multi-objective active-learning problem over cathode-interface stability (E</w:t>
      </w:r>
      <w:r w:rsidRPr="00D0188F">
        <w:rPr>
          <w:rFonts w:ascii="맑은 고딕" w:eastAsia="맑은 고딕" w:hAnsi="맑은 고딕" w:cs="맑은 고딕"/>
          <w:bCs/>
          <w:vertAlign w:val="subscript"/>
        </w:rPr>
        <w:t>cat</w:t>
      </w:r>
      <w:r w:rsidRPr="006B789A">
        <w:rPr>
          <w:rFonts w:ascii="맑은 고딕" w:eastAsia="맑은 고딕" w:hAnsi="맑은 고딕" w:cs="맑은 고딕"/>
          <w:bCs/>
        </w:rPr>
        <w:t>), the electrochemical stability window (ESW), and a short-time mean-squared-displacement proxy for ionic mobility (MSD@600). Because ion transport is governed by local charge environments, we draw our descriptor from CHGNet, a potential trained with site-resolved magnetic moments — reading out its charge-informed graph-level embeddings rather than deploying it as an interatomic potential, its conventional use — and compress them by PCA into twelve dimensions. A q-NEHVI Bayesian-optimization loop selects batches from 43,241 catalogued Li-containing compounds (Materials Project, GNoME</w:t>
      </w:r>
      <w:r w:rsidR="00453A9F">
        <w:rPr>
          <w:rFonts w:ascii="맑은 고딕" w:eastAsia="맑은 고딕" w:hAnsi="맑은 고딕" w:cs="맑은 고딕"/>
          <w:bCs/>
        </w:rPr>
        <w:t>)</w:t>
      </w:r>
      <w:r w:rsidRPr="006B789A">
        <w:rPr>
          <w:rFonts w:ascii="맑은 고딕" w:eastAsia="맑은 고딕" w:hAnsi="맑은 고딕" w:cs="맑은 고딕"/>
          <w:bCs/>
        </w:rPr>
        <w:t xml:space="preserve">. Application-weighted screening nominates bulk SSEs, catholytes, and coatings. Converging on the </w:t>
      </w:r>
      <w:r w:rsidRPr="0007273D">
        <w:rPr>
          <w:rFonts w:ascii="맑은 고딕" w:eastAsia="맑은 고딕" w:hAnsi="맑은 고딕" w:cs="맑은 고딕"/>
          <w:bCs/>
          <w:color w:val="FF0000"/>
        </w:rPr>
        <w:t xml:space="preserve">phosphate </w:t>
      </w:r>
      <w:r w:rsidR="0007273D" w:rsidRPr="0007273D">
        <w:rPr>
          <w:rFonts w:ascii="맑은 고딕" w:eastAsia="맑은 고딕" w:hAnsi="맑은 고딕" w:cs="맑은 고딕" w:hint="eastAsia"/>
          <w:bCs/>
          <w:color w:val="FF0000"/>
        </w:rPr>
        <w:t xml:space="preserve">and </w:t>
      </w:r>
      <w:r w:rsidR="0007273D" w:rsidRPr="0007273D">
        <w:rPr>
          <w:rFonts w:ascii="맑은 고딕" w:eastAsia="맑은 고딕" w:hAnsi="맑은 고딕" w:cs="맑은 고딕"/>
          <w:bCs/>
          <w:color w:val="FF0000"/>
        </w:rPr>
        <w:t>tantalite</w:t>
      </w:r>
      <w:r w:rsidR="0007273D" w:rsidRPr="0007273D">
        <w:rPr>
          <w:rFonts w:ascii="맑은 고딕" w:eastAsia="맑은 고딕" w:hAnsi="맑은 고딕" w:cs="맑은 고딕" w:hint="eastAsia"/>
          <w:bCs/>
          <w:color w:val="FF0000"/>
        </w:rPr>
        <w:t xml:space="preserve"> </w:t>
      </w:r>
      <w:r w:rsidRPr="006B789A">
        <w:rPr>
          <w:rFonts w:ascii="맑은 고딕" w:eastAsia="맑은 고딕" w:hAnsi="맑은 고딕" w:cs="맑은 고딕"/>
          <w:bCs/>
        </w:rPr>
        <w:t>family without prior guidance, the loop identified the hitherto unreported Li</w:t>
      </w:r>
      <w:r w:rsidR="006B789A" w:rsidRPr="006B789A">
        <w:rPr>
          <w:rFonts w:ascii="맑은 고딕" w:eastAsia="맑은 고딕" w:hAnsi="맑은 고딕" w:cs="맑은 고딕"/>
          <w:bCs/>
          <w:vertAlign w:val="subscript"/>
        </w:rPr>
        <w:t>6</w:t>
      </w:r>
      <w:r w:rsidRPr="006B789A">
        <w:rPr>
          <w:rFonts w:ascii="맑은 고딕" w:eastAsia="맑은 고딕" w:hAnsi="맑은 고딕" w:cs="맑은 고딕"/>
          <w:bCs/>
        </w:rPr>
        <w:t>Ca</w:t>
      </w:r>
      <w:r w:rsidR="006B789A" w:rsidRPr="006B789A">
        <w:rPr>
          <w:rFonts w:ascii="맑은 고딕" w:eastAsia="맑은 고딕" w:hAnsi="맑은 고딕" w:cs="맑은 고딕"/>
          <w:bCs/>
          <w:vertAlign w:val="subscript"/>
        </w:rPr>
        <w:t>6</w:t>
      </w:r>
      <w:r w:rsidRPr="006B789A">
        <w:rPr>
          <w:rFonts w:ascii="맑은 고딕" w:eastAsia="맑은 고딕" w:hAnsi="맑은 고딕" w:cs="맑은 고딕"/>
          <w:bCs/>
        </w:rPr>
        <w:t>AsP</w:t>
      </w:r>
      <w:r w:rsidR="006B789A" w:rsidRPr="006B789A">
        <w:rPr>
          <w:rFonts w:ascii="맑은 고딕" w:eastAsia="맑은 고딕" w:hAnsi="맑은 고딕" w:cs="맑은 고딕"/>
          <w:bCs/>
          <w:vertAlign w:val="subscript"/>
        </w:rPr>
        <w:t>5</w:t>
      </w:r>
      <w:r w:rsidRPr="006B789A">
        <w:rPr>
          <w:rFonts w:ascii="맑은 고딕" w:eastAsia="맑은 고딕" w:hAnsi="맑은 고딕" w:cs="맑은 고딕"/>
          <w:bCs/>
        </w:rPr>
        <w:t>O</w:t>
      </w:r>
      <w:r w:rsidR="006B789A" w:rsidRPr="006B789A">
        <w:rPr>
          <w:rFonts w:ascii="맑은 고딕" w:eastAsia="맑은 고딕" w:hAnsi="맑은 고딕" w:cs="맑은 고딕"/>
          <w:bCs/>
          <w:vertAlign w:val="subscript"/>
        </w:rPr>
        <w:t>24</w:t>
      </w:r>
      <w:r w:rsidR="0007273D">
        <w:rPr>
          <w:rFonts w:ascii="맑은 고딕" w:eastAsia="맑은 고딕" w:hAnsi="맑은 고딕" w:cs="맑은 고딕"/>
          <w:bCs/>
        </w:rPr>
        <w:t xml:space="preserve"> and Li</w:t>
      </w:r>
      <w:r w:rsidR="0007273D">
        <w:rPr>
          <w:rFonts w:ascii="맑은 고딕" w:eastAsia="맑은 고딕" w:hAnsi="맑은 고딕" w:cs="맑은 고딕"/>
          <w:bCs/>
          <w:vertAlign w:val="subscript"/>
        </w:rPr>
        <w:t>2</w:t>
      </w:r>
      <w:r w:rsidR="0007273D">
        <w:rPr>
          <w:rFonts w:ascii="맑은 고딕" w:eastAsia="맑은 고딕" w:hAnsi="맑은 고딕" w:cs="맑은 고딕"/>
          <w:bCs/>
        </w:rPr>
        <w:t>Ta</w:t>
      </w:r>
      <w:r w:rsidR="0007273D">
        <w:rPr>
          <w:rFonts w:ascii="맑은 고딕" w:eastAsia="맑은 고딕" w:hAnsi="맑은 고딕" w:cs="맑은 고딕"/>
          <w:bCs/>
          <w:vertAlign w:val="subscript"/>
        </w:rPr>
        <w:t>4</w:t>
      </w:r>
      <w:r w:rsidR="0007273D">
        <w:rPr>
          <w:rFonts w:ascii="맑은 고딕" w:eastAsia="맑은 고딕" w:hAnsi="맑은 고딕" w:cs="맑은 고딕"/>
          <w:bCs/>
        </w:rPr>
        <w:t>O</w:t>
      </w:r>
      <w:r w:rsidR="0007273D">
        <w:rPr>
          <w:rFonts w:ascii="맑은 고딕" w:eastAsia="맑은 고딕" w:hAnsi="맑은 고딕" w:cs="맑은 고딕"/>
          <w:bCs/>
          <w:vertAlign w:val="subscript"/>
        </w:rPr>
        <w:t>11</w:t>
      </w:r>
      <w:r w:rsidRPr="006B789A">
        <w:rPr>
          <w:rFonts w:ascii="맑은 고딕" w:eastAsia="맑은 고딕" w:hAnsi="맑은 고딕" w:cs="맑은 고딕"/>
          <w:bCs/>
        </w:rPr>
        <w:t>.</w:t>
      </w:r>
    </w:p>
    <w:p w:rsidR="008E6F43" w:rsidRDefault="008E6F43">
      <w:pPr>
        <w:widowControl/>
        <w:wordWrap/>
        <w:autoSpaceDE/>
        <w:autoSpaceDN/>
        <w:rPr>
          <w:b/>
          <w:bCs/>
        </w:rPr>
      </w:pPr>
      <w:r>
        <w:rPr>
          <w:b/>
          <w:bCs/>
        </w:rPr>
        <w:br w:type="page"/>
      </w:r>
    </w:p>
    <w:p w:rsidR="0000276F" w:rsidRPr="0000276F" w:rsidRDefault="00FC206A" w:rsidP="0000276F">
      <w:pPr>
        <w:rPr>
          <w:b/>
          <w:bCs/>
        </w:rPr>
      </w:pPr>
      <w:r>
        <w:rPr>
          <w:b/>
          <w:bCs/>
        </w:rPr>
        <w:lastRenderedPageBreak/>
        <w:t xml:space="preserve">1. </w:t>
      </w:r>
      <w:r w:rsidR="0000276F" w:rsidRPr="0000276F">
        <w:rPr>
          <w:b/>
          <w:bCs/>
        </w:rPr>
        <w:t>Introduction</w:t>
      </w:r>
    </w:p>
    <w:p w:rsidR="0000276F" w:rsidRPr="0000276F" w:rsidRDefault="0000276F" w:rsidP="0000276F">
      <w:r w:rsidRPr="0000276F">
        <w:t xml:space="preserve">The </w:t>
      </w:r>
      <w:r w:rsidR="00312100">
        <w:t xml:space="preserve">AI-driven </w:t>
      </w:r>
      <w:r w:rsidRPr="0000276F">
        <w:t>acceleration of solid-state electrolyte (SSE) discovery is pivotal for the realization of safe, high-energy-density batteries.[</w:t>
      </w:r>
      <w:r w:rsidR="00312100" w:rsidRPr="00312100">
        <w:rPr>
          <w:color w:val="FF0000"/>
          <w:sz w:val="8"/>
          <w:highlight w:val="yellow"/>
        </w:rPr>
        <w:t>Leveraging machine learning for accelerated materials innovation in lithium-ion battery: A review" (J. Energy Chem., DOI: 10.1016/j.jechem.2025.02.038</w:t>
      </w:r>
      <w:r w:rsidRPr="0000276F">
        <w:t xml:space="preserve">] </w:t>
      </w:r>
      <w:r w:rsidR="00873E85" w:rsidRPr="00873E85">
        <w:t>Among the target properties in such AI-driven discovery campaigns, ionic conductivity is paramount</w:t>
      </w:r>
      <w:r w:rsidRPr="0000276F">
        <w:t>; however, its theoretical evaluation remains computationally daunting due to the necessity of capturing long-range ion hopping events and local lattice vibrations [</w:t>
      </w:r>
      <w:r w:rsidRPr="0000276F">
        <w:rPr>
          <w:color w:val="FF0000"/>
          <w:highlight w:val="yellow"/>
        </w:rPr>
        <w:t>1</w:t>
      </w:r>
      <w:r w:rsidRPr="0000276F">
        <w:t xml:space="preserve">]. While </w:t>
      </w:r>
      <w:r w:rsidRPr="0000276F">
        <w:rPr>
          <w:i/>
          <w:iCs/>
        </w:rPr>
        <w:t>ab initio</w:t>
      </w:r>
      <w:r w:rsidRPr="0000276F">
        <w:t xml:space="preserve"> molecular dynamics (AIMD) provides high-fidelity insights into these transport mechanisms, its extreme computational cost limits its applicability to small-scale investigations, leaving a vast majority of the chemical and structural space unexplored [</w:t>
      </w:r>
      <w:r w:rsidRPr="0000276F">
        <w:rPr>
          <w:color w:val="FF0000"/>
          <w:highlight w:val="yellow"/>
        </w:rPr>
        <w:t>2</w:t>
      </w:r>
      <w:r w:rsidRPr="0000276F">
        <w:t>].</w:t>
      </w:r>
    </w:p>
    <w:p w:rsidR="00AA615E" w:rsidRDefault="00AA615E" w:rsidP="0000276F">
      <w:pPr>
        <w:ind w:firstLine="800"/>
      </w:pPr>
      <w:r w:rsidRPr="00AA615E">
        <w:t>To overcome this limitation, graph neural network (GNN)–based approaches have emerged as a powerful alternative to traditional ab initio calculations. Early frameworks such as CGCNN[</w:t>
      </w:r>
      <w:r w:rsidRPr="00AA615E">
        <w:rPr>
          <w:highlight w:val="yellow"/>
        </w:rPr>
        <w:t>1a</w:t>
      </w:r>
      <w:r w:rsidRPr="00AA615E">
        <w:t>] and MEGNet[</w:t>
      </w:r>
      <w:r w:rsidRPr="00AA615E">
        <w:rPr>
          <w:highlight w:val="yellow"/>
        </w:rPr>
        <w:t>1b</w:t>
      </w:r>
      <w:r w:rsidRPr="00AA615E">
        <w:t>] established the feasibility of learning structure–property relationships directly from crystal graphs, primarily targeting formation energies and other static properties. This paradigm was subsequently extended to machine learning interatomic potentials (MLIPs) capable of predicting energies and forces: M3GNet,[</w:t>
      </w:r>
      <w:r w:rsidRPr="00AA615E">
        <w:rPr>
          <w:highlight w:val="yellow"/>
        </w:rPr>
        <w:t>1c</w:t>
      </w:r>
      <w:r w:rsidRPr="00AA615E">
        <w:t>] for instance, incorporated three-body interactions to capture many-body effects, enabling large-scale molecular dynamics simulations with near–ab initio accuracy.</w:t>
      </w:r>
    </w:p>
    <w:p w:rsidR="0000276F" w:rsidRPr="0000276F" w:rsidRDefault="00AA615E" w:rsidP="0000276F">
      <w:pPr>
        <w:ind w:firstLine="800"/>
      </w:pPr>
      <w:r w:rsidRPr="00AA615E">
        <w:t>Parallel to these developments, architectures emphasizing directional and higher-order geometric information—such as ALIGNN[</w:t>
      </w:r>
      <w:r w:rsidRPr="00B308C3">
        <w:rPr>
          <w:highlight w:val="yellow"/>
        </w:rPr>
        <w:t>2a</w:t>
      </w:r>
      <w:r w:rsidRPr="00AA615E">
        <w:t>] and DimeNet[</w:t>
      </w:r>
      <w:r w:rsidRPr="00B308C3">
        <w:rPr>
          <w:highlight w:val="yellow"/>
        </w:rPr>
        <w:t>2b</w:t>
      </w:r>
      <w:r w:rsidRPr="00AA615E">
        <w:t>]—introduced explicit angular dependencies, improving the representation of local atomic environments. More recently, equivariant neural networks, including NequIP,[</w:t>
      </w:r>
      <w:r w:rsidRPr="00B308C3">
        <w:rPr>
          <w:highlight w:val="yellow"/>
        </w:rPr>
        <w:t>2c</w:t>
      </w:r>
      <w:r w:rsidRPr="00AA615E">
        <w:t>] Allegro,[</w:t>
      </w:r>
      <w:r w:rsidRPr="00B308C3">
        <w:rPr>
          <w:highlight w:val="yellow"/>
        </w:rPr>
        <w:t>2d</w:t>
      </w:r>
      <w:r w:rsidRPr="00AA615E">
        <w:t>] and EquiformerV2,[</w:t>
      </w:r>
      <w:r w:rsidRPr="00B308C3">
        <w:rPr>
          <w:highlight w:val="yellow"/>
        </w:rPr>
        <w:t>2e</w:t>
      </w:r>
      <w:r w:rsidRPr="00AA615E">
        <w:t>] have achieved state-of-the-art accuracy by enforcing E(3) equivariance at the level of atomic environments. Building on these advances, large-scale universal MLIPs trained across broad regions of chemical space—such as MatterSim[</w:t>
      </w:r>
      <w:r w:rsidRPr="00B308C3">
        <w:rPr>
          <w:highlight w:val="yellow"/>
        </w:rPr>
        <w:t>2f</w:t>
      </w:r>
      <w:r w:rsidRPr="00AA615E">
        <w:t>] and MACE-MP-0[</w:t>
      </w:r>
      <w:r w:rsidRPr="00B308C3">
        <w:rPr>
          <w:highlight w:val="yellow"/>
        </w:rPr>
        <w:t>2g</w:t>
      </w:r>
      <w:r w:rsidRPr="00AA615E">
        <w:t>]—have demonstrated remarkable transferability and near–density functional theory (DFT) accuracy without system-specific retraining.</w:t>
      </w:r>
    </w:p>
    <w:p w:rsidR="0062646B" w:rsidRPr="0062646B" w:rsidRDefault="0062646B" w:rsidP="0062646B">
      <w:pPr>
        <w:ind w:firstLine="800"/>
        <w:rPr>
          <w:bCs/>
        </w:rPr>
      </w:pPr>
      <w:r w:rsidRPr="0062646B">
        <w:rPr>
          <w:bCs/>
        </w:rPr>
        <w:t xml:space="preserve">Importantly, while these MLIPs have been developed primarily as surrogate potentials for machine-learning molecular dynamics (MLMD), their internal representations offer an </w:t>
      </w:r>
      <w:r w:rsidRPr="0062646B">
        <w:rPr>
          <w:bCs/>
          <w:highlight w:val="cyan"/>
        </w:rPr>
        <w:t>underexplored</w:t>
      </w:r>
      <w:r w:rsidRPr="0062646B">
        <w:rPr>
          <w:bCs/>
        </w:rPr>
        <w:t xml:space="preserve"> opportunity. The latent embeddings learned by GNN-based MLIPs encode rich structural and chemical information that extends beyond energy and force prediction. From a representation-learning perspective, these embeddings can be reinterpreted as high-dimensional material descriptors—a continuous, differentiable mapping from crystal structure to a chemically informed feature space. This enables a conceptual shift: rather than relying solely on expensive MD trajectories to simulate ion transport, one can use the learned embeddings to predict properties and navigate materials space in a data-efficient manner.</w:t>
      </w:r>
    </w:p>
    <w:p w:rsidR="0000276F" w:rsidRPr="0000276F" w:rsidRDefault="000D5DDA" w:rsidP="0062646B">
      <w:pPr>
        <w:ind w:firstLine="800"/>
      </w:pPr>
      <w:r w:rsidRPr="000D5DDA">
        <w:rPr>
          <w:bCs/>
        </w:rPr>
        <w:t xml:space="preserve">In this context, the Crystal Hamiltonian Graph Neural Network (CHGNet) offers a useful </w:t>
      </w:r>
      <w:r w:rsidRPr="000D5DDA">
        <w:rPr>
          <w:bCs/>
        </w:rPr>
        <w:lastRenderedPageBreak/>
        <w:t>representation model. Unlike many conventional structure-based graph neural networks, CHGNet was trained on Materials Project trajectory data</w:t>
      </w:r>
      <w:r w:rsidRPr="0062646B">
        <w:rPr>
          <w:bCs/>
        </w:rPr>
        <w:t>[</w:t>
      </w:r>
      <w:r w:rsidRPr="0062646B">
        <w:rPr>
          <w:bCs/>
          <w:highlight w:val="yellow"/>
        </w:rPr>
        <w:t>4</w:t>
      </w:r>
      <w:r w:rsidRPr="0062646B">
        <w:rPr>
          <w:bCs/>
        </w:rPr>
        <w:t>]</w:t>
      </w:r>
      <w:r w:rsidRPr="000D5DDA">
        <w:rPr>
          <w:bCs/>
        </w:rPr>
        <w:t xml:space="preserve"> with auxiliary site-resolved magnetic-moment targets in addition to energies, forces, and stresses. Although the resulting embeddings should not be interpreted as explicit charges or formal oxidation states, they are expected to encode charge-state-sensitive local environments more effectively than purely geometry-driven representations.</w:t>
      </w:r>
      <w:r w:rsidRPr="0062646B">
        <w:rPr>
          <w:bCs/>
        </w:rPr>
        <w:t>[</w:t>
      </w:r>
      <w:r w:rsidRPr="0062646B">
        <w:rPr>
          <w:bCs/>
          <w:highlight w:val="yellow"/>
        </w:rPr>
        <w:t>5</w:t>
      </w:r>
      <w:r w:rsidRPr="0062646B">
        <w:rPr>
          <w:bCs/>
        </w:rPr>
        <w:t>]</w:t>
      </w:r>
      <w:r w:rsidRPr="000D5DDA">
        <w:rPr>
          <w:bCs/>
        </w:rPr>
        <w:t xml:space="preserve"> This property is particularly relevant for solid-state ion conductors, where ion mobility is strongly affected by local coordination geometry, bonding polarity, oxidation-state environment, and electrostatic landscape. </w:t>
      </w:r>
    </w:p>
    <w:p w:rsidR="009236B8" w:rsidRPr="00CF3826" w:rsidRDefault="009236B8" w:rsidP="00042F86">
      <w:pPr>
        <w:ind w:firstLine="800"/>
        <w:rPr>
          <w:rFonts w:ascii="맑은 고딕" w:eastAsia="맑은 고딕" w:hAnsi="맑은 고딕" w:cs="맑은 고딕"/>
          <w:bCs/>
        </w:rPr>
      </w:pPr>
      <w:r w:rsidRPr="00CF3826">
        <w:rPr>
          <w:rFonts w:ascii="맑은 고딕" w:eastAsia="맑은 고딕" w:hAnsi="맑은 고딕" w:cs="맑은 고딕"/>
          <w:bCs/>
        </w:rPr>
        <w:t>This distinction becomes particularly critical when considering the scale of candidate materials. By aggregating entries from existing large-scale databases, including the Materials Project</w:t>
      </w:r>
      <w:r w:rsidR="00042F86" w:rsidRPr="00CF3826">
        <w:rPr>
          <w:rFonts w:ascii="맑은 고딕" w:eastAsia="맑은 고딕" w:hAnsi="맑은 고딕" w:cs="맑은 고딕"/>
          <w:bCs/>
        </w:rPr>
        <w:t>[</w:t>
      </w:r>
      <w:r w:rsidR="00685D93" w:rsidRPr="00CF3826">
        <w:rPr>
          <w:rFonts w:ascii="맑은 고딕" w:eastAsia="맑은 고딕" w:hAnsi="맑은 고딕" w:cs="맑은 고딕"/>
          <w:bCs/>
          <w:highlight w:val="yellow"/>
        </w:rPr>
        <w:t>ref</w:t>
      </w:r>
      <w:r w:rsidR="00042F86" w:rsidRPr="00CF3826">
        <w:rPr>
          <w:rFonts w:ascii="맑은 고딕" w:eastAsia="맑은 고딕" w:hAnsi="맑은 고딕" w:cs="맑은 고딕"/>
          <w:bCs/>
        </w:rPr>
        <w:t>]</w:t>
      </w:r>
      <w:r w:rsidRPr="00CF3826">
        <w:rPr>
          <w:rFonts w:ascii="맑은 고딕" w:eastAsia="맑은 고딕" w:hAnsi="맑은 고딕" w:cs="맑은 고딕"/>
          <w:bCs/>
        </w:rPr>
        <w:t xml:space="preserve"> and recent foundation-model-generated datasets (e.g., the GNoME dataset[</w:t>
      </w:r>
      <w:r w:rsidR="00685D93" w:rsidRPr="00CF3826">
        <w:rPr>
          <w:rFonts w:ascii="맑은 고딕" w:eastAsia="맑은 고딕" w:hAnsi="맑은 고딕" w:cs="맑은 고딕"/>
          <w:bCs/>
          <w:highlight w:val="yellow"/>
        </w:rPr>
        <w:t>ref</w:t>
      </w:r>
      <w:r w:rsidRPr="00CF3826">
        <w:rPr>
          <w:rFonts w:ascii="맑은 고딕" w:eastAsia="맑은 고딕" w:hAnsi="맑은 고딕" w:cs="맑은 고딕"/>
          <w:bCs/>
        </w:rPr>
        <w:t xml:space="preserve">]), one can readily construct a search space </w:t>
      </w:r>
      <w:r w:rsidR="0075236A" w:rsidRPr="00CF3826">
        <w:rPr>
          <w:rFonts w:ascii="맑은 고딕" w:eastAsia="맑은 고딕" w:hAnsi="맑은 고딕" w:cs="맑은 고딕"/>
          <w:bCs/>
        </w:rPr>
        <w:t xml:space="preserve">of 43,241 </w:t>
      </w:r>
      <w:r w:rsidRPr="00CF3826">
        <w:rPr>
          <w:rFonts w:ascii="맑은 고딕" w:eastAsia="맑은 고딕" w:hAnsi="맑은 고딕" w:cs="맑은 고딕"/>
          <w:bCs/>
        </w:rPr>
        <w:t>lithium-containing compounds. While thermodynamic stability (e.g., energy above the convex hull) and the electrochemical stability window (ESW) are often precomputed and readily available, evaluating ionic transport remains prohibitively expensive. Rigorously, the room-temperature ionic conductivity—equivalently, the Li</w:t>
      </w:r>
      <w:r w:rsidR="000D5DDA" w:rsidRPr="00CF3826">
        <w:rPr>
          <w:rFonts w:ascii="맑은 고딕" w:eastAsia="맑은 고딕" w:hAnsi="맑은 고딕" w:cs="맑은 고딕"/>
          <w:bCs/>
          <w:vertAlign w:val="superscript"/>
        </w:rPr>
        <w:t>+</w:t>
      </w:r>
      <w:r w:rsidRPr="00CF3826">
        <w:rPr>
          <w:rFonts w:ascii="맑은 고딕" w:eastAsia="맑은 고딕" w:hAnsi="맑은 고딕" w:cs="맑은 고딕"/>
          <w:bCs/>
        </w:rPr>
        <w:t xml:space="preserve"> diffusion coefficient</w:t>
      </w:r>
      <w:r w:rsidRPr="00CF3826">
        <w:rPr>
          <w:rFonts w:ascii="맑은 고딕" w:eastAsia="맑은 고딕" w:hAnsi="맑은 고딕" w:cs="맑은 고딕" w:hint="eastAsia"/>
          <w:bCs/>
        </w:rPr>
        <w:t>—</w:t>
      </w:r>
      <w:r w:rsidRPr="00CF3826">
        <w:rPr>
          <w:rFonts w:ascii="맑은 고딕" w:eastAsia="맑은 고딕" w:hAnsi="맑은 고딕" w:cs="맑은 고딕"/>
          <w:bCs/>
        </w:rPr>
        <w:t xml:space="preserve">is obtained by running long </w:t>
      </w:r>
      <w:r w:rsidR="00042F86" w:rsidRPr="00CF3826">
        <w:rPr>
          <w:rFonts w:ascii="맑은 고딕" w:eastAsia="맑은 고딕" w:hAnsi="맑은 고딕" w:cs="맑은 고딕"/>
          <w:bCs/>
        </w:rPr>
        <w:t>AIMD</w:t>
      </w:r>
      <w:r w:rsidRPr="00CF3826">
        <w:rPr>
          <w:rFonts w:ascii="맑은 고딕" w:eastAsia="맑은 고딕" w:hAnsi="맑은 고딕" w:cs="맑은 고딕"/>
          <w:bCs/>
        </w:rPr>
        <w:t xml:space="preserve"> trajectories at several elevated temperatures, extracting diffusion coefficients from converged mean square displacement (MSD) statistics, and Arrhenius-extrapolating to room temperature. Performing this multi-temperature protocol with AIMD for tens of thousands of candidates is computationally infeasible.</w:t>
      </w:r>
      <w:r w:rsidR="00685D93" w:rsidRPr="00CF3826">
        <w:rPr>
          <w:rFonts w:ascii="맑은 고딕" w:eastAsia="맑은 고딕" w:hAnsi="맑은 고딕" w:cs="맑은 고딕"/>
          <w:bCs/>
        </w:rPr>
        <w:t xml:space="preserve"> </w:t>
      </w:r>
      <w:r w:rsidR="001A56B5" w:rsidRPr="00CF3826">
        <w:rPr>
          <w:rFonts w:ascii="맑은 고딕" w:eastAsia="맑은 고딕" w:hAnsi="맑은 고딕" w:cs="맑은 고딕"/>
          <w:bCs/>
          <w:highlight w:val="yellow"/>
        </w:rPr>
        <w:t>MLIP-driven MD relieves the per-step cost but not the protocol: the same multi-temperature, long-trajectory, Arrhenius-extrapolated workflow must still be repeated for every candidate, at some expense of accuracy</w:t>
      </w:r>
      <w:r w:rsidR="00685D93" w:rsidRPr="00CF3826">
        <w:rPr>
          <w:rFonts w:ascii="맑은 고딕" w:eastAsia="맑은 고딕" w:hAnsi="맑은 고딕" w:cs="맑은 고딕"/>
          <w:bCs/>
          <w:highlight w:val="yellow"/>
        </w:rPr>
        <w:t>.</w:t>
      </w:r>
      <w:r w:rsidR="00685D93" w:rsidRPr="00CF3826">
        <w:rPr>
          <w:rFonts w:ascii="맑은 고딕" w:eastAsia="맑은 고딕" w:hAnsi="맑은 고딕" w:cs="맑은 고딕"/>
          <w:bCs/>
        </w:rPr>
        <w:t xml:space="preserve"> </w:t>
      </w:r>
    </w:p>
    <w:p w:rsidR="009236B8" w:rsidRPr="00CF3826" w:rsidRDefault="009236B8" w:rsidP="00042F86">
      <w:pPr>
        <w:ind w:firstLine="800"/>
        <w:rPr>
          <w:rFonts w:ascii="맑은 고딕" w:eastAsia="맑은 고딕" w:hAnsi="맑은 고딕" w:cs="맑은 고딕"/>
          <w:bCs/>
        </w:rPr>
      </w:pPr>
      <w:r w:rsidRPr="00CF3826">
        <w:rPr>
          <w:rFonts w:ascii="맑은 고딕" w:eastAsia="맑은 고딕" w:hAnsi="맑은 고딕" w:cs="맑은 고딕"/>
          <w:bCs/>
        </w:rPr>
        <w:t>To address this challenge, we reformulate SSE discovery as a multi-objective optimization task with three objective</w:t>
      </w:r>
      <w:r w:rsidR="00F472A6" w:rsidRPr="00CF3826">
        <w:rPr>
          <w:rFonts w:ascii="맑은 고딕" w:eastAsia="맑은 고딕" w:hAnsi="맑은 고딕" w:cs="맑은 고딕"/>
          <w:bCs/>
        </w:rPr>
        <w:t xml:space="preserve"> function</w:t>
      </w:r>
      <w:r w:rsidRPr="00CF3826">
        <w:rPr>
          <w:rFonts w:ascii="맑은 고딕" w:eastAsia="맑은 고딕" w:hAnsi="맑은 고딕" w:cs="맑은 고딕"/>
          <w:bCs/>
        </w:rPr>
        <w:t xml:space="preserve">s: (i) </w:t>
      </w:r>
      <w:r w:rsidR="00F472A6" w:rsidRPr="00CF3826">
        <w:rPr>
          <w:rFonts w:ascii="맑은 고딕" w:eastAsia="맑은 고딕" w:hAnsi="맑은 고딕" w:cs="맑은 고딕"/>
          <w:bCs/>
        </w:rPr>
        <w:t>cathode interface</w:t>
      </w:r>
      <w:r w:rsidRPr="00CF3826">
        <w:rPr>
          <w:rFonts w:ascii="맑은 고딕" w:eastAsia="맑은 고딕" w:hAnsi="맑은 고딕" w:cs="맑은 고딕"/>
          <w:bCs/>
        </w:rPr>
        <w:t xml:space="preserve"> stability, quantified by </w:t>
      </w:r>
      <w:r w:rsidR="00F472A6" w:rsidRPr="00CF3826">
        <w:rPr>
          <w:rFonts w:ascii="맑은 고딕" w:eastAsia="맑은 고딕" w:hAnsi="맑은 고딕" w:cs="맑은 고딕"/>
          <w:bCs/>
        </w:rPr>
        <w:t>cathode-electrolyte reaction energy (E</w:t>
      </w:r>
      <w:r w:rsidR="00F472A6" w:rsidRPr="00CF3826">
        <w:rPr>
          <w:rFonts w:ascii="맑은 고딕" w:eastAsia="맑은 고딕" w:hAnsi="맑은 고딕" w:cs="맑은 고딕"/>
          <w:bCs/>
          <w:vertAlign w:val="subscript"/>
        </w:rPr>
        <w:t>cat</w:t>
      </w:r>
      <w:r w:rsidR="00F472A6" w:rsidRPr="00CF3826">
        <w:rPr>
          <w:rFonts w:ascii="맑은 고딕" w:eastAsia="맑은 고딕" w:hAnsi="맑은 고딕" w:cs="맑은 고딕"/>
          <w:bCs/>
        </w:rPr>
        <w:t>)</w:t>
      </w:r>
      <w:r w:rsidRPr="00CF3826">
        <w:rPr>
          <w:rFonts w:ascii="맑은 고딕" w:eastAsia="맑은 고딕" w:hAnsi="맑은 고딕" w:cs="맑은 고딕"/>
          <w:bCs/>
        </w:rPr>
        <w:t xml:space="preserve">; (ii) electrochemical stability, quantified by the </w:t>
      </w:r>
      <w:r w:rsidR="00AA1190" w:rsidRPr="00CF3826">
        <w:rPr>
          <w:rFonts w:ascii="맑은 고딕" w:eastAsia="맑은 고딕" w:hAnsi="맑은 고딕" w:cs="맑은 고딕"/>
          <w:bCs/>
        </w:rPr>
        <w:t>electrochemical stability window (</w:t>
      </w:r>
      <w:r w:rsidRPr="00CF3826">
        <w:rPr>
          <w:rFonts w:ascii="맑은 고딕" w:eastAsia="맑은 고딕" w:hAnsi="맑은 고딕" w:cs="맑은 고딕"/>
          <w:bCs/>
        </w:rPr>
        <w:t>ESW); and (iii) an approximate ion-transport descriptor that stands in for the full Arrhenius protocol</w:t>
      </w:r>
      <w:r w:rsidR="00B11AD1" w:rsidRPr="00CF3826">
        <w:rPr>
          <w:rFonts w:ascii="맑은 고딕" w:eastAsia="맑은 고딕" w:hAnsi="맑은 고딕" w:cs="맑은 고딕"/>
          <w:bCs/>
        </w:rPr>
        <w:t xml:space="preserve"> (MSD@600)</w:t>
      </w:r>
      <w:r w:rsidRPr="00CF3826">
        <w:rPr>
          <w:rFonts w:ascii="맑은 고딕" w:eastAsia="맑은 고딕" w:hAnsi="맑은 고딕" w:cs="맑은 고딕"/>
          <w:bCs/>
        </w:rPr>
        <w:t>. For the latter, rather than computing a fully converged, room-temperature diffusion coefficient, we use the MSD accumulated over a short AIMD trajectory at a single elevated temperature. This short-time MSD does not yield an absolute conductivity, but it correlates with ionic mobility strongly enough to preserve the relative ordering of fast and slow conductors, making it a computationally tractable proxy for ranking candidates at a small fraction of the cost.</w:t>
      </w:r>
    </w:p>
    <w:p w:rsidR="009236B8" w:rsidRPr="00CF3826" w:rsidRDefault="003B67CA" w:rsidP="00042F86">
      <w:pPr>
        <w:ind w:firstLine="800"/>
        <w:rPr>
          <w:rFonts w:ascii="맑은 고딕" w:eastAsia="맑은 고딕" w:hAnsi="맑은 고딕" w:cs="맑은 고딕"/>
          <w:bCs/>
        </w:rPr>
      </w:pPr>
      <w:r w:rsidRPr="00CF3826">
        <w:rPr>
          <w:rStyle w:val="a6"/>
          <w:rFonts w:ascii="맑은 고딕" w:eastAsia="맑은 고딕" w:hAnsi="맑은 고딕" w:cs="맑은 고딕"/>
          <w:b w:val="0"/>
        </w:rPr>
        <w:t>Instead of running CHGNet as a surrogate potential</w:t>
      </w:r>
      <w:r w:rsidR="00D53A02" w:rsidRPr="00CF3826">
        <w:rPr>
          <w:rStyle w:val="a6"/>
          <w:rFonts w:ascii="맑은 고딕" w:eastAsia="맑은 고딕" w:hAnsi="맑은 고딕" w:cs="맑은 고딕"/>
          <w:b w:val="0"/>
        </w:rPr>
        <w:t xml:space="preserve"> (MLIP)</w:t>
      </w:r>
      <w:r w:rsidRPr="00CF3826">
        <w:rPr>
          <w:rStyle w:val="a6"/>
          <w:rFonts w:ascii="맑은 고딕" w:eastAsia="맑은 고딕" w:hAnsi="맑은 고딕" w:cs="맑은 고딕"/>
          <w:b w:val="0"/>
        </w:rPr>
        <w:t>, we extract its per-structure latent activations and treat them as the working feature vector of each candidate.</w:t>
      </w:r>
      <w:r w:rsidRPr="00CF3826">
        <w:rPr>
          <w:rStyle w:val="a6"/>
          <w:rFonts w:ascii="맑은 고딕" w:eastAsia="맑은 고딕" w:hAnsi="맑은 고딕" w:cs="맑은 고딕"/>
        </w:rPr>
        <w:t xml:space="preserve"> </w:t>
      </w:r>
      <w:r w:rsidRPr="00CF3826">
        <w:rPr>
          <w:rFonts w:ascii="맑은 고딕" w:eastAsia="맑은 고딕" w:hAnsi="맑은 고딕" w:cs="맑은 고딕"/>
          <w:bCs/>
        </w:rPr>
        <w:t xml:space="preserve">We leverage its internal latent representations as high-dimensional descriptors for SSE materials. These embeddings encode both geometric and electronic information, offering a chemically meaningful feature space for exploration. </w:t>
      </w:r>
      <w:r w:rsidRPr="00CF3826">
        <w:rPr>
          <w:rStyle w:val="a6"/>
          <w:rFonts w:ascii="맑은 고딕" w:eastAsia="맑은 고딕" w:hAnsi="맑은 고딕" w:cs="맑은 고딕"/>
          <w:b w:val="0"/>
        </w:rPr>
        <w:t xml:space="preserve">Because these raw embeddings are high-dimensional and partly redundant, we </w:t>
      </w:r>
      <w:r w:rsidRPr="00CF3826">
        <w:rPr>
          <w:rStyle w:val="a6"/>
          <w:rFonts w:ascii="맑은 고딕" w:eastAsia="맑은 고딕" w:hAnsi="맑은 고딕" w:cs="맑은 고딕"/>
          <w:b w:val="0"/>
        </w:rPr>
        <w:lastRenderedPageBreak/>
        <w:t>compress them via principal component analysis (PCA) into a low-dimensional manifold (12 real-valued components)</w:t>
      </w:r>
      <w:r w:rsidR="009236B8" w:rsidRPr="00CF3826">
        <w:rPr>
          <w:rFonts w:ascii="맑은 고딕" w:eastAsia="맑은 고딕" w:hAnsi="맑은 고딕" w:cs="맑은 고딕"/>
          <w:bCs/>
        </w:rPr>
        <w:t xml:space="preserve"> that retains the dominant variance associated with bonding and ion coordination.</w:t>
      </w:r>
    </w:p>
    <w:p w:rsidR="00482DA9" w:rsidRPr="00CF3826" w:rsidRDefault="00482DA9" w:rsidP="00042F86">
      <w:pPr>
        <w:ind w:firstLine="800"/>
        <w:rPr>
          <w:rFonts w:ascii="맑은 고딕" w:eastAsia="맑은 고딕" w:hAnsi="맑은 고딕" w:cs="맑은 고딕"/>
          <w:bCs/>
        </w:rPr>
      </w:pPr>
      <w:r w:rsidRPr="00CF3826">
        <w:rPr>
          <w:rFonts w:ascii="맑은 고딕" w:eastAsia="맑은 고딕" w:hAnsi="맑은 고딕" w:cs="맑은 고딕"/>
          <w:bCs/>
        </w:rPr>
        <w:t>These low-dimensional embeddings define the feature space of an active-learning loop built on Bayesian optimization (BO)[</w:t>
      </w:r>
      <w:r w:rsidRPr="00CF3826">
        <w:rPr>
          <w:rFonts w:ascii="맑은 고딕" w:eastAsia="맑은 고딕" w:hAnsi="맑은 고딕" w:cs="맑은 고딕"/>
          <w:bCs/>
          <w:highlight w:val="yellow"/>
        </w:rPr>
        <w:t>6</w:t>
      </w:r>
      <w:r w:rsidRPr="00CF3826">
        <w:rPr>
          <w:rFonts w:ascii="맑은 고딕" w:eastAsia="맑은 고딕" w:hAnsi="맑은 고딕" w:cs="맑은 고딕"/>
          <w:bCs/>
        </w:rPr>
        <w:t xml:space="preserve">]. Because the costly objective function—the short-time MSD—must be </w:t>
      </w:r>
      <w:r w:rsidR="00B11AD1" w:rsidRPr="00CF3826">
        <w:rPr>
          <w:rFonts w:ascii="맑은 고딕" w:eastAsia="맑은 고딕" w:hAnsi="맑은 고딕" w:cs="맑은 고딕"/>
          <w:bCs/>
        </w:rPr>
        <w:t>computed</w:t>
      </w:r>
      <w:r w:rsidRPr="00CF3826">
        <w:rPr>
          <w:rFonts w:ascii="맑은 고딕" w:eastAsia="맑은 고딕" w:hAnsi="맑은 고딕" w:cs="맑은 고딕"/>
          <w:bCs/>
        </w:rPr>
        <w:t xml:space="preserve"> on demand, the loop is designed to request as few AIMD evaluations as possible: at each iteration, the q-Noisy Expected Hypervolume Improvement (q-NEHVI) acquisition function proposes a batch of points that maximizes the expected improvement in the Pareto hypervolume defined over the three objectives (E</w:t>
      </w:r>
      <w:r w:rsidRPr="00CF3826">
        <w:rPr>
          <w:rFonts w:ascii="맑은 고딕" w:eastAsia="맑은 고딕" w:hAnsi="맑은 고딕" w:cs="맑은 고딕"/>
          <w:bCs/>
          <w:vertAlign w:val="subscript"/>
        </w:rPr>
        <w:t>cat</w:t>
      </w:r>
      <w:r w:rsidRPr="00CF3826">
        <w:rPr>
          <w:rFonts w:ascii="맑은 고딕" w:eastAsia="맑은 고딕" w:hAnsi="맑은 고딕" w:cs="맑은 고딕"/>
          <w:bCs/>
        </w:rPr>
        <w:t xml:space="preserve">, ESW, and MSD@600). q-NEHVI is well suited to this setting because it natively supports parallel (batched), noisy, multi-objective optimization. Because the acquisition is optimized over the continuous latent space, </w:t>
      </w:r>
      <w:r w:rsidR="001000E5" w:rsidRPr="00CF3826">
        <w:rPr>
          <w:rFonts w:ascii="맑은 고딕" w:eastAsia="맑은 고딕" w:hAnsi="맑은 고딕" w:cs="맑은 고딕"/>
        </w:rPr>
        <w:t>each proposed point is then projected onto its nearest catalogued compound by Euclidean distance in the embedding space, so that every evaluated candidate is a DFT-relaxed crystal structure drawn from the databases rather than an arbitrary point in latent space.</w:t>
      </w:r>
    </w:p>
    <w:p w:rsidR="004920E9" w:rsidRDefault="009236B8" w:rsidP="00042F86">
      <w:pPr>
        <w:ind w:firstLine="800"/>
        <w:rPr>
          <w:bCs/>
        </w:rPr>
      </w:pPr>
      <w:r w:rsidRPr="009236B8">
        <w:rPr>
          <w:bCs/>
        </w:rPr>
        <w:t>Within each round, the selected candidates are evaluated by short-time AIMD to obtain</w:t>
      </w:r>
      <w:r w:rsidR="00042F86">
        <w:rPr>
          <w:bCs/>
        </w:rPr>
        <w:t xml:space="preserve"> their </w:t>
      </w:r>
      <w:r w:rsidR="00B11AD1" w:rsidRPr="00482DA9">
        <w:rPr>
          <w:bCs/>
        </w:rPr>
        <w:t>MSD@600</w:t>
      </w:r>
      <w:r w:rsidR="00042F86">
        <w:rPr>
          <w:bCs/>
        </w:rPr>
        <w:t>, their precomputed E</w:t>
      </w:r>
      <w:r w:rsidR="004E5965">
        <w:rPr>
          <w:bCs/>
          <w:vertAlign w:val="subscript"/>
        </w:rPr>
        <w:t>cat</w:t>
      </w:r>
      <w:r w:rsidRPr="009236B8">
        <w:rPr>
          <w:bCs/>
        </w:rPr>
        <w:t xml:space="preserve"> and </w:t>
      </w:r>
      <w:r w:rsidR="00AA1190" w:rsidRPr="00677E80">
        <w:t>ESW</w:t>
      </w:r>
      <w:r w:rsidR="00042F86" w:rsidRPr="009236B8">
        <w:rPr>
          <w:bCs/>
        </w:rPr>
        <w:t xml:space="preserve"> </w:t>
      </w:r>
      <w:r w:rsidRPr="009236B8">
        <w:rPr>
          <w:bCs/>
        </w:rPr>
        <w:t xml:space="preserve">are retrieved, and the resulting observations update the surrogate model before the next batch is proposed. By combining charge-aware feature extraction with data-efficient optimization, the framework mitigates the curse of dimensionality while drastically reducing the number of expensive first-principles simulations required. </w:t>
      </w:r>
      <w:r w:rsidR="000C3FDF">
        <w:t xml:space="preserve">Crucially, it allows us to screen and prioritize promising candidate materials — as </w:t>
      </w:r>
      <w:r w:rsidR="00E93ECA">
        <w:t xml:space="preserve">bulk </w:t>
      </w:r>
      <w:r w:rsidR="000C3FDF">
        <w:t xml:space="preserve">SSEs, </w:t>
      </w:r>
      <w:r w:rsidR="00E93ECA" w:rsidRPr="00F232F3">
        <w:rPr>
          <w:highlight w:val="cyan"/>
        </w:rPr>
        <w:t>surface cathode-side electrolytes (catholytes)</w:t>
      </w:r>
      <w:r w:rsidR="000C3FDF">
        <w:t xml:space="preserve">, or cathode coatings — from a pool of </w:t>
      </w:r>
      <w:r w:rsidR="0075236A" w:rsidRPr="0075236A">
        <w:t>43,241</w:t>
      </w:r>
      <w:r w:rsidR="000C3FDF">
        <w:t xml:space="preserve"> lithium-containing compounds without exhaustively evaluating their transport properties, transforming the discovery process from brute-force computation into guided exploration.</w:t>
      </w:r>
      <w:r w:rsidRPr="009236B8">
        <w:rPr>
          <w:bCs/>
        </w:rPr>
        <w:t xml:space="preserve"> </w:t>
      </w:r>
    </w:p>
    <w:p w:rsidR="004C7C46" w:rsidRDefault="00031248" w:rsidP="00042F86">
      <w:pPr>
        <w:ind w:firstLine="800"/>
      </w:pPr>
      <w:r>
        <w:t xml:space="preserve">The screened candidates can be re-examined under stability-weighted criteria to </w:t>
      </w:r>
      <w:r w:rsidRPr="00F232F3">
        <w:rPr>
          <w:highlight w:val="cyan"/>
        </w:rPr>
        <w:t>surface catholytes</w:t>
      </w:r>
      <w:r>
        <w:t xml:space="preserve">, for which oxidative stability is emphasized while the reductive-stability requirement is relaxed, and protective cathode coatings, for which interfacial and electrochemical stability against the cathode take priority over high conductivity. Ultimately, this provides a principled pathway for identifying high-performance ionic conductors, compatible </w:t>
      </w:r>
      <w:r w:rsidRPr="00F232F3">
        <w:rPr>
          <w:highlight w:val="cyan"/>
        </w:rPr>
        <w:t>catholytes</w:t>
      </w:r>
      <w:r>
        <w:t xml:space="preserve">, and stable coating layers within a single framework, bridging efficient ML-based descriptors and the chemically complex nature of ion transport. </w:t>
      </w:r>
      <w:r w:rsidRPr="00031248">
        <w:rPr>
          <w:b/>
        </w:rPr>
        <w:t>Figure 1a</w:t>
      </w:r>
      <w:r>
        <w:t xml:space="preserve"> presents a schematic illustration of the overall computational workflow for the discovery of </w:t>
      </w:r>
      <w:r w:rsidR="00657138">
        <w:t>SSEs</w:t>
      </w:r>
      <w:r>
        <w:t xml:space="preserve">, </w:t>
      </w:r>
      <w:r w:rsidRPr="00F232F3">
        <w:rPr>
          <w:highlight w:val="cyan"/>
        </w:rPr>
        <w:t>catholytes</w:t>
      </w:r>
      <w:r>
        <w:t>, and their coating materials.</w:t>
      </w:r>
    </w:p>
    <w:p w:rsidR="00031248" w:rsidRDefault="00031248" w:rsidP="00042F86">
      <w:pPr>
        <w:ind w:firstLine="800"/>
      </w:pPr>
    </w:p>
    <w:p w:rsidR="004920E9" w:rsidRPr="00E0305E" w:rsidRDefault="00FC206A" w:rsidP="004920E9">
      <w:pPr>
        <w:rPr>
          <w:b/>
        </w:rPr>
      </w:pPr>
      <w:r>
        <w:rPr>
          <w:b/>
        </w:rPr>
        <w:t xml:space="preserve">2. </w:t>
      </w:r>
      <w:r w:rsidR="003F49F5" w:rsidRPr="003F49F5">
        <w:rPr>
          <w:b/>
        </w:rPr>
        <w:t>Computational Materials Discovery Framework</w:t>
      </w:r>
    </w:p>
    <w:p w:rsidR="004920E9" w:rsidRPr="00E0305E" w:rsidRDefault="00FC206A" w:rsidP="004920E9">
      <w:pPr>
        <w:rPr>
          <w:b/>
        </w:rPr>
      </w:pPr>
      <w:r>
        <w:rPr>
          <w:b/>
        </w:rPr>
        <w:t xml:space="preserve">2.1. </w:t>
      </w:r>
      <w:r w:rsidR="003F49F5" w:rsidRPr="003F49F5">
        <w:rPr>
          <w:b/>
        </w:rPr>
        <w:t>Dataset Construction and Search-Space Definition</w:t>
      </w:r>
    </w:p>
    <w:p w:rsidR="00AB3CB4" w:rsidRPr="00AB3CB4" w:rsidRDefault="00EE56F4" w:rsidP="00AB3CB4">
      <w:pPr>
        <w:widowControl/>
        <w:wordWrap/>
        <w:autoSpaceDE/>
        <w:autoSpaceDN/>
        <w:ind w:firstLine="800"/>
      </w:pPr>
      <w:r w:rsidRPr="00EE56F4">
        <w:lastRenderedPageBreak/>
        <w:t>This study considers 43,241 lithium-containing inorganic compounds: 21,648 entries from the Materials Project (MP) [ref] and 21,593 from the GNoME dataset [ref]. The two sources differ in provenance and in how stability was imposed. GNoME entries are computationally proposed structures, DFT-relaxed and selected against the convex hull; the initial release admitted only entries with an energy above the hull (E</w:t>
      </w:r>
      <w:r w:rsidRPr="00EE56F4">
        <w:rPr>
          <w:vertAlign w:val="subscript"/>
        </w:rPr>
        <w:t>h</w:t>
      </w:r>
      <w:r w:rsidRPr="00EE56F4">
        <w:t>) of zero, whereas the expanded release also admits entries within 1 meV/atom of the hull</w:t>
      </w:r>
      <w:r>
        <w:t xml:space="preserve">. </w:t>
      </w:r>
      <w:r w:rsidRPr="00EE56F4">
        <w:t>Only a small fraction of these structures has been experimentally realized to date. The MP set, by contrast, is heterogeneous: it combines compounds reported experimentally and archived in the Inorganic Crystal Structure Database (ICSD) with computationally generated entries, and it spans both thermodynamically stable (E</w:t>
      </w:r>
      <w:r w:rsidRPr="00EE56F4">
        <w:rPr>
          <w:vertAlign w:val="subscript"/>
        </w:rPr>
        <w:t>h</w:t>
      </w:r>
      <w:r w:rsidRPr="00EE56F4">
        <w:t xml:space="preserve"> = 0) and metastable (E</w:t>
      </w:r>
      <w:r w:rsidRPr="00EE56F4">
        <w:rPr>
          <w:vertAlign w:val="subscript"/>
        </w:rPr>
        <w:t>h</w:t>
      </w:r>
      <w:r w:rsidRPr="00EE56F4">
        <w:t xml:space="preserve"> &gt; 0) compositions. The two sets were checked for duplicates, and no overlapping compounds were retained.</w:t>
      </w:r>
    </w:p>
    <w:p w:rsidR="00AB3CB4" w:rsidRPr="00AB3CB4" w:rsidRDefault="00AB3CB4" w:rsidP="00AB3CB4">
      <w:pPr>
        <w:widowControl/>
        <w:wordWrap/>
        <w:autoSpaceDE/>
        <w:autoSpaceDN/>
        <w:ind w:firstLine="800"/>
      </w:pPr>
      <w:r w:rsidRPr="00AB3CB4">
        <w:t>The two</w:t>
      </w:r>
      <w:r w:rsidR="00C62DF7" w:rsidRPr="00C62DF7">
        <w:t xml:space="preserve"> lithium-containing</w:t>
      </w:r>
      <w:r w:rsidRPr="00C62DF7">
        <w:t xml:space="preserve"> </w:t>
      </w:r>
      <w:r w:rsidRPr="00AB3CB4">
        <w:t>datasets were treated independently, with a separate active-learning workflow conducted for each. This separation is necessary because two of our objective functions—the cathode reaction energy (</w:t>
      </w:r>
      <w:r>
        <w:t>E</w:t>
      </w:r>
      <w:r w:rsidRPr="00AB3CB4">
        <w:rPr>
          <w:vertAlign w:val="subscript"/>
        </w:rPr>
        <w:t>cat</w:t>
      </w:r>
      <w:r w:rsidRPr="00AB3CB4">
        <w:t>) and the electrochemical stability window (</w:t>
      </w:r>
      <w:r w:rsidR="00AA1190" w:rsidRPr="00677E80">
        <w:t>ESW</w:t>
      </w:r>
      <w:r w:rsidRPr="00AB3CB4">
        <w:t>)—quantify stability against electrochemical decomposition, a quantity that is defined only relative to the set of competing phases forming the convex hull. Since each database builds its convex hull from its own internally consistent set of compounds, and since the two adopt different calculation protocols and reference phase spac</w:t>
      </w:r>
      <w:r>
        <w:t>es, E</w:t>
      </w:r>
      <w:r w:rsidRPr="00AB3CB4">
        <w:rPr>
          <w:vertAlign w:val="subscript"/>
        </w:rPr>
        <w:t>cat</w:t>
      </w:r>
      <w:r w:rsidRPr="00AB3CB4">
        <w:t xml:space="preserve"> and </w:t>
      </w:r>
      <w:r w:rsidR="00AA1190" w:rsidRPr="00677E80">
        <w:t>ESW</w:t>
      </w:r>
      <w:r w:rsidRPr="00AB3CB4">
        <w:t xml:space="preserve"> are not directly transferable between them. As a direct consequence, a compound that lies on the convex hull (E</w:t>
      </w:r>
      <w:r w:rsidRPr="00AB3CB4">
        <w:rPr>
          <w:vertAlign w:val="subscript"/>
        </w:rPr>
        <w:t>h</w:t>
      </w:r>
      <w:r w:rsidRPr="00AB3CB4">
        <w:t xml:space="preserve"> = 0) in the MP database may no longer be stable when re-evaluated within the phase space defined by GNoME, and vice versa.</w:t>
      </w:r>
    </w:p>
    <w:p w:rsidR="00D0683C" w:rsidRDefault="00C62DF7" w:rsidP="00D0683C">
      <w:pPr>
        <w:widowControl/>
        <w:wordWrap/>
        <w:autoSpaceDE/>
        <w:autoSpaceDN/>
        <w:ind w:firstLine="800"/>
      </w:pPr>
      <w:r w:rsidRPr="00C62DF7">
        <w:t>A further distinction concerns internal consistency. The two workflows differ in how their competing phases are assembled. In the GNoME-based workflow, the competing phases are drawn jointly from both the GNoME and MP datasets; to keep this combined reference space consistent, the MP entries are taken in their recalculated form, obtained under the same unified computational protocol used throughout GNoME. In the MP-based workflow, by contrast, the competing phases are drawn exclusively from the MP dataset. Because the GNoME-based workflow thus operates on a reference space in which all competing phases, it rests on a more uniform footing than its MP-based counterpart.</w:t>
      </w:r>
      <w:r w:rsidR="00D0683C">
        <w:t xml:space="preserve"> </w:t>
      </w:r>
    </w:p>
    <w:p w:rsidR="00AB3CB4" w:rsidRPr="00AB3CB4" w:rsidRDefault="00AB3CB4" w:rsidP="00AB3CB4">
      <w:pPr>
        <w:widowControl/>
        <w:wordWrap/>
        <w:autoSpaceDE/>
        <w:autoSpaceDN/>
        <w:ind w:firstLine="800"/>
      </w:pPr>
      <w:r w:rsidRPr="00AB3CB4">
        <w:t>The active-learning</w:t>
      </w:r>
      <w:r w:rsidR="00CB7A2E">
        <w:t xml:space="preserve">-driven </w:t>
      </w:r>
      <w:r w:rsidRPr="00AB3CB4">
        <w:t xml:space="preserve">search was confined to this predefined, finite pool of 43,241 </w:t>
      </w:r>
      <w:r w:rsidR="00C62DF7" w:rsidRPr="00C62DF7">
        <w:t xml:space="preserve">lithium-containing </w:t>
      </w:r>
      <w:r w:rsidRPr="00AB3CB4">
        <w:t>compounds</w:t>
      </w:r>
      <w:r w:rsidR="00616E3A">
        <w:t xml:space="preserve"> in the MP and GNoME datasets</w:t>
      </w:r>
      <w:r w:rsidRPr="00AB3CB4">
        <w:t xml:space="preserve">. Generative strategies such as elemental substitution or structural modification could extend the search toward novel, hypothetical materials, but our objective here is to identify promising </w:t>
      </w:r>
      <w:r w:rsidR="00616E3A">
        <w:t>Li</w:t>
      </w:r>
      <w:r w:rsidR="00616E3A" w:rsidRPr="00616E3A">
        <w:rPr>
          <w:vertAlign w:val="superscript"/>
        </w:rPr>
        <w:t>+</w:t>
      </w:r>
      <w:r w:rsidR="00616E3A">
        <w:t xml:space="preserve"> ion conductor</w:t>
      </w:r>
      <w:r w:rsidRPr="00AB3CB4">
        <w:t xml:space="preserve"> candidates among experimentally or computationally established inorganic phases. The present framework thus provides comprehensive coverage of this known materials space and surfaces candidates that have previously been overlooked. The SSE performance attainable from known compounds may be inherently lower than that of hypothetical, compositionally optimized materials; nevertheless, the </w:t>
      </w:r>
      <w:r w:rsidRPr="00AB3CB4">
        <w:lastRenderedPageBreak/>
        <w:t>identified candidates offer a physically grounded starting point. Post-screening strategies—including targeted elemental substitution and structural perturbation—can then be applied directly to these candidates to further enhance their ionic transport and to guide the design of next-generation SSEs.</w:t>
      </w:r>
    </w:p>
    <w:p w:rsidR="00480A08" w:rsidRDefault="00480A08" w:rsidP="003E58F2"/>
    <w:p w:rsidR="00FC206A" w:rsidRDefault="00FC206A" w:rsidP="003E58F2">
      <w:pPr>
        <w:rPr>
          <w:b/>
        </w:rPr>
      </w:pPr>
      <w:r>
        <w:rPr>
          <w:b/>
        </w:rPr>
        <w:t xml:space="preserve">2.2. </w:t>
      </w:r>
      <w:r w:rsidR="003F49F5" w:rsidRPr="003F49F5">
        <w:rPr>
          <w:b/>
        </w:rPr>
        <w:t>Material Representation and Descriptor Construction</w:t>
      </w:r>
      <w:r w:rsidR="00C76916">
        <w:rPr>
          <w:b/>
        </w:rPr>
        <w:t xml:space="preserve"> </w:t>
      </w:r>
    </w:p>
    <w:p w:rsidR="003E58F2" w:rsidRPr="00E0305E" w:rsidRDefault="00FC206A" w:rsidP="003E58F2">
      <w:pPr>
        <w:rPr>
          <w:b/>
        </w:rPr>
      </w:pPr>
      <w:r>
        <w:rPr>
          <w:b/>
        </w:rPr>
        <w:t xml:space="preserve">2.2.1. </w:t>
      </w:r>
      <w:r w:rsidR="003F49F5" w:rsidRPr="003F49F5">
        <w:rPr>
          <w:b/>
        </w:rPr>
        <w:t>Descriptor Selection for Active Learning</w:t>
      </w:r>
    </w:p>
    <w:p w:rsidR="00C76916" w:rsidRPr="00C76916" w:rsidRDefault="00C76916" w:rsidP="00C76916">
      <w:pPr>
        <w:widowControl/>
        <w:wordWrap/>
        <w:autoSpaceDE/>
        <w:autoSpaceDN/>
      </w:pPr>
      <w:r w:rsidRPr="00C76916">
        <w:t>The decision variables used in the active learning framework were designed to provide a meaningful representation of the target materials. A wide range of material representation schemes has been developed, including physicochemical descriptor vectors</w:t>
      </w:r>
      <w:r w:rsidR="00C87704">
        <w:t xml:space="preserve"> (Magpie)</w:t>
      </w:r>
      <w:r w:rsidR="00FB2273">
        <w:t>[</w:t>
      </w:r>
      <w:r w:rsidR="00FB2273" w:rsidRPr="00C87704">
        <w:rPr>
          <w:color w:val="FF0000"/>
          <w:sz w:val="14"/>
        </w:rPr>
        <w:t>https://www.nature.com/articles/npjcompumats201628</w:t>
      </w:r>
      <w:r w:rsidR="00FB2273">
        <w:t>]</w:t>
      </w:r>
      <w:r w:rsidRPr="00C76916">
        <w:t>, SMILES-based string representations</w:t>
      </w:r>
      <w:r w:rsidR="009C5CE4">
        <w:t>[</w:t>
      </w:r>
      <w:r w:rsidR="009C5CE4" w:rsidRPr="00C76916">
        <w:rPr>
          <w:color w:val="FF0000"/>
          <w:sz w:val="12"/>
        </w:rPr>
        <w:t>https://pubs.acs.org/doi/10.1021/ci00057a005?utm_source=chatgpt.com</w:t>
      </w:r>
      <w:r w:rsidR="009C5CE4">
        <w:t>]</w:t>
      </w:r>
      <w:r w:rsidRPr="00C76916">
        <w:t>,</w:t>
      </w:r>
      <w:r w:rsidR="009C5CE4" w:rsidRPr="009C5CE4">
        <w:t xml:space="preserve"> </w:t>
      </w:r>
      <w:r w:rsidRPr="00C76916">
        <w:t>molecular fingerprints (e.g., extended-connectivity fingerprints (ECFP)</w:t>
      </w:r>
      <w:r w:rsidR="009C5CE4" w:rsidRPr="009C5CE4">
        <w:t xml:space="preserve"> </w:t>
      </w:r>
      <w:r w:rsidR="009C5CE4">
        <w:t>[</w:t>
      </w:r>
      <w:r w:rsidR="009C5CE4" w:rsidRPr="00A60A96">
        <w:rPr>
          <w:color w:val="FF0000"/>
          <w:sz w:val="12"/>
        </w:rPr>
        <w:t>https://pubs.acs.org/doi/10.1021/ci100050t</w:t>
      </w:r>
      <w:r w:rsidR="009C5CE4">
        <w:t>]</w:t>
      </w:r>
      <w:r w:rsidRPr="00C76916">
        <w:t>, also known as Morgan fingerprints), Coulomb matrix representations</w:t>
      </w:r>
      <w:r w:rsidR="009C5CE4">
        <w:t>[</w:t>
      </w:r>
      <w:r w:rsidR="009C5CE4" w:rsidRPr="00A60A96">
        <w:rPr>
          <w:color w:val="FF0000"/>
          <w:sz w:val="12"/>
        </w:rPr>
        <w:t>https://acp.copernicus.org/articles/21/13227/2021/acp-21-13227-2021-discussion.html</w:t>
      </w:r>
      <w:r w:rsidR="009C5CE4">
        <w:t>]</w:t>
      </w:r>
      <w:r w:rsidRPr="00C76916">
        <w:t>, and atom-centered symmetry functions (ACSF)</w:t>
      </w:r>
      <w:r w:rsidR="009C5CE4" w:rsidRPr="009C5CE4">
        <w:t xml:space="preserve"> </w:t>
      </w:r>
      <w:r w:rsidR="009C5CE4">
        <w:t>[</w:t>
      </w:r>
      <w:r w:rsidR="009C5CE4" w:rsidRPr="00A60A96">
        <w:rPr>
          <w:color w:val="FF0000"/>
          <w:sz w:val="10"/>
        </w:rPr>
        <w:t>https://journals.aps.org/prl/abstract/10.1103/PhysRevLett.98.146401</w:t>
      </w:r>
      <w:r w:rsidR="009C5CE4">
        <w:t>]</w:t>
      </w:r>
      <w:r w:rsidRPr="00C76916">
        <w:t>.</w:t>
      </w:r>
    </w:p>
    <w:p w:rsidR="00C76916" w:rsidRDefault="00C76916" w:rsidP="007D25E8">
      <w:pPr>
        <w:widowControl/>
        <w:wordWrap/>
        <w:autoSpaceDE/>
        <w:autoSpaceDN/>
        <w:ind w:firstLine="800"/>
      </w:pPr>
      <w:r w:rsidRPr="00C76916">
        <w:t>SMILES provides a compact string-based encoding of molecular graphs based on graph traversal rules, while molecular fingerprints such as ECFP encode local atomic environments through iterative neighborhood hashing algorithms. Physics-inspired representations such as the Coulomb matrix describe molecules using interatomic electrostatic interactions derived from nuclear charges and pairwise distances. In contrast, atom-centered symmetry functions (ACSF), originally introduced for high-dimensional neural network potentials, characterize local atomic environments in a way that preserves translational, rotational, and permutational invariance.</w:t>
      </w:r>
    </w:p>
    <w:p w:rsidR="0074541F" w:rsidRPr="0074541F" w:rsidRDefault="0074541F" w:rsidP="00834DDA">
      <w:pPr>
        <w:widowControl/>
        <w:wordWrap/>
        <w:autoSpaceDE/>
        <w:autoSpaceDN/>
        <w:ind w:firstLine="800"/>
      </w:pPr>
      <w:r w:rsidRPr="0074541F">
        <w:t xml:space="preserve">Beyond conventional handcrafted descriptors, recent advances in graph neural network (GNN)–based representations have enabled data-driven encoding of crystal structures with significantly improved fidelity. Early models such as </w:t>
      </w:r>
      <w:r w:rsidRPr="0074541F">
        <w:rPr>
          <w:b/>
          <w:color w:val="FF0000"/>
        </w:rPr>
        <w:t>MEGNet</w:t>
      </w:r>
      <w:r w:rsidRPr="0074541F">
        <w:rPr>
          <w:color w:val="FF0000"/>
        </w:rPr>
        <w:t xml:space="preserve"> </w:t>
      </w:r>
      <w:r w:rsidR="00834DDA">
        <w:rPr>
          <w:color w:val="FF0000"/>
        </w:rPr>
        <w:t>[</w:t>
      </w:r>
      <w:r w:rsidR="00834DDA" w:rsidRPr="00834DDA">
        <w:rPr>
          <w:color w:val="FF0000"/>
          <w:sz w:val="14"/>
        </w:rPr>
        <w:t>https://pubs.acs.org/doi/10.1021/acs.chemmater.9b01294</w:t>
      </w:r>
      <w:r w:rsidR="00834DDA">
        <w:rPr>
          <w:color w:val="FF0000"/>
        </w:rPr>
        <w:t xml:space="preserve">] </w:t>
      </w:r>
      <w:r w:rsidRPr="0074541F">
        <w:t xml:space="preserve">demonstrated that atomistic graphs augmented with global state variables can effectively capture structure–property relationships across diverse materials systems. Subsequent developments, including </w:t>
      </w:r>
      <w:r w:rsidRPr="0074541F">
        <w:rPr>
          <w:b/>
          <w:color w:val="FF0000"/>
        </w:rPr>
        <w:t>ALIGNN</w:t>
      </w:r>
      <w:r w:rsidR="00834DDA">
        <w:rPr>
          <w:b/>
          <w:color w:val="FF0000"/>
        </w:rPr>
        <w:t xml:space="preserve"> [</w:t>
      </w:r>
      <w:r w:rsidR="00834DDA" w:rsidRPr="00834DDA">
        <w:rPr>
          <w:color w:val="FF0000"/>
          <w:sz w:val="14"/>
        </w:rPr>
        <w:t>https://www.nature.com/articles/s41524-021-00650-1</w:t>
      </w:r>
      <w:r w:rsidR="00834DDA">
        <w:rPr>
          <w:b/>
          <w:color w:val="FF0000"/>
        </w:rPr>
        <w:t>]</w:t>
      </w:r>
      <w:r w:rsidRPr="0074541F">
        <w:t xml:space="preserve">, introduced line-graph representations to explicitly incorporate bond–angle information, while </w:t>
      </w:r>
      <w:r w:rsidRPr="0074541F">
        <w:rPr>
          <w:b/>
          <w:color w:val="FF0000"/>
        </w:rPr>
        <w:t>M3GNet</w:t>
      </w:r>
      <w:r w:rsidRPr="0074541F">
        <w:rPr>
          <w:color w:val="FF0000"/>
        </w:rPr>
        <w:t xml:space="preserve"> </w:t>
      </w:r>
      <w:r w:rsidR="00834DDA">
        <w:rPr>
          <w:color w:val="FF0000"/>
        </w:rPr>
        <w:t>[</w:t>
      </w:r>
      <w:r w:rsidR="00834DDA" w:rsidRPr="00834DDA">
        <w:rPr>
          <w:color w:val="FF0000"/>
          <w:sz w:val="14"/>
        </w:rPr>
        <w:t>https://www.nature.com/articles/s43588-022-00349-3</w:t>
      </w:r>
      <w:r w:rsidR="00834DDA">
        <w:rPr>
          <w:color w:val="FF0000"/>
        </w:rPr>
        <w:t xml:space="preserve">] </w:t>
      </w:r>
      <w:r w:rsidRPr="0074541F">
        <w:t xml:space="preserve">extended this framework to interatomic potential learning by incorporating many-body interactions for molecular dynamics simulations. More recently, equivariant graph neural networks, such as </w:t>
      </w:r>
      <w:r w:rsidRPr="0074541F">
        <w:rPr>
          <w:b/>
          <w:color w:val="FF0000"/>
        </w:rPr>
        <w:t>NequIP</w:t>
      </w:r>
      <w:r w:rsidR="00834DDA">
        <w:t>[</w:t>
      </w:r>
      <w:r w:rsidR="00834DDA" w:rsidRPr="00834DDA">
        <w:rPr>
          <w:color w:val="FF0000"/>
          <w:sz w:val="14"/>
        </w:rPr>
        <w:t>https://www.nature.com/articles/s41467-022-29939-5</w:t>
      </w:r>
      <w:r w:rsidR="00834DDA">
        <w:t>]</w:t>
      </w:r>
      <w:r w:rsidR="00834DDA" w:rsidRPr="0074541F">
        <w:t>,</w:t>
      </w:r>
      <w:r w:rsidRPr="0074541F">
        <w:t xml:space="preserve"> </w:t>
      </w:r>
      <w:r w:rsidRPr="0074541F">
        <w:rPr>
          <w:b/>
          <w:color w:val="FF0000"/>
        </w:rPr>
        <w:t>Allegro</w:t>
      </w:r>
      <w:r w:rsidR="00834DDA">
        <w:t>[</w:t>
      </w:r>
      <w:r w:rsidR="00834DDA" w:rsidRPr="00834DDA">
        <w:rPr>
          <w:color w:val="FF0000"/>
          <w:sz w:val="14"/>
        </w:rPr>
        <w:t>https://www.nature.com/articles/s41467-023-36329-y</w:t>
      </w:r>
      <w:r w:rsidR="00834DDA">
        <w:t>],</w:t>
      </w:r>
      <w:r w:rsidRPr="0074541F">
        <w:t xml:space="preserve"> and </w:t>
      </w:r>
      <w:r w:rsidRPr="0074541F">
        <w:rPr>
          <w:b/>
          <w:color w:val="FF0000"/>
        </w:rPr>
        <w:t>EquiformerV2</w:t>
      </w:r>
      <w:r w:rsidR="00834DDA">
        <w:t>[</w:t>
      </w:r>
      <w:r w:rsidR="00834DDA" w:rsidRPr="00834DDA">
        <w:rPr>
          <w:color w:val="FF0000"/>
          <w:sz w:val="14"/>
        </w:rPr>
        <w:t>https://doi.org/10.48550/arXiv.2306.12059</w:t>
      </w:r>
      <w:r w:rsidR="00834DDA">
        <w:t>],</w:t>
      </w:r>
      <w:r w:rsidRPr="0074541F">
        <w:t xml:space="preserve"> have further improved accuracy by enforcing rotational and translational symmetry at the level of atomic environments.</w:t>
      </w:r>
    </w:p>
    <w:p w:rsidR="0074541F" w:rsidRDefault="0074541F" w:rsidP="0074541F">
      <w:pPr>
        <w:widowControl/>
        <w:wordWrap/>
        <w:autoSpaceDE/>
        <w:autoSpaceDN/>
        <w:ind w:firstLine="800"/>
      </w:pPr>
      <w:r w:rsidRPr="0074541F">
        <w:lastRenderedPageBreak/>
        <w:t>Despite these advances, most GNN-based approaches remain primarily geometry-driven, focusing on atomic configurations and local structural motifs while treating electronic degrees of freedom implicitly. As a result, their learned representations may not fully capture the charge-dependent chemical environments that critically influence ion transport in solid-state electrolytes. To address this limitation, we instead leverage charge-informed latent representations. Specifically, we utilize the internal embeddings of the Crystal Hamiltonian Graph Neural Network (</w:t>
      </w:r>
      <w:r w:rsidRPr="0074541F">
        <w:rPr>
          <w:b/>
          <w:color w:val="FF0000"/>
        </w:rPr>
        <w:t>CHGNet</w:t>
      </w:r>
      <w:r w:rsidR="00834DDA">
        <w:rPr>
          <w:b/>
          <w:color w:val="FF0000"/>
        </w:rPr>
        <w:t xml:space="preserve"> [</w:t>
      </w:r>
      <w:r w:rsidR="00834DDA" w:rsidRPr="00834DDA">
        <w:rPr>
          <w:color w:val="FF0000"/>
          <w:sz w:val="14"/>
        </w:rPr>
        <w:t>https://www.nature.com/articles/s42256-023-00716-3</w:t>
      </w:r>
      <w:r w:rsidR="00834DDA">
        <w:rPr>
          <w:b/>
          <w:color w:val="FF0000"/>
        </w:rPr>
        <w:t>]</w:t>
      </w:r>
      <w:r w:rsidRPr="0074541F">
        <w:t>) as high-dimensional descriptors, enabling a more faithful encoding of the chemical environments relevant to ionic conduction.</w:t>
      </w:r>
    </w:p>
    <w:p w:rsidR="00B42FA6" w:rsidRDefault="00B42FA6" w:rsidP="0074541F">
      <w:pPr>
        <w:widowControl/>
        <w:wordWrap/>
        <w:autoSpaceDE/>
        <w:autoSpaceDN/>
        <w:ind w:firstLine="800"/>
      </w:pPr>
      <w:r>
        <w:t xml:space="preserve">We precluded using GNoME as the representation model due to the following two reasons. First, as a practical matter, DeepMind released the GNoME </w:t>
      </w:r>
      <w:r w:rsidRPr="00B42FA6">
        <w:rPr>
          <w:rStyle w:val="a7"/>
          <w:i w:val="0"/>
        </w:rPr>
        <w:t>dataset</w:t>
      </w:r>
      <w:r>
        <w:t xml:space="preserve"> and </w:t>
      </w:r>
      <w:r w:rsidRPr="00B42FA6">
        <w:rPr>
          <w:rStyle w:val="a7"/>
          <w:i w:val="0"/>
        </w:rPr>
        <w:t>model</w:t>
      </w:r>
      <w:r>
        <w:rPr>
          <w:rStyle w:val="a7"/>
        </w:rPr>
        <w:t xml:space="preserve"> </w:t>
      </w:r>
      <w:r w:rsidRPr="00B42FA6">
        <w:rPr>
          <w:rStyle w:val="a7"/>
          <w:i w:val="0"/>
        </w:rPr>
        <w:t>definitions</w:t>
      </w:r>
      <w:r>
        <w:t>, but not the trained network weights (no checkpoint is published, and training configs remain listed as upcoming); without trained parameters, per-structure embeddings simply cannot be extracted. Second, and more fundamentally, the GNoME network is an energy/stability predictor trained without charge or spin auxiliary targets, so its latent space is not charge-informed. Since ionic transport is governed by local charge environments and oxidation states, our representation must be charge-aware—a requirement met by CHGNet (trained with site-resolved magnetic moments) but not by GNoME. GNoME therefore enters our framework as half of the candidate search space, not as a descriptor generator.</w:t>
      </w:r>
    </w:p>
    <w:p w:rsidR="00834DDA" w:rsidRPr="00834DDA" w:rsidRDefault="001F6B76" w:rsidP="00E64581">
      <w:pPr>
        <w:widowControl/>
        <w:wordWrap/>
        <w:autoSpaceDE/>
        <w:autoSpaceDN/>
        <w:ind w:firstLine="800"/>
      </w:pPr>
      <w:r w:rsidRPr="001F6B76">
        <w:t>Graph neural network potentials are almost universally used in one way: as predictors of energies and forces (or other material properties), and ultimately as MLIPs driving MLMD. The present work should not be read in that frame. We do not benchmark CHGNet against other potentials in terms of energy or force accuracy. What we take from it is its internal representation. The embedding is not a prediction but a descriptor — the decision variable over which Bayesian optimization searches. Fully trained on a large body of first-principles data, CHGNet has already internalized a structured, charge-informed representation of inorganic chemistry; we simply read that representation out and put it to active learning.</w:t>
      </w:r>
      <w:r w:rsidR="00E64581" w:rsidRPr="00E64581">
        <w:t xml:space="preserve"> </w:t>
      </w:r>
      <w:r w:rsidR="00E64581">
        <w:t>There is also a practical constraint. Evaluating MSD@600 is expensive enough that benchmarking across models is not a feasible undertaking.</w:t>
      </w:r>
    </w:p>
    <w:p w:rsidR="00834DDA" w:rsidRPr="00834DDA" w:rsidRDefault="00834DDA" w:rsidP="00834DDA">
      <w:pPr>
        <w:widowControl/>
        <w:wordWrap/>
        <w:autoSpaceDE/>
        <w:autoSpaceDN/>
        <w:ind w:firstLine="800"/>
      </w:pPr>
      <w:r w:rsidRPr="00834DDA">
        <w:t>More importantly, the goal of this work is not to maximize the volume of computed data across a vast space of hypothetical materials, many of which may have limited physical relevance or synthesizability. Instead, we focus on a data-efficient discovery strategy that prioritizes physically meaningful candidates within a</w:t>
      </w:r>
      <w:r w:rsidR="00D604AB">
        <w:t>n</w:t>
      </w:r>
      <w:r w:rsidRPr="00834DDA">
        <w:t xml:space="preserve"> </w:t>
      </w:r>
      <w:r w:rsidR="00D604AB">
        <w:t>already-validated</w:t>
      </w:r>
      <w:r w:rsidRPr="00834DDA">
        <w:t xml:space="preserve"> materials domain. By minimizing the number of expensive AIMD evaluations while maintaining chemical fidelity, the proposed approach is designed to accelerate the identification of practically viable solid-state </w:t>
      </w:r>
      <w:r w:rsidR="00AF738E">
        <w:t>Li ion conductors</w:t>
      </w:r>
      <w:r w:rsidRPr="00834DDA">
        <w:t>, rather than to exhaustively explore an artificially expanded materials space.</w:t>
      </w:r>
    </w:p>
    <w:p w:rsidR="00967594" w:rsidRPr="00967594" w:rsidRDefault="007349C3" w:rsidP="00967594">
      <w:pPr>
        <w:widowControl/>
        <w:wordWrap/>
        <w:autoSpaceDE/>
        <w:autoSpaceDN/>
        <w:ind w:firstLine="800"/>
        <w:rPr>
          <w:rStyle w:val="citation-75"/>
          <w:color w:val="00B050"/>
        </w:rPr>
      </w:pPr>
      <w:r>
        <w:lastRenderedPageBreak/>
        <w:t xml:space="preserve">Materials discovery hinges on how one represents the identity of a material. Prevailing practice still leans on </w:t>
      </w:r>
      <w:r w:rsidR="00AF738E">
        <w:t xml:space="preserve">the above-described, </w:t>
      </w:r>
      <w:r>
        <w:t xml:space="preserve">handcrafted descriptors — composition statistics, fingerprints, Coulomb matrices, atom-centered symmetry functions — none of which faithfully encode the global topology, or the charge environment, of a crystalline solid. Repurposing learned embeddings as descriptors is not in itself new; </w:t>
      </w:r>
      <w:r w:rsidR="005B1CCE">
        <w:rPr>
          <w:color w:val="FF0000"/>
        </w:rPr>
        <w:t>p</w:t>
      </w:r>
      <w:r w:rsidR="005B1CCE" w:rsidRPr="00FD0910">
        <w:rPr>
          <w:color w:val="FF0000"/>
        </w:rPr>
        <w:t>revious active learning frameworks have largely relied on specialized, small-scale models—such as SMILES-based VAEs [</w:t>
      </w:r>
      <w:r w:rsidR="005B1CCE" w:rsidRPr="00AF738E">
        <w:rPr>
          <w:color w:val="00B0F0"/>
          <w:sz w:val="14"/>
        </w:rPr>
        <w:t>https://pubs.acs.org/doi/10.1021/acscentsci.7b00572</w:t>
      </w:r>
      <w:r w:rsidR="005B1CCE" w:rsidRPr="00FD0910">
        <w:rPr>
          <w:color w:val="FF0000"/>
        </w:rPr>
        <w:t>] or purpose-built autoencoders [</w:t>
      </w:r>
      <w:r w:rsidR="005B1CCE" w:rsidRPr="00AF738E">
        <w:rPr>
          <w:color w:val="00B0F0"/>
          <w:sz w:val="16"/>
        </w:rPr>
        <w:t>10.1016/j.matt.2019.08.003, 4</w:t>
      </w:r>
      <w:r w:rsidR="005B1CCE" w:rsidRPr="00FD0910">
        <w:rPr>
          <w:color w:val="FF0000"/>
        </w:rPr>
        <w:t>]—which lack the depth and breadth to capture the complex physics of inorganic crystalline solids. Such models suffer from inherent limitations in their domain coverage and transferability across the vast chemic</w:t>
      </w:r>
      <w:r w:rsidR="005B1CCE">
        <w:rPr>
          <w:color w:val="FF0000"/>
        </w:rPr>
        <w:t xml:space="preserve">al space of inorganic materials, but are favorable for generate new materials using appropriate decoders. </w:t>
      </w:r>
    </w:p>
    <w:p w:rsidR="00AF567D" w:rsidRDefault="00967594" w:rsidP="00967594">
      <w:pPr>
        <w:widowControl/>
        <w:wordWrap/>
        <w:autoSpaceDE/>
        <w:autoSpaceDN/>
        <w:ind w:firstLine="800"/>
        <w:rPr>
          <w:color w:val="FF0000"/>
        </w:rPr>
      </w:pPr>
      <w:r w:rsidRPr="00967594">
        <w:rPr>
          <w:color w:val="FF0000"/>
        </w:rPr>
        <w:t xml:space="preserve">In contrast, </w:t>
      </w:r>
      <w:r w:rsidR="005B1CCE" w:rsidRPr="00967594">
        <w:rPr>
          <w:rStyle w:val="citation-75"/>
          <w:color w:val="00B050"/>
        </w:rPr>
        <w:t>our approach leverages CHGNet, a universal foundation model pretrained on over 1.5 million DFT configurations from the MPtrj dataset, explicitly incorporating site-resolved magnetic moments</w:t>
      </w:r>
      <w:r w:rsidR="005B1CCE" w:rsidRPr="00967594">
        <w:rPr>
          <w:color w:val="00B050"/>
        </w:rPr>
        <w:t xml:space="preserve">. </w:t>
      </w:r>
      <w:r w:rsidR="005B1CCE" w:rsidRPr="00967594">
        <w:rPr>
          <w:rStyle w:val="citation-74"/>
          <w:color w:val="00B050"/>
        </w:rPr>
        <w:t>With fully trained parameters, CHGNet provides a physically consistent mapping of energy, forces, and electronic states across broad chemical landscapes</w:t>
      </w:r>
      <w:r w:rsidR="005B1CCE" w:rsidRPr="00967594">
        <w:rPr>
          <w:color w:val="00B050"/>
        </w:rPr>
        <w:t xml:space="preserve">. By repurposing the latent embeddings of this pretrained foundation model, we transcend the limitations of "custom-trained" small-scale architectures. Instead, we elevate the active learning process by grounding our decision variables </w:t>
      </w:r>
      <w:r w:rsidR="00225C39" w:rsidRPr="00967594">
        <w:rPr>
          <w:color w:val="00B050"/>
        </w:rPr>
        <w:t>(</w:t>
      </w:r>
      <w:r w:rsidR="00225C39" w:rsidRPr="00967594">
        <w:rPr>
          <w:rFonts w:hint="eastAsia"/>
          <w:color w:val="00B050"/>
        </w:rPr>
        <w:t>descriptors</w:t>
      </w:r>
      <w:r w:rsidR="00225C39" w:rsidRPr="00967594">
        <w:rPr>
          <w:color w:val="00B050"/>
        </w:rPr>
        <w:t xml:space="preserve">) </w:t>
      </w:r>
      <w:r w:rsidR="005B1CCE" w:rsidRPr="00967594">
        <w:rPr>
          <w:color w:val="00B050"/>
        </w:rPr>
        <w:t>in the learned physical knowledge of a state-of-the-art foundation model, ensuring a representation that is both universally validated and physically grounded.</w:t>
      </w:r>
      <w:r w:rsidRPr="00967594">
        <w:rPr>
          <w:color w:val="FF0000"/>
        </w:rPr>
        <w:t xml:space="preserve"> </w:t>
      </w:r>
    </w:p>
    <w:p w:rsidR="00AF567D" w:rsidRDefault="00967594" w:rsidP="00AF567D">
      <w:pPr>
        <w:widowControl/>
        <w:wordWrap/>
        <w:autoSpaceDE/>
        <w:autoSpaceDN/>
        <w:ind w:firstLine="800"/>
        <w:rPr>
          <w:color w:val="FF0000"/>
        </w:rPr>
      </w:pPr>
      <w:r>
        <w:rPr>
          <w:color w:val="FF0000"/>
        </w:rPr>
        <w:t xml:space="preserve">Although </w:t>
      </w:r>
      <w:r w:rsidRPr="00967594">
        <w:rPr>
          <w:color w:val="FF0000"/>
        </w:rPr>
        <w:t>Allotey et al. [</w:t>
      </w:r>
      <w:r w:rsidRPr="00967594">
        <w:rPr>
          <w:color w:val="00B0F0"/>
          <w:sz w:val="14"/>
        </w:rPr>
        <w:t>https://doi.org/10.1063/5.0065694</w:t>
      </w:r>
      <w:r w:rsidRPr="00967594">
        <w:rPr>
          <w:color w:val="FF0000"/>
        </w:rPr>
        <w:t xml:space="preserve">] </w:t>
      </w:r>
      <w:r>
        <w:rPr>
          <w:color w:val="FF0000"/>
        </w:rPr>
        <w:t xml:space="preserve">have </w:t>
      </w:r>
      <w:r w:rsidRPr="00967594">
        <w:rPr>
          <w:color w:val="FF0000"/>
        </w:rPr>
        <w:t xml:space="preserve">demonstrated a </w:t>
      </w:r>
      <w:r>
        <w:rPr>
          <w:color w:val="FF0000"/>
        </w:rPr>
        <w:t>similar</w:t>
      </w:r>
      <w:r w:rsidRPr="00967594">
        <w:rPr>
          <w:color w:val="FF0000"/>
        </w:rPr>
        <w:t xml:space="preserve"> active-learning scheme in which the posterior uncertainty of a GP trained on MEGNet latent embeddings is used to select the next sample for labelling</w:t>
      </w:r>
      <w:r>
        <w:rPr>
          <w:color w:val="FF0000"/>
        </w:rPr>
        <w:t>,</w:t>
      </w:r>
      <w:r w:rsidRPr="00967594">
        <w:rPr>
          <w:color w:val="FF0000"/>
        </w:rPr>
        <w:t xml:space="preserve"> it is not an objective-aware Bayesian optimization procedure for materials discovery. In contrast, the present work uses CHGNet-derived embeddings as decision variables in a multi-objective BO loop, where q-NEHVI explicitly balances predictive mean, uncertainty, noise, batch effects, and Pareto hypervolume improvement over application-relevant objectives.</w:t>
      </w:r>
      <w:r w:rsidR="00AF567D" w:rsidRPr="00AF567D">
        <w:t xml:space="preserve"> </w:t>
      </w:r>
      <w:r w:rsidR="00AF567D">
        <w:t xml:space="preserve">In addition, the decisive advantage of CHGNet is </w:t>
      </w:r>
      <w:r w:rsidR="00AF567D" w:rsidRPr="007349C3">
        <w:rPr>
          <w:rStyle w:val="a7"/>
          <w:i w:val="0"/>
        </w:rPr>
        <w:t>charge-informed</w:t>
      </w:r>
      <w:r w:rsidR="00AF567D">
        <w:t>. Geometry-driven graph networks such as CGCNN, MEGNet, ALIGNN, and M3GNet treat electronic degrees of freedom only implicitly, whereas ionic conduction is governed by local charge environments, oxidation states, and polarizability. Trained with site-resolved magnetic moments as an auxiliary target, CHGNet carries exactly this information in its latent space.</w:t>
      </w:r>
    </w:p>
    <w:p w:rsidR="00547FDA" w:rsidRDefault="00547FDA" w:rsidP="00834DDA">
      <w:pPr>
        <w:widowControl/>
        <w:wordWrap/>
        <w:autoSpaceDE/>
        <w:autoSpaceDN/>
        <w:ind w:firstLine="800"/>
        <w:rPr>
          <w:bCs/>
        </w:rPr>
      </w:pPr>
    </w:p>
    <w:p w:rsidR="001C48CB" w:rsidRDefault="00FC206A" w:rsidP="00547FDA">
      <w:pPr>
        <w:widowControl/>
        <w:wordWrap/>
        <w:autoSpaceDE/>
        <w:autoSpaceDN/>
        <w:rPr>
          <w:b/>
          <w:bCs/>
        </w:rPr>
      </w:pPr>
      <w:r>
        <w:rPr>
          <w:b/>
        </w:rPr>
        <w:t xml:space="preserve">2.2.2. </w:t>
      </w:r>
      <w:r w:rsidR="003F49F5" w:rsidRPr="003F49F5">
        <w:rPr>
          <w:b/>
          <w:bCs/>
        </w:rPr>
        <w:t>Overview of the CHGNet Representation Model</w:t>
      </w:r>
      <w:r w:rsidR="00547FDA" w:rsidRPr="00547FDA">
        <w:rPr>
          <w:b/>
          <w:bCs/>
        </w:rPr>
        <w:t xml:space="preserve"> </w:t>
      </w:r>
    </w:p>
    <w:p w:rsidR="00547FDA" w:rsidRPr="001C48CB" w:rsidRDefault="00F55306" w:rsidP="00547FDA">
      <w:pPr>
        <w:widowControl/>
        <w:wordWrap/>
        <w:autoSpaceDE/>
        <w:autoSpaceDN/>
      </w:pPr>
      <w:r>
        <w:t xml:space="preserve">We employed </w:t>
      </w:r>
      <w:r w:rsidRPr="001C48CB">
        <w:t xml:space="preserve">the </w:t>
      </w:r>
      <w:r w:rsidRPr="001C48CB">
        <w:rPr>
          <w:bCs/>
        </w:rPr>
        <w:t>CHGNet</w:t>
      </w:r>
      <w:r w:rsidRPr="001C48CB">
        <w:t xml:space="preserve"> framework </w:t>
      </w:r>
      <w:r>
        <w:t>that models t</w:t>
      </w:r>
      <w:r w:rsidR="00547FDA" w:rsidRPr="001C48CB">
        <w:t xml:space="preserve">he potential energy surface (PES) of all structures— a next-generation graph neural network potential that extends the M3GNet formalism </w:t>
      </w:r>
      <w:r w:rsidR="00547FDA" w:rsidRPr="001C48CB">
        <w:lastRenderedPageBreak/>
        <w:t xml:space="preserve">by incorporating explicit </w:t>
      </w:r>
      <w:r w:rsidR="00547FDA" w:rsidRPr="001C48CB">
        <w:rPr>
          <w:bCs/>
        </w:rPr>
        <w:t>charge- and spin-related degrees of freedom</w:t>
      </w:r>
      <w:r w:rsidR="00547FDA" w:rsidRPr="001C48CB">
        <w:t xml:space="preserve">. CHGNet was originally trained on the </w:t>
      </w:r>
      <w:r w:rsidR="00547FDA" w:rsidRPr="001C48CB">
        <w:rPr>
          <w:bCs/>
        </w:rPr>
        <w:t>Materials Project Trajectory (MPtrj)</w:t>
      </w:r>
      <w:r w:rsidR="00547FDA" w:rsidRPr="001C48CB">
        <w:t xml:space="preserve"> dataset, which contains over 1.5 million DFT configurations including total energies, atomic forces, stresses, and site-specific magnetic moments (</w:t>
      </w:r>
      <w:r w:rsidR="00547FDA" w:rsidRPr="006D1401">
        <w:rPr>
          <w:iCs/>
        </w:rPr>
        <w:t>magmoms</w:t>
      </w:r>
      <w:r w:rsidR="00547FDA" w:rsidRPr="001C48CB">
        <w:t>).</w:t>
      </w:r>
      <w:r>
        <w:t xml:space="preserve"> </w:t>
      </w:r>
      <w:r w:rsidRPr="00F55306">
        <w:rPr>
          <w:b/>
        </w:rPr>
        <w:t>Figure 1b</w:t>
      </w:r>
      <w:r>
        <w:t xml:space="preserve"> showcases the schematic architecture of the CHGNet model.</w:t>
      </w:r>
    </w:p>
    <w:p w:rsidR="00547FDA" w:rsidRPr="00547FDA" w:rsidRDefault="00547FDA" w:rsidP="001C48CB">
      <w:pPr>
        <w:widowControl/>
        <w:wordWrap/>
        <w:autoSpaceDE/>
        <w:autoSpaceDN/>
        <w:ind w:firstLine="800"/>
      </w:pPr>
      <w:r w:rsidRPr="001C48CB">
        <w:t xml:space="preserve">Each crystal structure is represented as a </w:t>
      </w:r>
      <w:r w:rsidRPr="001C48CB">
        <w:rPr>
          <w:bCs/>
        </w:rPr>
        <w:t>multigraph</w:t>
      </w:r>
      <w:r w:rsidR="001C48CB">
        <w:rPr>
          <w:bCs/>
        </w:rPr>
        <w:t xml:space="preserve">, </w:t>
      </w:r>
      <w:r w:rsidRPr="00547FDA">
        <w:t>G</w:t>
      </w:r>
      <w:r w:rsidR="001C48CB">
        <w:t xml:space="preserve"> </w:t>
      </w:r>
      <w:r w:rsidRPr="00547FDA">
        <w:t>=</w:t>
      </w:r>
      <w:r w:rsidR="001C48CB">
        <w:t xml:space="preserve"> </w:t>
      </w:r>
      <w:r w:rsidR="004D220F">
        <w:t>g</w:t>
      </w:r>
      <w:r w:rsidRPr="00547FDA">
        <w:t>(</w:t>
      </w:r>
      <w:r w:rsidR="001C48CB" w:rsidRPr="001C48CB">
        <w:rPr>
          <w:b/>
        </w:rPr>
        <w:t>v</w:t>
      </w:r>
      <w:r w:rsidRPr="00547FDA">
        <w:t>,</w:t>
      </w:r>
      <w:r w:rsidR="001C48CB" w:rsidRPr="001C48CB">
        <w:rPr>
          <w:b/>
        </w:rPr>
        <w:t>e</w:t>
      </w:r>
      <w:r w:rsidRPr="00547FDA">
        <w:t>,</w:t>
      </w:r>
      <w:r w:rsidR="001C48CB" w:rsidRPr="001C48CB">
        <w:rPr>
          <w:b/>
        </w:rPr>
        <w:t>a</w:t>
      </w:r>
      <w:r w:rsidRPr="00547FDA">
        <w:t xml:space="preserve">), where the node set </w:t>
      </w:r>
      <w:r w:rsidR="001C48CB">
        <w:rPr>
          <w:b/>
        </w:rPr>
        <w:t>v</w:t>
      </w:r>
      <w:r w:rsidRPr="00547FDA">
        <w:t xml:space="preserve"> corresponds to atoms, the edge set </w:t>
      </w:r>
      <w:r w:rsidR="001C48CB" w:rsidRPr="001C48CB">
        <w:rPr>
          <w:b/>
        </w:rPr>
        <w:t>e</w:t>
      </w:r>
      <w:r w:rsidRPr="00547FDA">
        <w:t xml:space="preserve"> represents interatomic bonds within a cutoff of 5 Å, and the auxiliary angle graph </w:t>
      </w:r>
      <w:r w:rsidR="001C48CB" w:rsidRPr="001C48CB">
        <w:rPr>
          <w:b/>
        </w:rPr>
        <w:t>a</w:t>
      </w:r>
      <w:r w:rsidRPr="00547FDA">
        <w:t xml:space="preserve"> encodes three-body (angular) interactions between bonds. Three parallel embedding layers are used to initialize </w:t>
      </w:r>
      <w:r w:rsidRPr="001C48CB">
        <w:rPr>
          <w:bCs/>
        </w:rPr>
        <w:t>atom (</w:t>
      </w:r>
      <w:r w:rsidRPr="001C48CB">
        <w:rPr>
          <w:b/>
          <w:bCs/>
        </w:rPr>
        <w:t>v</w:t>
      </w:r>
      <w:r w:rsidRPr="001C48CB">
        <w:rPr>
          <w:b/>
          <w:bCs/>
          <w:vertAlign w:val="subscript"/>
        </w:rPr>
        <w:t>i</w:t>
      </w:r>
      <w:r w:rsidRPr="001C48CB">
        <w:rPr>
          <w:b/>
          <w:bCs/>
          <w:vertAlign w:val="superscript"/>
        </w:rPr>
        <w:t>0</w:t>
      </w:r>
      <w:r w:rsidRPr="001C48CB">
        <w:rPr>
          <w:bCs/>
        </w:rPr>
        <w:t>​)</w:t>
      </w:r>
      <w:r w:rsidRPr="001C48CB">
        <w:t xml:space="preserve">, </w:t>
      </w:r>
      <w:r w:rsidR="001C48CB" w:rsidRPr="001C48CB">
        <w:rPr>
          <w:bCs/>
        </w:rPr>
        <w:t>bond (</w:t>
      </w:r>
      <w:r w:rsidR="001C48CB" w:rsidRPr="001C48CB">
        <w:rPr>
          <w:b/>
          <w:bCs/>
        </w:rPr>
        <w:t>e</w:t>
      </w:r>
      <w:r w:rsidRPr="001C48CB">
        <w:rPr>
          <w:b/>
          <w:bCs/>
          <w:vertAlign w:val="subscript"/>
        </w:rPr>
        <w:t>ij</w:t>
      </w:r>
      <w:r w:rsidRPr="001C48CB">
        <w:rPr>
          <w:b/>
          <w:bCs/>
          <w:vertAlign w:val="superscript"/>
        </w:rPr>
        <w:t>0</w:t>
      </w:r>
      <w:r w:rsidRPr="001C48CB">
        <w:rPr>
          <w:bCs/>
        </w:rPr>
        <w:t>)</w:t>
      </w:r>
      <w:r w:rsidRPr="001C48CB">
        <w:t xml:space="preserve">, and </w:t>
      </w:r>
      <w:r w:rsidRPr="001C48CB">
        <w:rPr>
          <w:bCs/>
        </w:rPr>
        <w:t>angle (</w:t>
      </w:r>
      <w:r w:rsidRPr="001C48CB">
        <w:rPr>
          <w:b/>
          <w:bCs/>
        </w:rPr>
        <w:t>a</w:t>
      </w:r>
      <w:r w:rsidRPr="001C48CB">
        <w:rPr>
          <w:b/>
          <w:bCs/>
          <w:vertAlign w:val="subscript"/>
        </w:rPr>
        <w:t>ijk</w:t>
      </w:r>
      <w:r w:rsidRPr="001C48CB">
        <w:rPr>
          <w:b/>
          <w:bCs/>
          <w:vertAlign w:val="superscript"/>
        </w:rPr>
        <w:t>0</w:t>
      </w:r>
      <w:r w:rsidRPr="001C48CB">
        <w:rPr>
          <w:bCs/>
        </w:rPr>
        <w:t>)</w:t>
      </w:r>
      <w:r w:rsidRPr="00547FDA">
        <w:t xml:space="preserve"> features, all of which share a latent dimension of </w:t>
      </w:r>
      <w:r w:rsidRPr="001C48CB">
        <w:rPr>
          <w:bCs/>
          <w:color w:val="FF0000"/>
        </w:rPr>
        <w:t>64</w:t>
      </w:r>
      <w:r w:rsidRPr="00547FDA">
        <w:t xml:space="preserve">. The interatomic distances are expanded through smooth radial basis functions and polynomial envelopes, while bond angles are represented by spherical harmonic expansions up to order </w:t>
      </w:r>
      <w:r w:rsidR="005B1CCE" w:rsidRPr="005B1CCE">
        <w:rPr>
          <w:i/>
        </w:rPr>
        <w:t>l</w:t>
      </w:r>
      <w:r w:rsidRPr="00547FDA">
        <w:t xml:space="preserve"> = 8, ensuring smooth rotational and translational invariance.</w:t>
      </w:r>
    </w:p>
    <w:p w:rsidR="00547FDA" w:rsidRDefault="00547FDA" w:rsidP="001C48CB">
      <w:pPr>
        <w:widowControl/>
        <w:wordWrap/>
        <w:autoSpaceDE/>
        <w:autoSpaceDN/>
        <w:ind w:firstLine="800"/>
      </w:pPr>
      <w:r w:rsidRPr="00547FDA">
        <w:t xml:space="preserve">The graph is iteratively updated </w:t>
      </w:r>
      <w:r w:rsidRPr="001C48CB">
        <w:t xml:space="preserve">through </w:t>
      </w:r>
      <w:r w:rsidRPr="001C48CB">
        <w:rPr>
          <w:bCs/>
          <w:color w:val="FF0000"/>
        </w:rPr>
        <w:t xml:space="preserve">four </w:t>
      </w:r>
      <w:r w:rsidRPr="001C48CB">
        <w:rPr>
          <w:bCs/>
        </w:rPr>
        <w:t>interaction blocks</w:t>
      </w:r>
      <w:r w:rsidRPr="001C48CB">
        <w:t>,</w:t>
      </w:r>
      <w:r w:rsidRPr="00547FDA">
        <w:t xml:space="preserve"> each containing three coupled convolutional modules — </w:t>
      </w:r>
      <w:r w:rsidRPr="006048AA">
        <w:rPr>
          <w:iCs/>
        </w:rPr>
        <w:t>AtomConv</w:t>
      </w:r>
      <w:r w:rsidRPr="006048AA">
        <w:t xml:space="preserve">, </w:t>
      </w:r>
      <w:r w:rsidRPr="006048AA">
        <w:rPr>
          <w:iCs/>
        </w:rPr>
        <w:t>BondConv</w:t>
      </w:r>
      <w:r w:rsidRPr="006048AA">
        <w:t xml:space="preserve">, and </w:t>
      </w:r>
      <w:r w:rsidRPr="006048AA">
        <w:rPr>
          <w:iCs/>
        </w:rPr>
        <w:t>AngleUpdate</w:t>
      </w:r>
      <w:r w:rsidRPr="00547FDA">
        <w:t xml:space="preserve"> — that exchange information among </w:t>
      </w:r>
      <w:r w:rsidRPr="001C48CB">
        <w:rPr>
          <w:b/>
        </w:rPr>
        <w:t>v</w:t>
      </w:r>
      <w:r w:rsidRPr="001C48CB">
        <w:rPr>
          <w:b/>
          <w:vertAlign w:val="subscript"/>
        </w:rPr>
        <w:t>i</w:t>
      </w:r>
      <w:r w:rsidRPr="001C48CB">
        <w:rPr>
          <w:b/>
          <w:vertAlign w:val="superscript"/>
        </w:rPr>
        <w:t>t</w:t>
      </w:r>
      <w:r w:rsidRPr="00547FDA">
        <w:t xml:space="preserve">​, </w:t>
      </w:r>
      <w:r w:rsidR="001C48CB" w:rsidRPr="001C48CB">
        <w:rPr>
          <w:b/>
        </w:rPr>
        <w:t>e</w:t>
      </w:r>
      <w:r w:rsidRPr="001C48CB">
        <w:rPr>
          <w:b/>
          <w:vertAlign w:val="subscript"/>
        </w:rPr>
        <w:t>ij</w:t>
      </w:r>
      <w:r w:rsidRPr="001C48CB">
        <w:rPr>
          <w:b/>
          <w:vertAlign w:val="superscript"/>
        </w:rPr>
        <w:t>t</w:t>
      </w:r>
      <w:r w:rsidRPr="00547FDA">
        <w:t xml:space="preserve">, and </w:t>
      </w:r>
      <w:r w:rsidRPr="001C48CB">
        <w:rPr>
          <w:b/>
        </w:rPr>
        <w:t>a</w:t>
      </w:r>
      <w:r w:rsidRPr="001C48CB">
        <w:rPr>
          <w:b/>
          <w:vertAlign w:val="subscript"/>
        </w:rPr>
        <w:t>ijk</w:t>
      </w:r>
      <w:r w:rsidRPr="001C48CB">
        <w:rPr>
          <w:b/>
          <w:vertAlign w:val="superscript"/>
        </w:rPr>
        <w:t>t</w:t>
      </w:r>
      <w:r w:rsidRPr="00547FDA">
        <w:t xml:space="preserve">​. These updates employ gated multilayer perceptrons (GatedMLPs) with 64 hidden units and SiLU activations, together with residual skip connections between blocks. After the third interaction block, the </w:t>
      </w:r>
      <w:r w:rsidRPr="001C48CB">
        <w:rPr>
          <w:bCs/>
        </w:rPr>
        <w:t>latent atomic features</w:t>
      </w:r>
      <w:r w:rsidR="001C48CB">
        <w:rPr>
          <w:b/>
          <w:bCs/>
        </w:rPr>
        <w:t xml:space="preserve"> v</w:t>
      </w:r>
      <w:r w:rsidRPr="001C48CB">
        <w:rPr>
          <w:b/>
          <w:bCs/>
          <w:vertAlign w:val="subscript"/>
        </w:rPr>
        <w:t>i</w:t>
      </w:r>
      <w:r w:rsidRPr="001C48CB">
        <w:rPr>
          <w:b/>
          <w:bCs/>
          <w:vertAlign w:val="superscript"/>
        </w:rPr>
        <w:t>3​</w:t>
      </w:r>
      <w:r w:rsidRPr="00547FDA">
        <w:t xml:space="preserve"> form the node-level representation used in the original CHGNet paper</w:t>
      </w:r>
      <w:r w:rsidR="005B1CCE">
        <w:t>[</w:t>
      </w:r>
      <w:r w:rsidR="005B1CCE" w:rsidRPr="005B1CCE">
        <w:rPr>
          <w:highlight w:val="yellow"/>
        </w:rPr>
        <w:t>ref</w:t>
      </w:r>
      <w:r w:rsidR="005B1CCE">
        <w:t>]</w:t>
      </w:r>
      <w:r w:rsidRPr="00547FDA">
        <w:t xml:space="preserve"> to analyze charge and spin separation. In our implementation, these updated atomic, bond, and angle features are further passed </w:t>
      </w:r>
      <w:r w:rsidRPr="001C48CB">
        <w:t xml:space="preserve">through </w:t>
      </w:r>
      <w:r w:rsidRPr="001C48CB">
        <w:rPr>
          <w:bCs/>
        </w:rPr>
        <w:t>pooling and normalization layers</w:t>
      </w:r>
      <w:r w:rsidRPr="001C48CB">
        <w:t xml:space="preserve"> to produce a single </w:t>
      </w:r>
      <w:r w:rsidRPr="001C48CB">
        <w:rPr>
          <w:bCs/>
        </w:rPr>
        <w:t>graph-level 64-dimensional state vector</w:t>
      </w:r>
      <w:r w:rsidRPr="001C48CB">
        <w:t xml:space="preserve"> representing the entire crystal.</w:t>
      </w:r>
    </w:p>
    <w:p w:rsidR="00395CC2" w:rsidRDefault="00395CC2" w:rsidP="00395CC2">
      <w:pPr>
        <w:widowControl/>
        <w:wordWrap/>
        <w:autoSpaceDE/>
        <w:autoSpaceDN/>
        <w:jc w:val="center"/>
      </w:pPr>
      <w:r>
        <w:rPr>
          <w:noProof/>
        </w:rPr>
        <w:drawing>
          <wp:inline distT="0" distB="0" distL="0" distR="0">
            <wp:extent cx="5731510" cy="3220746"/>
            <wp:effectExtent l="0" t="0" r="2540" b="0"/>
            <wp:docPr id="2" name="그림 2" descr="ChatGPT Image 2026년 6월 26일 오전 03_04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atGPT Image 2026년 6월 26일 오전 03_04_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0746"/>
                    </a:xfrm>
                    <a:prstGeom prst="rect">
                      <a:avLst/>
                    </a:prstGeom>
                    <a:noFill/>
                    <a:ln>
                      <a:noFill/>
                    </a:ln>
                  </pic:spPr>
                </pic:pic>
              </a:graphicData>
            </a:graphic>
          </wp:inline>
        </w:drawing>
      </w:r>
    </w:p>
    <w:p w:rsidR="00850177" w:rsidRPr="001C48CB" w:rsidRDefault="00850177" w:rsidP="00395CC2">
      <w:pPr>
        <w:widowControl/>
        <w:wordWrap/>
        <w:autoSpaceDE/>
        <w:autoSpaceDN/>
        <w:jc w:val="center"/>
      </w:pPr>
      <w:r w:rsidRPr="00850177">
        <w:rPr>
          <w:noProof/>
        </w:rPr>
        <w:lastRenderedPageBreak/>
        <w:drawing>
          <wp:inline distT="0" distB="0" distL="0" distR="0" wp14:anchorId="40FDD574" wp14:editId="66316846">
            <wp:extent cx="4063042" cy="3312194"/>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70313" cy="3318121"/>
                    </a:xfrm>
                    <a:prstGeom prst="rect">
                      <a:avLst/>
                    </a:prstGeom>
                  </pic:spPr>
                </pic:pic>
              </a:graphicData>
            </a:graphic>
          </wp:inline>
        </w:drawing>
      </w:r>
    </w:p>
    <w:p w:rsidR="00547FDA" w:rsidRPr="00547FDA" w:rsidRDefault="00547FDA" w:rsidP="001C48CB">
      <w:pPr>
        <w:widowControl/>
        <w:wordWrap/>
        <w:autoSpaceDE/>
        <w:autoSpaceDN/>
        <w:ind w:firstLine="800"/>
      </w:pPr>
      <w:r w:rsidRPr="00FC206A">
        <w:t xml:space="preserve">The final </w:t>
      </w:r>
      <w:r w:rsidRPr="00FC206A">
        <w:rPr>
          <w:bCs/>
        </w:rPr>
        <w:t>readout stage</w:t>
      </w:r>
      <w:r w:rsidRPr="00FC206A">
        <w:t xml:space="preserve"> consists of a three-layer </w:t>
      </w:r>
      <w:r w:rsidR="001C48CB" w:rsidRPr="00FC206A">
        <w:t>MLP predictor that maps this 64</w:t>
      </w:r>
      <w:r w:rsidRPr="00FC206A">
        <w:t xml:space="preserve">D state embedding to the total energy, from which forces and stresses are obtained analytically by automatic differentiation, ensuring full </w:t>
      </w:r>
      <w:r w:rsidRPr="00FC206A">
        <w:rPr>
          <w:bCs/>
        </w:rPr>
        <w:t>energy–force–stress consistency</w:t>
      </w:r>
      <w:r w:rsidRPr="00FC206A">
        <w:t>. In addition, a parallel linear head predicts site-specific magnetic moments, enabling the model to</w:t>
      </w:r>
      <w:r w:rsidRPr="00547FDA">
        <w:t xml:space="preserve"> learn correlations between local coordination environments and charge states.</w:t>
      </w:r>
    </w:p>
    <w:p w:rsidR="00547FDA" w:rsidRPr="00CF3826" w:rsidRDefault="006C44C3" w:rsidP="001C48CB">
      <w:pPr>
        <w:widowControl/>
        <w:wordWrap/>
        <w:autoSpaceDE/>
        <w:autoSpaceDN/>
        <w:ind w:firstLine="800"/>
        <w:rPr>
          <w:rFonts w:ascii="맑은 고딕" w:eastAsia="맑은 고딕" w:hAnsi="맑은 고딕" w:cs="맑은 고딕"/>
        </w:rPr>
      </w:pPr>
      <w:r>
        <w:t xml:space="preserve">In </w:t>
      </w:r>
      <w:r w:rsidRPr="00CF3826">
        <w:rPr>
          <w:rFonts w:ascii="맑은 고딕" w:eastAsia="맑은 고딕" w:hAnsi="맑은 고딕" w:cs="맑은 고딕"/>
        </w:rPr>
        <w:t xml:space="preserve">this work, we employed the CHGNet model pretrained on </w:t>
      </w:r>
      <w:r w:rsidR="003C0477" w:rsidRPr="00CF3826">
        <w:rPr>
          <w:rStyle w:val="citation-75"/>
          <w:rFonts w:ascii="맑은 고딕" w:eastAsia="맑은 고딕" w:hAnsi="맑은 고딕" w:cs="맑은 고딕"/>
          <w:color w:val="FF0000"/>
        </w:rPr>
        <w:t>the Materials Project Trajectory (MPtrj) dataset</w:t>
      </w:r>
      <w:r w:rsidR="003C0477" w:rsidRPr="00CF3826">
        <w:rPr>
          <w:rFonts w:ascii="맑은 고딕" w:eastAsia="맑은 고딕" w:hAnsi="맑은 고딕" w:cs="맑은 고딕"/>
        </w:rPr>
        <w:t xml:space="preserve"> </w:t>
      </w:r>
      <w:r w:rsidRPr="00CF3826">
        <w:rPr>
          <w:rFonts w:ascii="맑은 고딕" w:eastAsia="맑은 고딕" w:hAnsi="맑은 고딕" w:cs="맑은 고딕"/>
        </w:rPr>
        <w:t xml:space="preserve">without further retraining. </w:t>
      </w:r>
      <w:r w:rsidR="00547FDA" w:rsidRPr="00CF3826">
        <w:rPr>
          <w:rFonts w:ascii="맑은 고딕" w:eastAsia="맑은 고딕" w:hAnsi="맑은 고딕" w:cs="맑은 고딕"/>
        </w:rPr>
        <w:t xml:space="preserve">CHGNet contains approximately </w:t>
      </w:r>
      <w:r w:rsidR="00547FDA" w:rsidRPr="00CF3826">
        <w:rPr>
          <w:rFonts w:ascii="맑은 고딕" w:eastAsia="맑은 고딕" w:hAnsi="맑은 고딕" w:cs="맑은 고딕"/>
          <w:bCs/>
        </w:rPr>
        <w:t>4.1 × 10</w:t>
      </w:r>
      <w:r w:rsidR="003C0477" w:rsidRPr="00CF3826">
        <w:rPr>
          <w:rFonts w:ascii="맑은 고딕" w:eastAsia="맑은 고딕" w:hAnsi="맑은 고딕" w:cs="맑은 고딕" w:hint="eastAsia"/>
          <w:bCs/>
          <w:vertAlign w:val="superscript"/>
        </w:rPr>
        <w:t>5</w:t>
      </w:r>
      <w:r w:rsidR="00547FDA" w:rsidRPr="00CF3826">
        <w:rPr>
          <w:rFonts w:ascii="맑은 고딕" w:eastAsia="맑은 고딕" w:hAnsi="맑은 고딕" w:cs="맑은 고딕"/>
          <w:bCs/>
        </w:rPr>
        <w:t xml:space="preserve"> trainable parameters</w:t>
      </w:r>
      <w:r w:rsidR="00547FDA" w:rsidRPr="00CF3826">
        <w:rPr>
          <w:rFonts w:ascii="맑은 고딕" w:eastAsia="맑은 고딕" w:hAnsi="맑은 고딕" w:cs="맑은 고딕"/>
        </w:rPr>
        <w:t>. The objective function is a weighted sum of Huber losses for energy, force, stress, a</w:t>
      </w:r>
      <w:r w:rsidR="001C48CB" w:rsidRPr="00CF3826">
        <w:rPr>
          <w:rFonts w:ascii="맑은 고딕" w:eastAsia="맑은 고딕" w:hAnsi="맑은 고딕" w:cs="맑은 고딕"/>
        </w:rPr>
        <w:t xml:space="preserve">nd magmom predictions. </w:t>
      </w:r>
      <w:r w:rsidR="00547FDA" w:rsidRPr="00CF3826">
        <w:rPr>
          <w:rFonts w:ascii="맑은 고딕" w:eastAsia="맑은 고딕" w:hAnsi="맑은 고딕" w:cs="맑은 고딕"/>
          <w:highlight w:val="lightGray"/>
        </w:rPr>
        <w:t xml:space="preserve">Optimization employed the Adam optimizer with a batch size of 32 and the Huber transition parameter δ = 0.01. Gradients from all targets were back-propagated jointly through the shared GNN encoder so that the resulting potential learns a unified, differentiable PES that self-consistently links </w:t>
      </w:r>
      <w:r w:rsidR="00547FDA" w:rsidRPr="00CF3826">
        <w:rPr>
          <w:rFonts w:ascii="맑은 고딕" w:eastAsia="맑은 고딕" w:hAnsi="맑은 고딕" w:cs="맑은 고딕"/>
          <w:bCs/>
          <w:highlight w:val="lightGray"/>
        </w:rPr>
        <w:t>energy, force, stress, and magnetic/charge state</w:t>
      </w:r>
      <w:r w:rsidR="00547FDA" w:rsidRPr="00CF3826">
        <w:rPr>
          <w:rFonts w:ascii="맑은 고딕" w:eastAsia="맑은 고딕" w:hAnsi="맑은 고딕" w:cs="맑은 고딕"/>
          <w:highlight w:val="lightGray"/>
        </w:rPr>
        <w:t>.</w:t>
      </w:r>
    </w:p>
    <w:p w:rsidR="00547FDA" w:rsidRDefault="00547FDA" w:rsidP="001C48CB">
      <w:pPr>
        <w:widowControl/>
        <w:wordWrap/>
        <w:autoSpaceDE/>
        <w:autoSpaceDN/>
        <w:ind w:firstLine="800"/>
      </w:pPr>
      <w:r w:rsidRPr="001C48CB">
        <w:t xml:space="preserve">This </w:t>
      </w:r>
      <w:r w:rsidRPr="001C48CB">
        <w:rPr>
          <w:bCs/>
        </w:rPr>
        <w:t>charge-informed universal GNN potential</w:t>
      </w:r>
      <w:r w:rsidRPr="001C48CB">
        <w:t xml:space="preserve"> provides continuous and rotationally equivariant predictions across a broad chemical space, offering improved accuracy for systems with mixed-valence or spin-polarized ions and enabling large-scale molecular dynamics, relaxation, and phase-transformation simulations within a single physically consistent framework.</w:t>
      </w:r>
    </w:p>
    <w:p w:rsidR="00547FDA" w:rsidRPr="00547FDA" w:rsidRDefault="00547FDA" w:rsidP="00547FDA">
      <w:pPr>
        <w:widowControl/>
        <w:wordWrap/>
        <w:autoSpaceDE/>
        <w:autoSpaceDN/>
      </w:pPr>
    </w:p>
    <w:p w:rsidR="00547FDA" w:rsidRPr="00547FDA" w:rsidRDefault="00FC206A" w:rsidP="00547FDA">
      <w:pPr>
        <w:widowControl/>
        <w:wordWrap/>
        <w:autoSpaceDE/>
        <w:autoSpaceDN/>
        <w:rPr>
          <w:b/>
        </w:rPr>
      </w:pPr>
      <w:r>
        <w:rPr>
          <w:b/>
        </w:rPr>
        <w:t xml:space="preserve">2.2.3. </w:t>
      </w:r>
      <w:r w:rsidR="003F49F5" w:rsidRPr="003F49F5">
        <w:rPr>
          <w:b/>
        </w:rPr>
        <w:t>Graph-Level CHGNet Embedding Extraction</w:t>
      </w:r>
    </w:p>
    <w:p w:rsidR="00547FDA" w:rsidRPr="00547FDA" w:rsidRDefault="00547FDA" w:rsidP="00547FDA">
      <w:pPr>
        <w:widowControl/>
        <w:wordWrap/>
        <w:autoSpaceDE/>
        <w:autoSpaceDN/>
      </w:pPr>
      <w:r w:rsidRPr="00CF3826">
        <w:rPr>
          <w:rFonts w:ascii="맑은 고딕" w:eastAsia="맑은 고딕" w:hAnsi="맑은 고딕" w:cs="맑은 고딕"/>
        </w:rPr>
        <w:t xml:space="preserve">While </w:t>
      </w:r>
      <w:r w:rsidRPr="00CF3826">
        <w:rPr>
          <w:rFonts w:ascii="맑은 고딕" w:eastAsia="맑은 고딕" w:hAnsi="맑은 고딕" w:cs="맑은 고딕"/>
          <w:color w:val="FF0000"/>
        </w:rPr>
        <w:t xml:space="preserve">the original </w:t>
      </w:r>
      <w:r w:rsidRPr="00CF3826">
        <w:rPr>
          <w:rFonts w:ascii="맑은 고딕" w:eastAsia="맑은 고딕" w:hAnsi="맑은 고딕" w:cs="맑은 고딕"/>
          <w:iCs/>
          <w:color w:val="FF0000"/>
        </w:rPr>
        <w:t>CHGNet</w:t>
      </w:r>
      <w:r w:rsidRPr="00CF3826">
        <w:rPr>
          <w:rFonts w:ascii="맑은 고딕" w:eastAsia="맑은 고딕" w:hAnsi="맑은 고딕" w:cs="맑은 고딕"/>
          <w:color w:val="FF0000"/>
        </w:rPr>
        <w:t xml:space="preserve"> paper</w:t>
      </w:r>
      <w:r w:rsidR="00584EE9" w:rsidRPr="00CF3826">
        <w:rPr>
          <w:rFonts w:ascii="맑은 고딕" w:eastAsia="맑은 고딕" w:hAnsi="맑은 고딕" w:cs="맑은 고딕"/>
        </w:rPr>
        <w:t>[</w:t>
      </w:r>
      <w:r w:rsidR="00584EE9" w:rsidRPr="00CF3826">
        <w:rPr>
          <w:rFonts w:ascii="맑은 고딕" w:eastAsia="맑은 고딕" w:hAnsi="맑은 고딕" w:cs="맑은 고딕"/>
          <w:highlight w:val="yellow"/>
        </w:rPr>
        <w:t>ref</w:t>
      </w:r>
      <w:r w:rsidR="00584EE9" w:rsidRPr="00CF3826">
        <w:rPr>
          <w:rFonts w:ascii="맑은 고딕" w:eastAsia="맑은 고딕" w:hAnsi="맑은 고딕" w:cs="맑은 고딕"/>
        </w:rPr>
        <w:t>]</w:t>
      </w:r>
      <w:r w:rsidRPr="00CF3826">
        <w:rPr>
          <w:rFonts w:ascii="맑은 고딕" w:eastAsia="맑은 고딕" w:hAnsi="맑은 고딕" w:cs="맑은 고딕"/>
        </w:rPr>
        <w:t xml:space="preserve"> analyzed the latent-space features of individual atoms (</w:t>
      </w:r>
      <w:r w:rsidRPr="00CF3826">
        <w:rPr>
          <w:rFonts w:ascii="맑은 고딕" w:eastAsia="맑은 고딕" w:hAnsi="맑은 고딕" w:cs="맑은 고딕"/>
          <w:b/>
        </w:rPr>
        <w:t>v</w:t>
      </w:r>
      <w:r w:rsidR="003D32B2" w:rsidRPr="003D32B2">
        <w:rPr>
          <w:rFonts w:ascii="맑은 고딕" w:eastAsia="맑은 고딕" w:hAnsi="맑은 고딕" w:cs="맑은 고딕"/>
          <w:b/>
          <w:vertAlign w:val="subscript"/>
        </w:rPr>
        <w:t>i</w:t>
      </w:r>
      <w:r w:rsidR="003D32B2" w:rsidRPr="003D32B2">
        <w:rPr>
          <w:rFonts w:ascii="맑은 고딕" w:eastAsia="맑은 고딕" w:hAnsi="맑은 고딕" w:cs="맑은 고딕"/>
          <w:b/>
          <w:vertAlign w:val="superscript"/>
        </w:rPr>
        <w:t>3</w:t>
      </w:r>
      <w:r w:rsidRPr="00CF3826">
        <w:rPr>
          <w:rFonts w:ascii="맑은 고딕" w:eastAsia="맑은 고딕" w:hAnsi="맑은 고딕" w:cs="맑은 고딕"/>
        </w:rPr>
        <w:t xml:space="preserve">) after three interaction blocks, those node-level embeddings primarily capture </w:t>
      </w:r>
      <w:r w:rsidRPr="00CF3826">
        <w:rPr>
          <w:rFonts w:ascii="맑은 고딕" w:eastAsia="맑은 고딕" w:hAnsi="맑은 고딕" w:cs="맑은 고딕"/>
          <w:bCs/>
        </w:rPr>
        <w:t xml:space="preserve">local chemical </w:t>
      </w:r>
      <w:r w:rsidRPr="00CF3826">
        <w:rPr>
          <w:rFonts w:ascii="맑은 고딕" w:eastAsia="맑은 고딕" w:hAnsi="맑은 고딕" w:cs="맑은 고딕"/>
          <w:bCs/>
        </w:rPr>
        <w:lastRenderedPageBreak/>
        <w:t>environments</w:t>
      </w:r>
      <w:r w:rsidRPr="00CF3826">
        <w:rPr>
          <w:rFonts w:ascii="맑은 고딕" w:eastAsia="맑은 고딕" w:hAnsi="맑은 고딕" w:cs="맑은 고딕"/>
        </w:rPr>
        <w:t xml:space="preserve"> surrounding each atom. This design choice was appropriate for their purpose—demonstrating that CHGNet can distinguish oxidation or charge states (for example, V</w:t>
      </w:r>
      <w:r w:rsidR="00CF3826" w:rsidRPr="00CF3826">
        <w:rPr>
          <w:rFonts w:ascii="맑은 고딕" w:eastAsia="맑은 고딕" w:hAnsi="맑은 고딕" w:cs="맑은 고딕"/>
          <w:vertAlign w:val="superscript"/>
        </w:rPr>
        <w:t>3+</w:t>
      </w:r>
      <w:r w:rsidRPr="00CF3826">
        <w:rPr>
          <w:rFonts w:ascii="맑은 고딕" w:eastAsia="맑은 고딕" w:hAnsi="맑은 고딕" w:cs="맑은 고딕"/>
        </w:rPr>
        <w:t xml:space="preserve"> versus V</w:t>
      </w:r>
      <w:r w:rsidR="00CF3826" w:rsidRPr="00CF3826">
        <w:rPr>
          <w:rFonts w:ascii="맑은 고딕" w:eastAsia="맑은 고딕" w:hAnsi="맑은 고딕" w:cs="맑은 고딕"/>
          <w:vertAlign w:val="superscript"/>
        </w:rPr>
        <w:t>4+</w:t>
      </w:r>
      <w:r w:rsidRPr="00CF3826">
        <w:rPr>
          <w:rFonts w:ascii="맑은 고딕" w:eastAsia="맑은 고딕" w:hAnsi="맑은 고딕" w:cs="맑은 고딕"/>
        </w:rPr>
        <w:t>) based solely on short-range coordination features. Consequently, the PCA analysis presented in th</w:t>
      </w:r>
      <w:r w:rsidR="00584EE9" w:rsidRPr="00CF3826">
        <w:rPr>
          <w:rFonts w:ascii="맑은 고딕" w:eastAsia="맑은 고딕" w:hAnsi="맑은 고딕" w:cs="맑은 고딕"/>
        </w:rPr>
        <w:t>at</w:t>
      </w:r>
      <w:r w:rsidRPr="00CF3826">
        <w:rPr>
          <w:rFonts w:ascii="맑은 고딕" w:eastAsia="맑은 고딕" w:hAnsi="맑은 고딕" w:cs="맑은 고딕"/>
        </w:rPr>
        <w:t xml:space="preserve"> paper</w:t>
      </w:r>
      <w:r w:rsidR="006645FC" w:rsidRPr="00CF3826">
        <w:rPr>
          <w:rFonts w:ascii="맑은 고딕" w:eastAsia="맑은 고딕" w:hAnsi="맑은 고딕" w:cs="맑은 고딕"/>
        </w:rPr>
        <w:t>[</w:t>
      </w:r>
      <w:r w:rsidR="006645FC" w:rsidRPr="00CF3826">
        <w:rPr>
          <w:rFonts w:ascii="맑은 고딕" w:eastAsia="맑은 고딕" w:hAnsi="맑은 고딕" w:cs="맑은 고딕"/>
          <w:highlight w:val="yellow"/>
        </w:rPr>
        <w:t>ref</w:t>
      </w:r>
      <w:r w:rsidR="006645FC" w:rsidRPr="00CF3826">
        <w:rPr>
          <w:rFonts w:ascii="맑은 고딕" w:eastAsia="맑은 고딕" w:hAnsi="맑은 고딕" w:cs="맑은 고딕"/>
        </w:rPr>
        <w:t xml:space="preserve">] </w:t>
      </w:r>
      <w:r w:rsidRPr="00CF3826">
        <w:rPr>
          <w:rFonts w:ascii="맑은 고딕" w:eastAsia="맑은 고딕" w:hAnsi="맑은 고딕" w:cs="맑은 고딕"/>
        </w:rPr>
        <w:t>effectively visualized local valence clustering rather than the global structural representation.</w:t>
      </w:r>
    </w:p>
    <w:p w:rsidR="00547FDA" w:rsidRPr="00931805" w:rsidRDefault="00547FDA" w:rsidP="00FC206A">
      <w:pPr>
        <w:widowControl/>
        <w:wordWrap/>
        <w:autoSpaceDE/>
        <w:autoSpaceDN/>
        <w:ind w:firstLine="800"/>
        <w:rPr>
          <w:color w:val="C45911" w:themeColor="accent2" w:themeShade="BF"/>
        </w:rPr>
      </w:pPr>
      <w:r w:rsidRPr="00FC206A">
        <w:t xml:space="preserve">In contrast, the embedding used in </w:t>
      </w:r>
      <w:r w:rsidR="00E459CA">
        <w:t>the present investigation</w:t>
      </w:r>
      <w:r w:rsidRPr="00FC206A">
        <w:t xml:space="preserve"> was extracted </w:t>
      </w:r>
      <w:r w:rsidRPr="00FC206A">
        <w:rPr>
          <w:bCs/>
        </w:rPr>
        <w:t>after the pooling and normalization stages</w:t>
      </w:r>
      <w:r w:rsidRPr="00FC206A">
        <w:t xml:space="preserve">, immediately before the MLP predictor. This </w:t>
      </w:r>
      <w:r w:rsidRPr="00FC206A">
        <w:rPr>
          <w:bCs/>
        </w:rPr>
        <w:t>graph-level 64-dimensional state vector</w:t>
      </w:r>
      <w:r w:rsidRPr="00FC206A">
        <w:t xml:space="preserve"> integrates information from all nodes, bonds, and angular features into a single representation of the entire crystal graph. </w:t>
      </w:r>
      <w:r w:rsidR="00931805" w:rsidRPr="00931805">
        <w:rPr>
          <w:color w:val="C45911" w:themeColor="accent2" w:themeShade="BF"/>
        </w:rPr>
        <w:t xml:space="preserve">It therefore reflects not only local bonding motifs but also the global topology and compositional context of each structure. Crucially, this graph-level vector </w:t>
      </w:r>
      <w:r w:rsidR="00E459CA">
        <w:rPr>
          <w:color w:val="C45911" w:themeColor="accent2" w:themeShade="BF"/>
        </w:rPr>
        <w:t>did</w:t>
      </w:r>
      <w:r w:rsidR="00931805" w:rsidRPr="00931805">
        <w:rPr>
          <w:color w:val="C45911" w:themeColor="accent2" w:themeShade="BF"/>
        </w:rPr>
        <w:t xml:space="preserve"> not discard the charge information carried by the atomic features: because the entire encoder is trained jointly against a site-resolved magnetic-moment (magmom) target through a shared, differentiable backbone, the charge- and spin-informed signal learned at the atomic level </w:t>
      </w:r>
      <w:r w:rsidR="00E459CA">
        <w:rPr>
          <w:color w:val="C45911" w:themeColor="accent2" w:themeShade="BF"/>
        </w:rPr>
        <w:t xml:space="preserve">was </w:t>
      </w:r>
      <w:r w:rsidR="00931805" w:rsidRPr="00931805">
        <w:rPr>
          <w:color w:val="C45911" w:themeColor="accent2" w:themeShade="BF"/>
        </w:rPr>
        <w:t>propagated into—and aggregated within—the pooled representation. Pooling therefore change</w:t>
      </w:r>
      <w:r w:rsidR="00E459CA">
        <w:rPr>
          <w:color w:val="C45911" w:themeColor="accent2" w:themeShade="BF"/>
        </w:rPr>
        <w:t>d</w:t>
      </w:r>
      <w:r w:rsidR="00931805" w:rsidRPr="00931805">
        <w:rPr>
          <w:color w:val="C45911" w:themeColor="accent2" w:themeShade="BF"/>
        </w:rPr>
        <w:t xml:space="preserve"> the granularity of the description, from per-site to whole-crystal, without severing the charge-awareness of the underlying features. What we obtain</w:t>
      </w:r>
      <w:r w:rsidR="00E459CA">
        <w:rPr>
          <w:color w:val="C45911" w:themeColor="accent2" w:themeShade="BF"/>
        </w:rPr>
        <w:t>ed</w:t>
      </w:r>
      <w:r w:rsidR="00931805" w:rsidRPr="00931805">
        <w:rPr>
          <w:color w:val="C45911" w:themeColor="accent2" w:themeShade="BF"/>
        </w:rPr>
        <w:t xml:space="preserve"> is thus a global structural–compositional fingerprint that remains charge-informed</w:t>
      </w:r>
      <w:r w:rsidR="00931805" w:rsidRPr="00931805">
        <w:rPr>
          <w:rFonts w:hint="eastAsia"/>
          <w:color w:val="C45911" w:themeColor="accent2" w:themeShade="BF"/>
        </w:rPr>
        <w:t>—</w:t>
      </w:r>
      <w:r w:rsidR="00931805" w:rsidRPr="00931805">
        <w:rPr>
          <w:color w:val="C45911" w:themeColor="accent2" w:themeShade="BF"/>
        </w:rPr>
        <w:t>precisely the representation our goal requires: one that encodes the overall configuration of a crystal while still reflecting the local charge environments that govern ion transport.</w:t>
      </w:r>
    </w:p>
    <w:p w:rsidR="001B3473" w:rsidRDefault="001B3473" w:rsidP="001B3473">
      <w:pPr>
        <w:widowControl/>
        <w:wordWrap/>
        <w:autoSpaceDE/>
        <w:autoSpaceDN/>
        <w:rPr>
          <w:b/>
        </w:rPr>
      </w:pPr>
    </w:p>
    <w:p w:rsidR="001B3473" w:rsidRPr="00547FDA" w:rsidRDefault="001B3473" w:rsidP="001B3473">
      <w:pPr>
        <w:widowControl/>
        <w:wordWrap/>
        <w:autoSpaceDE/>
        <w:autoSpaceDN/>
        <w:rPr>
          <w:b/>
        </w:rPr>
      </w:pPr>
      <w:r>
        <w:rPr>
          <w:b/>
        </w:rPr>
        <w:t xml:space="preserve">2.2.4. </w:t>
      </w:r>
      <w:r w:rsidR="003F49F5" w:rsidRPr="003F49F5">
        <w:rPr>
          <w:b/>
        </w:rPr>
        <w:t>PCA-Based Dimensionality Reduction</w:t>
      </w:r>
    </w:p>
    <w:p w:rsidR="009B3D19" w:rsidRDefault="009B3D19" w:rsidP="009B3D19">
      <w:pPr>
        <w:widowControl/>
        <w:wordWrap/>
        <w:autoSpaceDE/>
        <w:autoSpaceDN/>
      </w:pPr>
      <w:r>
        <w:t>The 64-dimensional embeddings were compressed by principal component analysis (PCA), fitted on the pooled MP and GNoME embeddings so that both datasets share a single coordinate system, and applied without refitting to every subsequent batch. The resulting components are orthogonal and zero-centered, and serve as the continuous decision variables of the Bayesian optimization loop.</w:t>
      </w:r>
    </w:p>
    <w:p w:rsidR="0009034F" w:rsidRDefault="0009034F" w:rsidP="009B3D19">
      <w:pPr>
        <w:widowControl/>
        <w:wordWrap/>
        <w:autoSpaceDE/>
        <w:autoSpaceDN/>
        <w:ind w:firstLine="800"/>
      </w:pPr>
      <w:r w:rsidRPr="0009034F">
        <w:t xml:space="preserve">Reduction here is a prerequisite, not a convenience: a Gaussian process needs more data as the input dimensionality grows — prohibitive when each observation is an AIMD trajectory. Moreover, in high dimensions all pairs of points come to lie at nearly the same Euclidean distance from one another, so the kernel can no longer distinguish near neighbors from distant ones. Accordingly, twelve components were retained, accounting for </w:t>
      </w:r>
      <w:r w:rsidRPr="0047728C">
        <w:rPr>
          <w:b/>
          <w:color w:val="FF0000"/>
          <w:highlight w:val="yellow"/>
        </w:rPr>
        <w:t>81%</w:t>
      </w:r>
      <w:r w:rsidRPr="0047728C">
        <w:rPr>
          <w:b/>
          <w:color w:val="FF0000"/>
        </w:rPr>
        <w:t xml:space="preserve"> </w:t>
      </w:r>
      <w:r w:rsidRPr="0009034F">
        <w:t>of the total variance.</w:t>
      </w:r>
    </w:p>
    <w:p w:rsidR="001B3473" w:rsidRDefault="009B3D19" w:rsidP="009B3D19">
      <w:pPr>
        <w:widowControl/>
        <w:wordWrap/>
        <w:autoSpaceDE/>
        <w:autoSpaceDN/>
        <w:ind w:firstLine="800"/>
        <w:rPr>
          <w:noProof/>
        </w:rPr>
      </w:pPr>
      <w:r>
        <w:t xml:space="preserve">The choice was fixed before the search began and held throughout, so that the campaign is not confounded by a moving descriptor space. We make no claim that twelve is optimal — establishing that would require independent campaigns at several dimensionalities, each with its own AIMD budget, which is beyond the scope of this work. Twelve was adopted as a working </w:t>
      </w:r>
      <w:r>
        <w:lastRenderedPageBreak/>
        <w:t>compromise between variance retained and the dimensionality a Gaussian process can support under a limited evaluation budget.</w:t>
      </w:r>
    </w:p>
    <w:p w:rsidR="009B3D19" w:rsidRDefault="009B3D19" w:rsidP="009B3D19">
      <w:pPr>
        <w:widowControl/>
        <w:wordWrap/>
        <w:autoSpaceDE/>
        <w:autoSpaceDN/>
      </w:pPr>
    </w:p>
    <w:p w:rsidR="00FC206A" w:rsidRPr="00FC206A" w:rsidRDefault="00FC206A" w:rsidP="00547FDA">
      <w:pPr>
        <w:widowControl/>
        <w:wordWrap/>
        <w:autoSpaceDE/>
        <w:autoSpaceDN/>
        <w:rPr>
          <w:b/>
        </w:rPr>
      </w:pPr>
      <w:r w:rsidRPr="00FC206A">
        <w:rPr>
          <w:b/>
        </w:rPr>
        <w:t xml:space="preserve">2.3. </w:t>
      </w:r>
      <w:r w:rsidR="003F49F5" w:rsidRPr="003F49F5">
        <w:rPr>
          <w:b/>
        </w:rPr>
        <w:t>q-NEHVI Active-Learning Framework</w:t>
      </w:r>
    </w:p>
    <w:p w:rsidR="00FC206A" w:rsidRPr="006C44C3" w:rsidRDefault="006C44C3" w:rsidP="00547FDA">
      <w:pPr>
        <w:widowControl/>
        <w:wordWrap/>
        <w:autoSpaceDE/>
        <w:autoSpaceDN/>
        <w:rPr>
          <w:b/>
        </w:rPr>
      </w:pPr>
      <w:r w:rsidRPr="006C44C3">
        <w:rPr>
          <w:b/>
        </w:rPr>
        <w:t xml:space="preserve">2.3.1. </w:t>
      </w:r>
      <w:r w:rsidR="003F49F5" w:rsidRPr="003F49F5">
        <w:rPr>
          <w:b/>
        </w:rPr>
        <w:t>Multi-Objective Function Formulation</w:t>
      </w:r>
    </w:p>
    <w:p w:rsidR="00F43DF7" w:rsidRDefault="00F43DF7" w:rsidP="00F43DF7">
      <w:pPr>
        <w:widowControl/>
        <w:wordWrap/>
        <w:autoSpaceDE/>
        <w:autoSpaceDN/>
      </w:pPr>
      <w:r w:rsidRPr="00F43DF7">
        <w:t>The present study employs a multi-objective optimization framework with three target functions, optimized using the q-NEHVI algorithm. The selected objectives are designed to simultaneously capture thermodynamic stability, electrochemical stability, and ionic transport characteristics, which are the key performance metrics for SSE</w:t>
      </w:r>
      <w:r w:rsidR="00917CE4">
        <w:t>s. [</w:t>
      </w:r>
      <w:r w:rsidRPr="00917CE4">
        <w:rPr>
          <w:color w:val="FF0000"/>
          <w:sz w:val="14"/>
          <w:highlight w:val="yellow"/>
        </w:rPr>
        <w:t>.</w:t>
      </w:r>
      <w:r w:rsidR="00917CE4" w:rsidRPr="00917CE4">
        <w:rPr>
          <w:color w:val="FF0000"/>
          <w:sz w:val="14"/>
          <w:highlight w:val="yellow"/>
        </w:rPr>
        <w:t>[J. Energy Chem. 99, 484–494 (2024), DOI: 10.1016/j.jechem.2024.07.058</w:t>
      </w:r>
      <w:r w:rsidR="00917CE4">
        <w:t>]</w:t>
      </w:r>
      <w:r>
        <w:t xml:space="preserve"> </w:t>
      </w:r>
      <w:r w:rsidRPr="00F43DF7">
        <w:t>The first two objectives—</w:t>
      </w:r>
      <w:r>
        <w:t>E</w:t>
      </w:r>
      <w:r w:rsidR="00992A74">
        <w:rPr>
          <w:vertAlign w:val="subscript"/>
        </w:rPr>
        <w:t>cat</w:t>
      </w:r>
      <w:r>
        <w:t xml:space="preserve"> and </w:t>
      </w:r>
      <w:r w:rsidR="00AA1190" w:rsidRPr="00677E80">
        <w:t>ESW</w:t>
      </w:r>
      <w:r w:rsidRPr="00F43DF7">
        <w:t xml:space="preserve">—are obtained directly from existing large-scale materials databases, including the MP and </w:t>
      </w:r>
      <w:r>
        <w:t>GNoME</w:t>
      </w:r>
      <w:r w:rsidRPr="0000276F">
        <w:t xml:space="preserve"> </w:t>
      </w:r>
      <w:r w:rsidRPr="00F43DF7">
        <w:t>dataset</w:t>
      </w:r>
      <w:r>
        <w:t>s</w:t>
      </w:r>
      <w:r w:rsidRPr="00F43DF7">
        <w:t>. These quantities provide well-established measures of thermodynamic and electrochemical stability without requiring additional first-principles calculations.</w:t>
      </w:r>
    </w:p>
    <w:p w:rsidR="00992A74" w:rsidRPr="00F95399" w:rsidRDefault="00992A74" w:rsidP="00F43DF7">
      <w:pPr>
        <w:widowControl/>
        <w:wordWrap/>
        <w:autoSpaceDE/>
        <w:autoSpaceDN/>
        <w:rPr>
          <w:color w:val="000000" w:themeColor="text1"/>
        </w:rPr>
      </w:pPr>
      <w:r w:rsidRPr="00F95399">
        <w:rPr>
          <w:color w:val="000000" w:themeColor="text1"/>
        </w:rPr>
        <w:tab/>
      </w:r>
      <w:r w:rsidR="00AB1E9E" w:rsidRPr="00F95399">
        <w:rPr>
          <w:color w:val="000000" w:themeColor="text1"/>
        </w:rPr>
        <w:t xml:space="preserve">The </w:t>
      </w:r>
      <w:r w:rsidR="002B6E15" w:rsidRPr="00F95399">
        <w:rPr>
          <w:b/>
          <w:color w:val="000000" w:themeColor="text1"/>
        </w:rPr>
        <w:t>first</w:t>
      </w:r>
      <w:r w:rsidR="00AB1E9E" w:rsidRPr="00F95399">
        <w:rPr>
          <w:color w:val="000000" w:themeColor="text1"/>
        </w:rPr>
        <w:t xml:space="preserve"> objective function, the cathode reaction energy (E</w:t>
      </w:r>
      <w:r w:rsidR="00AB1E9E" w:rsidRPr="00F95399">
        <w:rPr>
          <w:color w:val="000000" w:themeColor="text1"/>
          <w:vertAlign w:val="subscript"/>
        </w:rPr>
        <w:t>cat</w:t>
      </w:r>
      <w:r w:rsidR="00AB1E9E" w:rsidRPr="00F95399">
        <w:rPr>
          <w:color w:val="000000" w:themeColor="text1"/>
        </w:rPr>
        <w:t xml:space="preserve">), quantifies the thermodynamic driving force for decomposition at the cathode–electrolyte interface and therefore requires a specific reference cathode to be fixed. In this study we adopt LiNiO₂ (LNO) for this role. This choice is deliberate rather than representative: in </w:t>
      </w:r>
      <w:r w:rsidR="00F95399" w:rsidRPr="00F95399">
        <w:rPr>
          <w:color w:val="000000" w:themeColor="text1"/>
        </w:rPr>
        <w:t xml:space="preserve">a systematic first-principles survey of electrolyte/cathode interfaces spanning eight common cathodes </w:t>
      </w:r>
      <w:r w:rsidR="00AB1E9E" w:rsidRPr="00F95399">
        <w:rPr>
          <w:color w:val="000000" w:themeColor="text1"/>
        </w:rPr>
        <w:t>(LFP, LCO, LMO, NCM111, NCM532, NCM622, NCM811, and LNO), LNO consistently exhibited the largest interfacial reaction energy among all cathodes examined [</w:t>
      </w:r>
      <w:r w:rsidR="00AB1E9E" w:rsidRPr="00F95399">
        <w:rPr>
          <w:b/>
          <w:color w:val="000000" w:themeColor="text1"/>
          <w:highlight w:val="yellow"/>
        </w:rPr>
        <w:t>ref</w:t>
      </w:r>
      <w:r w:rsidR="00AB1E9E" w:rsidRPr="00F95399">
        <w:rPr>
          <w:color w:val="000000" w:themeColor="text1"/>
        </w:rPr>
        <w:t>]. This pronounced reactivity originates from the low stability of Ni in the layered oxide upon delithiation, which promotes interfacial decomposition and the formation of nickel-</w:t>
      </w:r>
      <w:r w:rsidR="0047728C" w:rsidRPr="00F95399">
        <w:rPr>
          <w:color w:val="000000" w:themeColor="text1"/>
        </w:rPr>
        <w:t>based</w:t>
      </w:r>
      <w:r w:rsidR="00AB1E9E" w:rsidRPr="00F95399">
        <w:rPr>
          <w:color w:val="000000" w:themeColor="text1"/>
        </w:rPr>
        <w:t xml:space="preserve"> phases. We therefore employ LNO not as a typical cathode but as a worst-case (upper-bound) reference for interfacial reactivity: an electrolyte that remains compatible with the highly reactive LNO interface is expected, a fortiori, to remain compatible with the milder, more commonly used cathodes such as lower-Ni NCM, LCO, LFP, or LMO. Screening E</w:t>
      </w:r>
      <w:r w:rsidR="00AB1E9E" w:rsidRPr="00F95399">
        <w:rPr>
          <w:color w:val="000000" w:themeColor="text1"/>
          <w:vertAlign w:val="subscript"/>
        </w:rPr>
        <w:t>cat</w:t>
      </w:r>
      <w:r w:rsidR="00AB1E9E" w:rsidRPr="00F95399">
        <w:rPr>
          <w:color w:val="000000" w:themeColor="text1"/>
        </w:rPr>
        <w:t xml:space="preserve"> against LNO thus imposes the most stringent interfacial-stability criterion attainable within this cathode set, yielding a conservative candidate pool in which interfacial false positives are minimized.</w:t>
      </w:r>
      <w:r w:rsidR="00A8597E" w:rsidRPr="00F95399">
        <w:rPr>
          <w:color w:val="000000" w:themeColor="text1"/>
        </w:rPr>
        <w:t xml:space="preserve"> </w:t>
      </w:r>
      <w:r w:rsidR="00F95399" w:rsidRPr="00F95399">
        <w:rPr>
          <w:color w:val="000000" w:themeColor="text1"/>
        </w:rPr>
        <w:t>Due to the extremely expensive objective function evaluation, it is practically infeasible to benchmark the other cathodes.</w:t>
      </w:r>
    </w:p>
    <w:p w:rsidR="00F43DF7" w:rsidRPr="001C6CC1" w:rsidRDefault="001C6CC1" w:rsidP="001C6CC1">
      <w:pPr>
        <w:widowControl/>
        <w:wordWrap/>
        <w:autoSpaceDE/>
        <w:autoSpaceDN/>
        <w:ind w:firstLine="800"/>
        <w:rPr>
          <w:highlight w:val="yellow"/>
        </w:rPr>
      </w:pPr>
      <w:r w:rsidRPr="001C6CC1">
        <w:t>Unlike E</w:t>
      </w:r>
      <w:r w:rsidRPr="001C6CC1">
        <w:rPr>
          <w:vertAlign w:val="subscript"/>
        </w:rPr>
        <w:t>cat</w:t>
      </w:r>
      <w:r w:rsidRPr="001C6CC1">
        <w:t xml:space="preserve"> and ESW, which are comparatively cheap to evaluate, ion transport is far more demanding. Ionic conductivity and the Li</w:t>
      </w:r>
      <w:r w:rsidRPr="001C6CC1">
        <w:rPr>
          <w:rFonts w:asciiTheme="minorEastAsia" w:hAnsiTheme="minorEastAsia" w:cs="MS Gothic" w:hint="eastAsia"/>
          <w:vertAlign w:val="superscript"/>
        </w:rPr>
        <w:t>+</w:t>
      </w:r>
      <w:r w:rsidRPr="001C6CC1">
        <w:t xml:space="preserve"> diffusion coefficient are the standard measures, but estimating them rigorously requires long AIMD trajectories at several temperatures followed by Arrhenius extrapolation — prohibitive at screening scale. We therefore replace this full protocol with a single short trajectory at one elevated temperature: an AIMD run at 600 </w:t>
      </w:r>
      <w:r w:rsidR="00D6764E">
        <w:rPr>
          <w:b/>
          <w:color w:val="FF0000"/>
        </w:rPr>
        <w:t>K</w:t>
      </w:r>
      <w:r w:rsidRPr="001C6CC1">
        <w:t xml:space="preserve">, from which we take </w:t>
      </w:r>
      <w:r w:rsidRPr="001C6CC1">
        <w:lastRenderedPageBreak/>
        <w:t>the mean squared displacement (MSD) at 100 ps. This value, denoted MSD@600, serves as the third objective.</w:t>
      </w:r>
      <w:r>
        <w:rPr>
          <w:rFonts w:hint="eastAsia"/>
        </w:rPr>
        <w:t xml:space="preserve"> </w:t>
      </w:r>
      <w:r>
        <w:t xml:space="preserve">All the MSD curves used for evaluating MSD@600 are presented in </w:t>
      </w:r>
      <w:r w:rsidRPr="001C6CC1">
        <w:rPr>
          <w:b/>
          <w:color w:val="FF0000"/>
        </w:rPr>
        <w:t>Supplementary Figure S</w:t>
      </w:r>
      <w:r w:rsidR="00770F0A">
        <w:rPr>
          <w:b/>
          <w:color w:val="FF0000"/>
        </w:rPr>
        <w:t>1</w:t>
      </w:r>
      <w:r>
        <w:t>.</w:t>
      </w:r>
    </w:p>
    <w:p w:rsidR="00F43DF7" w:rsidRDefault="00AF4DB3" w:rsidP="00AF4DB3">
      <w:pPr>
        <w:widowControl/>
        <w:wordWrap/>
        <w:autoSpaceDE/>
        <w:autoSpaceDN/>
        <w:ind w:firstLine="800"/>
      </w:pPr>
      <w:r w:rsidRPr="00AF4DB3">
        <w:t>Although 100 ps is too short to yield a fully converged diffusion coefficient, the MSD has by then entered the diffusive regime in fast conductors, so its value reflects long-range transport rather than local vibration; poor conductors remain sub-diffusive and are correctly assigned low values — precisely the discrimination the objective requires. Crucially, active learning needs only to tell better candidates from worse ones: the acquisition function acts on the ranking of the objective, not its absolute value, so a proxy that preserves the ordering suffices and a converged conductivity is unnecessary. In our previous work, MSD@600 was shown to rank-correlate with long-time diffusivity [</w:t>
      </w:r>
      <w:r w:rsidRPr="00AF4DB3">
        <w:rPr>
          <w:highlight w:val="yellow"/>
        </w:rPr>
        <w:t>ref</w:t>
      </w:r>
      <w:r w:rsidRPr="00AF4DB3">
        <w:t>], so it orders candidates reliably without prohibitively long simulations. This makes ion transport tractable as a third objective alongside the two stability terms, at minimal AIMD cost.</w:t>
      </w:r>
    </w:p>
    <w:p w:rsidR="00AF4DB3" w:rsidRDefault="00AF4DB3" w:rsidP="00F43DF7">
      <w:pPr>
        <w:widowControl/>
        <w:wordWrap/>
        <w:autoSpaceDE/>
        <w:autoSpaceDN/>
      </w:pPr>
    </w:p>
    <w:p w:rsidR="00F43DF7" w:rsidRPr="00F43DF7" w:rsidRDefault="00F43DF7" w:rsidP="00F43DF7">
      <w:pPr>
        <w:widowControl/>
        <w:wordWrap/>
        <w:autoSpaceDE/>
        <w:autoSpaceDN/>
      </w:pPr>
      <w:r w:rsidRPr="006C44C3">
        <w:rPr>
          <w:b/>
        </w:rPr>
        <w:t>2.3.</w:t>
      </w:r>
      <w:r>
        <w:rPr>
          <w:b/>
        </w:rPr>
        <w:t>2</w:t>
      </w:r>
      <w:r w:rsidRPr="006C44C3">
        <w:rPr>
          <w:b/>
        </w:rPr>
        <w:t xml:space="preserve">. </w:t>
      </w:r>
      <w:r w:rsidR="003F49F5" w:rsidRPr="003F49F5">
        <w:rPr>
          <w:b/>
        </w:rPr>
        <w:t>Pool-Constrained Bayesian Optimization with q-NEHVI</w:t>
      </w:r>
    </w:p>
    <w:p w:rsidR="004D220F" w:rsidRDefault="004D220F" w:rsidP="004D220F">
      <w:pPr>
        <w:widowControl/>
        <w:wordWrap/>
        <w:autoSpaceDE/>
        <w:autoSpaceDN/>
      </w:pPr>
      <w:r w:rsidRPr="004D220F">
        <w:t>To efficiently navigate the high-dimensional search space under expensive evaluation conditions, we emplo</w:t>
      </w:r>
      <w:r w:rsidR="0014129B">
        <w:t>yed</w:t>
      </w:r>
      <w:r w:rsidRPr="004D220F">
        <w:t xml:space="preserve"> a Bayesian optimization (BO) framework for multi-objective optimization. In this co</w:t>
      </w:r>
      <w:r w:rsidR="00700BD1">
        <w:t>ntext, the objective functions—</w:t>
      </w:r>
      <w:r>
        <w:t>E</w:t>
      </w:r>
      <w:r w:rsidR="00992A74">
        <w:rPr>
          <w:vertAlign w:val="subscript"/>
        </w:rPr>
        <w:t>cat</w:t>
      </w:r>
      <w:r>
        <w:t xml:space="preserve">, </w:t>
      </w:r>
      <w:r w:rsidR="00AA1190" w:rsidRPr="00677E80">
        <w:t>ESW</w:t>
      </w:r>
      <w:r w:rsidRPr="004D220F">
        <w:t>, and ionic transport descriptor (</w:t>
      </w:r>
      <w:r w:rsidR="00F472A6">
        <w:t>MSD@600</w:t>
      </w:r>
      <w:r w:rsidRPr="004D220F">
        <w:t>)—</w:t>
      </w:r>
      <w:r w:rsidR="0014129B">
        <w:t>were</w:t>
      </w:r>
      <w:r w:rsidRPr="004D220F">
        <w:t xml:space="preserve"> modeled using </w:t>
      </w:r>
      <w:r w:rsidR="00287329">
        <w:t>a</w:t>
      </w:r>
      <w:r w:rsidR="00287329" w:rsidRPr="00287329">
        <w:t xml:space="preserve"> Gaussian process (GP) surrogate</w:t>
      </w:r>
      <w:r w:rsidR="00287329">
        <w:t xml:space="preserve"> </w:t>
      </w:r>
      <w:r w:rsidRPr="004D220F">
        <w:t>function</w:t>
      </w:r>
      <w:r w:rsidR="00287329">
        <w:t xml:space="preserve"> and updated iteratively as new data were acquired</w:t>
      </w:r>
      <w:r w:rsidRPr="004D220F">
        <w:t>.</w:t>
      </w:r>
      <w:r>
        <w:t xml:space="preserve"> </w:t>
      </w:r>
    </w:p>
    <w:p w:rsidR="004D220F" w:rsidRPr="004D220F" w:rsidRDefault="004D220F" w:rsidP="004D220F">
      <w:pPr>
        <w:widowControl/>
        <w:wordWrap/>
        <w:autoSpaceDE/>
        <w:autoSpaceDN/>
        <w:ind w:firstLine="800"/>
      </w:pPr>
      <w:r w:rsidRPr="004D220F">
        <w:t>To guide the selection of new candidates, we adopt</w:t>
      </w:r>
      <w:r w:rsidR="0014129B">
        <w:t>ed</w:t>
      </w:r>
      <w:r w:rsidRPr="004D220F">
        <w:t xml:space="preserve"> the q-NEHVI acquisition function, which is particularly suited for multi-objective optimization under noisy and expensive evaluations</w:t>
      </w:r>
      <w:r>
        <w:t>[</w:t>
      </w:r>
      <w:r w:rsidRPr="004D220F">
        <w:rPr>
          <w:color w:val="FF0000"/>
          <w:sz w:val="10"/>
        </w:rPr>
        <w:t xml:space="preserve">Daulton, S., Balandat, M., &amp; Bakshy, E. (2021). Parallel Noisy Expected Hypervolume Improvement for Efficient Batch Multi-Objective Bayesian Optimization. </w:t>
      </w:r>
      <w:r w:rsidRPr="004D220F">
        <w:rPr>
          <w:rStyle w:val="a7"/>
          <w:color w:val="FF0000"/>
          <w:sz w:val="10"/>
        </w:rPr>
        <w:t>NeurIPS 2021</w:t>
      </w:r>
      <w:r w:rsidRPr="004D220F">
        <w:rPr>
          <w:color w:val="FF0000"/>
          <w:sz w:val="10"/>
        </w:rPr>
        <w:t>.</w:t>
      </w:r>
      <w:r>
        <w:t>]</w:t>
      </w:r>
      <w:r w:rsidRPr="004D220F">
        <w:t>. The q-NEHVI criterion select</w:t>
      </w:r>
      <w:r w:rsidR="00287329">
        <w:t>s</w:t>
      </w:r>
      <w:r w:rsidRPr="004D220F">
        <w:t xml:space="preserve"> a batch of candidate points that are expected to yield the largest improvement in the dominated hypervolume of the Pareto front, while explicitly accounting for uncertainty </w:t>
      </w:r>
      <w:r>
        <w:t xml:space="preserve">(noise) </w:t>
      </w:r>
      <w:r w:rsidRPr="004D220F">
        <w:t>in the surrogate model predictions.</w:t>
      </w:r>
    </w:p>
    <w:p w:rsidR="004D220F" w:rsidRDefault="004D220F" w:rsidP="004D220F">
      <w:pPr>
        <w:widowControl/>
        <w:wordWrap/>
        <w:autoSpaceDE/>
        <w:autoSpaceDN/>
        <w:ind w:firstLine="800"/>
      </w:pPr>
      <w:r w:rsidRPr="004D220F">
        <w:t>Compared to conventional acquisition strategies, q-NEHVI offers several advantages in the present context. First, it enables efficient batch selection, allowing multiple candidate materials to be evaluated in parallel within each iteration of the active learning loop. Second, it naturally accommodates noisy objective evaluations, which is critical when using finite-time AIMD simulations as proxy measurements for ionic transport. Third, by directly optimizing hypervolume improvement, the method ensures a balanced exploration of trade-offs among competing objectives, rather than biasing the search toward any single property.</w:t>
      </w:r>
      <w:r>
        <w:t xml:space="preserve"> </w:t>
      </w:r>
      <w:r w:rsidRPr="004D220F">
        <w:t>This strategy allows the proposed framework to efficiently identify Pareto-optimal candidates while minimizing the number of computationally expensive AIMD evaluations.</w:t>
      </w:r>
    </w:p>
    <w:p w:rsidR="001C30F7" w:rsidRDefault="00482DA9" w:rsidP="004D220F">
      <w:pPr>
        <w:widowControl/>
        <w:wordWrap/>
        <w:autoSpaceDE/>
        <w:autoSpaceDN/>
        <w:ind w:firstLine="800"/>
      </w:pPr>
      <w:r w:rsidRPr="00CB3018">
        <w:rPr>
          <w:rFonts w:hint="eastAsia"/>
        </w:rPr>
        <w:lastRenderedPageBreak/>
        <w:t>B</w:t>
      </w:r>
      <w:r w:rsidRPr="00CB3018">
        <w:t xml:space="preserve">ecause q-NEHVI is optimized over the </w:t>
      </w:r>
      <w:r w:rsidRPr="00CB3018">
        <w:rPr>
          <w:iCs/>
        </w:rPr>
        <w:t>continuous</w:t>
      </w:r>
      <w:r w:rsidRPr="00CB3018">
        <w:t xml:space="preserve"> 12-dimensional latent domain—bounded per dimension by the range spanned by the pool—the q points it returns do not, in general, coincide with any catalogued compound. Each proposed latent vector is therefore projected back onto the pool by nearest-neighbor retrieval: we compute its Euclidean distance to the 12-dimensional PCA embeddings of all lithium-containing compounds </w:t>
      </w:r>
      <w:r w:rsidR="006D1401" w:rsidRPr="00CB3018">
        <w:t xml:space="preserve">(21,648 entries from MP and 21,593 from GNoME) </w:t>
      </w:r>
      <w:r w:rsidRPr="00CB3018">
        <w:t xml:space="preserve">and replace it with the closest one. The retrieved compounds—not the raw continuous proposals—constitute the batch passed to </w:t>
      </w:r>
      <w:r w:rsidR="009C7643" w:rsidRPr="00CB3018">
        <w:t>the MSD@600</w:t>
      </w:r>
      <w:r w:rsidRPr="00CB3018">
        <w:t xml:space="preserve"> evaluation and appended to the training set. This projection </w:t>
      </w:r>
      <w:r w:rsidR="00287329" w:rsidRPr="00CB3018">
        <w:t>keeps every evaluated point tied to a catalogued, DFT-relaxed compound rather than an arbitrary latent coordinate.</w:t>
      </w:r>
    </w:p>
    <w:p w:rsidR="00EA1C59" w:rsidRDefault="00EA1C59" w:rsidP="00EA1C59">
      <w:pPr>
        <w:widowControl/>
        <w:wordWrap/>
        <w:autoSpaceDE/>
        <w:autoSpaceDN/>
      </w:pPr>
    </w:p>
    <w:p w:rsidR="00EA1C59" w:rsidRPr="00EA1C59" w:rsidRDefault="00EA1C59" w:rsidP="00EA1C59">
      <w:pPr>
        <w:widowControl/>
        <w:wordWrap/>
        <w:autoSpaceDE/>
        <w:autoSpaceDN/>
        <w:rPr>
          <w:b/>
        </w:rPr>
      </w:pPr>
      <w:r>
        <w:rPr>
          <w:b/>
        </w:rPr>
        <w:t>2.</w:t>
      </w:r>
      <w:r w:rsidRPr="00EA1C59">
        <w:rPr>
          <w:b/>
        </w:rPr>
        <w:t>3.</w:t>
      </w:r>
      <w:r>
        <w:rPr>
          <w:b/>
        </w:rPr>
        <w:t>3</w:t>
      </w:r>
      <w:r w:rsidRPr="00EA1C59">
        <w:rPr>
          <w:b/>
        </w:rPr>
        <w:t xml:space="preserve">. </w:t>
      </w:r>
      <w:r w:rsidR="003F49F5" w:rsidRPr="003F49F5">
        <w:rPr>
          <w:b/>
        </w:rPr>
        <w:t>Positioning Relative to Prior Latent-Space Bayesian Optimization</w:t>
      </w:r>
    </w:p>
    <w:p w:rsidR="009D7D57" w:rsidRDefault="00EA1C59" w:rsidP="00EA1C59">
      <w:pPr>
        <w:widowControl/>
        <w:wordWrap/>
        <w:autoSpaceDE/>
        <w:autoSpaceDN/>
      </w:pPr>
      <w:r>
        <w:t xml:space="preserve">In form, our framework is a latent-space Bayesian optimization (LSBO): the surrogate and the q-NEHVI acquisition function operate over a continuous, low-dimensional embedding—the 12-component PCA projection of the CHGNet latent space—rather than over raw crystal structures. It nevertheless departs from established LSBO in three respects. </w:t>
      </w:r>
    </w:p>
    <w:p w:rsidR="009D7D57" w:rsidRDefault="00EA1C59" w:rsidP="009D7D57">
      <w:pPr>
        <w:widowControl/>
        <w:wordWrap/>
        <w:autoSpaceDE/>
        <w:autoSpaceDN/>
        <w:ind w:firstLine="800"/>
      </w:pPr>
      <w:r w:rsidRPr="005867CC">
        <w:rPr>
          <w:color w:val="FF0000"/>
        </w:rPr>
        <w:t>First</w:t>
      </w:r>
      <w:r>
        <w:t>, the search manifold is not a task-specific generative latent space but the frozen, charge-informed representation of a pretrained foundation potential; prior LSBO studies instead optimize within the latent space of a variational autoencoder or autoencoder trained explicitly for the task at hand [</w:t>
      </w:r>
      <w:r w:rsidRPr="00EA1C59">
        <w:rPr>
          <w:sz w:val="14"/>
          <w:highlight w:val="yellow"/>
        </w:rPr>
        <w:t>Gómez-Bombarelli et al., 2018; Griffiths &amp; Hernández-Lobato, 2020; Tripp et al., 2020; Maus et al., 2022; Boyar et al., 2025</w:t>
      </w:r>
      <w:r>
        <w:t xml:space="preserve">]. </w:t>
      </w:r>
      <w:r w:rsidRPr="005867CC">
        <w:rPr>
          <w:color w:val="FF0000"/>
        </w:rPr>
        <w:t>Second</w:t>
      </w:r>
      <w:r>
        <w:t xml:space="preserve">, conventional LSBO decodes the optimized latent point into a newly generated structure that must then be screened for validity and synthesizability; our loop never decodes—the acquisition function ranks the catalogued candidates directly and selects each batch from a fixed pool of 43,241 Li-containing compounds, so every queried embedding remains tied to </w:t>
      </w:r>
      <w:r w:rsidR="000E49F1">
        <w:t>a catalogued</w:t>
      </w:r>
      <w:r>
        <w:t>,</w:t>
      </w:r>
      <w:r w:rsidR="004E7829">
        <w:t xml:space="preserve"> DFT-relaxed</w:t>
      </w:r>
      <w:r>
        <w:t xml:space="preserve"> material</w:t>
      </w:r>
      <w:r w:rsidR="005867CC">
        <w:t>—the appropriate regime for prioritizing near-term-synthesizable solid-state electrolytes</w:t>
      </w:r>
      <w:r>
        <w:t>.</w:t>
      </w:r>
      <w:r w:rsidR="004E7829">
        <w:t xml:space="preserve"> </w:t>
      </w:r>
      <w:r w:rsidRPr="005867CC">
        <w:rPr>
          <w:color w:val="FF0000"/>
        </w:rPr>
        <w:t>Third</w:t>
      </w:r>
      <w:r>
        <w:t xml:space="preserve">, where </w:t>
      </w:r>
      <w:r w:rsidR="000E49F1">
        <w:t>much of the prior LSBO</w:t>
      </w:r>
      <w:r>
        <w:t xml:space="preserve"> targets a single inexpensive proxy (e.g., penalized logP or QED) or, in the crystalline case, a generic energetic descriptor such as formation energy [</w:t>
      </w:r>
      <w:r w:rsidRPr="00EA1C59">
        <w:rPr>
          <w:sz w:val="12"/>
          <w:highlight w:val="yellow"/>
        </w:rPr>
        <w:t>Boyar et al., 2025</w:t>
      </w:r>
      <w:r>
        <w:t>], our objective is genuinely multi-objective and application-</w:t>
      </w:r>
      <w:r w:rsidR="000E49F1">
        <w:t>relevant</w:t>
      </w:r>
      <w:r>
        <w:t>—simultaneous optimization of E</w:t>
      </w:r>
      <w:r w:rsidRPr="00EA1C59">
        <w:rPr>
          <w:vertAlign w:val="subscript"/>
        </w:rPr>
        <w:t>cat</w:t>
      </w:r>
      <w:r>
        <w:t xml:space="preserve">, ESW, and MSD@600 evaluated through an expensive first-principles oracle. </w:t>
      </w:r>
      <w:r w:rsidR="005867CC">
        <w:t xml:space="preserve">This multi-objective, oracle-driven regime is </w:t>
      </w:r>
      <w:r w:rsidR="000E49F1">
        <w:t>exemplified by</w:t>
      </w:r>
      <w:r w:rsidR="005867CC">
        <w:t xml:space="preserve"> the biological-sequence LSBO of Stanton et al. [</w:t>
      </w:r>
      <w:r w:rsidR="005867CC" w:rsidRPr="00EA1C59">
        <w:rPr>
          <w:sz w:val="14"/>
          <w:highlight w:val="yellow"/>
        </w:rPr>
        <w:t>Stanton et al. 2022</w:t>
      </w:r>
      <w:r w:rsidR="005867CC">
        <w:t>], and to our knowledge has not previously been combined with a frozen foundation-model embedding and pool-restricted selection for inorganic materials discovery.</w:t>
      </w:r>
    </w:p>
    <w:p w:rsidR="005867CC" w:rsidRDefault="005867CC" w:rsidP="009D7D57">
      <w:pPr>
        <w:widowControl/>
        <w:wordWrap/>
        <w:autoSpaceDE/>
        <w:autoSpaceDN/>
        <w:ind w:firstLine="800"/>
      </w:pPr>
    </w:p>
    <w:p w:rsidR="00EA1C59" w:rsidRPr="00EA1C59" w:rsidRDefault="00EA1C59" w:rsidP="00EA1C59">
      <w:pPr>
        <w:pStyle w:val="a5"/>
        <w:widowControl/>
        <w:numPr>
          <w:ilvl w:val="0"/>
          <w:numId w:val="1"/>
        </w:numPr>
        <w:wordWrap/>
        <w:autoSpaceDE/>
        <w:autoSpaceDN/>
        <w:ind w:left="284"/>
        <w:rPr>
          <w:b/>
          <w:color w:val="00B0F0"/>
          <w:sz w:val="10"/>
        </w:rPr>
      </w:pPr>
      <w:r w:rsidRPr="00EA1C59">
        <w:rPr>
          <w:b/>
          <w:color w:val="00B0F0"/>
          <w:sz w:val="10"/>
        </w:rPr>
        <w:t xml:space="preserve">Gómez-Bombarelli, R., et al. (2018). "Automatic Chemical Design Using a Data-Driven Continuous Representation of Molecules." </w:t>
      </w:r>
      <w:r w:rsidRPr="00EA1C59">
        <w:rPr>
          <w:b/>
          <w:i/>
          <w:iCs/>
          <w:color w:val="00B0F0"/>
          <w:sz w:val="10"/>
        </w:rPr>
        <w:t>ACS Central Science</w:t>
      </w:r>
      <w:r w:rsidRPr="00EA1C59">
        <w:rPr>
          <w:b/>
          <w:color w:val="00B0F0"/>
          <w:sz w:val="10"/>
        </w:rPr>
        <w:t xml:space="preserve">, 4(2), 268–276. </w:t>
      </w:r>
    </w:p>
    <w:p w:rsidR="00EA1C59" w:rsidRPr="00EA1C59" w:rsidRDefault="00EA1C59" w:rsidP="00EA1C59">
      <w:pPr>
        <w:pStyle w:val="a5"/>
        <w:widowControl/>
        <w:numPr>
          <w:ilvl w:val="0"/>
          <w:numId w:val="1"/>
        </w:numPr>
        <w:wordWrap/>
        <w:autoSpaceDE/>
        <w:autoSpaceDN/>
        <w:ind w:left="284"/>
        <w:rPr>
          <w:b/>
          <w:color w:val="00B0F0"/>
          <w:sz w:val="10"/>
        </w:rPr>
      </w:pPr>
      <w:r w:rsidRPr="00EA1C59">
        <w:rPr>
          <w:b/>
          <w:color w:val="00B0F0"/>
          <w:sz w:val="10"/>
        </w:rPr>
        <w:t xml:space="preserve">Griffiths, R.-R., &amp; Hernández-Lobato, J. M. (2020). "Constrained Bayesian Optimization for Automatic Chemical Design Using Variational Autoencoders." </w:t>
      </w:r>
      <w:r w:rsidRPr="00EA1C59">
        <w:rPr>
          <w:b/>
          <w:i/>
          <w:iCs/>
          <w:color w:val="00B0F0"/>
          <w:sz w:val="10"/>
        </w:rPr>
        <w:t>Chemical Science</w:t>
      </w:r>
      <w:r w:rsidRPr="00EA1C59">
        <w:rPr>
          <w:b/>
          <w:color w:val="00B0F0"/>
          <w:sz w:val="10"/>
        </w:rPr>
        <w:t xml:space="preserve">, 11(2), 577–586. </w:t>
      </w:r>
    </w:p>
    <w:p w:rsidR="00EA1C59" w:rsidRPr="00EA1C59" w:rsidRDefault="00EA1C59" w:rsidP="00EA1C59">
      <w:pPr>
        <w:pStyle w:val="a5"/>
        <w:widowControl/>
        <w:numPr>
          <w:ilvl w:val="0"/>
          <w:numId w:val="1"/>
        </w:numPr>
        <w:wordWrap/>
        <w:autoSpaceDE/>
        <w:autoSpaceDN/>
        <w:ind w:left="284"/>
        <w:rPr>
          <w:b/>
          <w:color w:val="00B0F0"/>
          <w:sz w:val="10"/>
        </w:rPr>
      </w:pPr>
      <w:r w:rsidRPr="00EA1C59">
        <w:rPr>
          <w:b/>
          <w:color w:val="00B0F0"/>
          <w:sz w:val="10"/>
        </w:rPr>
        <w:lastRenderedPageBreak/>
        <w:t xml:space="preserve">Tripp, A., Daxberger, E., &amp; Hernández-Lobato, J. M. (2020). "Sample-Efficient Optimization in the Latent Space of Deep Generative Models via Weighted Retraining." </w:t>
      </w:r>
      <w:r w:rsidRPr="00EA1C59">
        <w:rPr>
          <w:b/>
          <w:i/>
          <w:iCs/>
          <w:color w:val="00B0F0"/>
          <w:sz w:val="10"/>
        </w:rPr>
        <w:t>Advances in Neural Information Processing Systems (NeurIPS)</w:t>
      </w:r>
      <w:r w:rsidRPr="00EA1C59">
        <w:rPr>
          <w:b/>
          <w:color w:val="00B0F0"/>
          <w:sz w:val="10"/>
        </w:rPr>
        <w:t xml:space="preserve">, 33, 11259–11272. </w:t>
      </w:r>
    </w:p>
    <w:p w:rsidR="00EA1C59" w:rsidRPr="00EA1C59" w:rsidRDefault="00EA1C59" w:rsidP="00EA1C59">
      <w:pPr>
        <w:pStyle w:val="a5"/>
        <w:widowControl/>
        <w:numPr>
          <w:ilvl w:val="0"/>
          <w:numId w:val="1"/>
        </w:numPr>
        <w:wordWrap/>
        <w:autoSpaceDE/>
        <w:autoSpaceDN/>
        <w:ind w:left="284"/>
        <w:rPr>
          <w:b/>
          <w:color w:val="00B0F0"/>
          <w:sz w:val="10"/>
        </w:rPr>
      </w:pPr>
      <w:r w:rsidRPr="00EA1C59">
        <w:rPr>
          <w:b/>
          <w:color w:val="00B0F0"/>
          <w:sz w:val="10"/>
        </w:rPr>
        <w:t xml:space="preserve">Maus, N., et al. (2022). "Local Latent Space Bayesian Optimization over Structured Inputs." </w:t>
      </w:r>
      <w:r w:rsidRPr="00EA1C59">
        <w:rPr>
          <w:b/>
          <w:i/>
          <w:iCs/>
          <w:color w:val="00B0F0"/>
          <w:sz w:val="10"/>
        </w:rPr>
        <w:t>Advances in Neural Information Processing Systems (NeurIPS)</w:t>
      </w:r>
      <w:r w:rsidRPr="00EA1C59">
        <w:rPr>
          <w:b/>
          <w:color w:val="00B0F0"/>
          <w:sz w:val="10"/>
        </w:rPr>
        <w:t xml:space="preserve">, 35, 34505–34518. </w:t>
      </w:r>
    </w:p>
    <w:p w:rsidR="00EA1C59" w:rsidRPr="00EA1C59" w:rsidRDefault="00EA1C59" w:rsidP="00EA1C59">
      <w:pPr>
        <w:pStyle w:val="a5"/>
        <w:widowControl/>
        <w:numPr>
          <w:ilvl w:val="0"/>
          <w:numId w:val="1"/>
        </w:numPr>
        <w:wordWrap/>
        <w:autoSpaceDE/>
        <w:autoSpaceDN/>
        <w:ind w:left="284"/>
        <w:rPr>
          <w:b/>
          <w:color w:val="00B0F0"/>
          <w:sz w:val="10"/>
        </w:rPr>
      </w:pPr>
      <w:r w:rsidRPr="00EA1C59">
        <w:rPr>
          <w:b/>
          <w:color w:val="00B0F0"/>
          <w:sz w:val="10"/>
        </w:rPr>
        <w:t xml:space="preserve">Stanton, S., et al. (2022). "Accelerating Bayesian Optimization for Biological Sequence Design with Denoising Autoencoders." </w:t>
      </w:r>
      <w:r w:rsidRPr="00EA1C59">
        <w:rPr>
          <w:b/>
          <w:i/>
          <w:iCs/>
          <w:color w:val="00B0F0"/>
          <w:sz w:val="10"/>
        </w:rPr>
        <w:t>Proceedings of the 39th International Conference on Machine Learning (ICML)</w:t>
      </w:r>
      <w:r w:rsidRPr="00EA1C59">
        <w:rPr>
          <w:b/>
          <w:color w:val="00B0F0"/>
          <w:sz w:val="10"/>
        </w:rPr>
        <w:t xml:space="preserve">, PMLR 162, 20459–20478. </w:t>
      </w:r>
    </w:p>
    <w:p w:rsidR="00EA1C59" w:rsidRPr="00EA1C59" w:rsidRDefault="00EA1C59" w:rsidP="00EA1C59">
      <w:pPr>
        <w:pStyle w:val="a5"/>
        <w:widowControl/>
        <w:numPr>
          <w:ilvl w:val="0"/>
          <w:numId w:val="1"/>
        </w:numPr>
        <w:wordWrap/>
        <w:autoSpaceDE/>
        <w:autoSpaceDN/>
        <w:ind w:left="284"/>
        <w:rPr>
          <w:b/>
          <w:color w:val="00B0F0"/>
          <w:sz w:val="10"/>
        </w:rPr>
      </w:pPr>
      <w:r w:rsidRPr="00EA1C59">
        <w:rPr>
          <w:b/>
          <w:color w:val="00B0F0"/>
          <w:sz w:val="10"/>
        </w:rPr>
        <w:t xml:space="preserve">Boyar, O., et al. (2025). "Crystal-LSBO: Automated Design of De Novo Crystals with Latent Space Bayesian Optimization." </w:t>
      </w:r>
      <w:r w:rsidRPr="00EA1C59">
        <w:rPr>
          <w:b/>
          <w:i/>
          <w:iCs/>
          <w:color w:val="00B0F0"/>
          <w:sz w:val="10"/>
        </w:rPr>
        <w:t>Neural Computation</w:t>
      </w:r>
      <w:r w:rsidRPr="00EA1C59">
        <w:rPr>
          <w:b/>
          <w:color w:val="00B0F0"/>
          <w:sz w:val="10"/>
        </w:rPr>
        <w:t>, 37(8), 1505–1527.</w:t>
      </w:r>
    </w:p>
    <w:p w:rsidR="00EA1C59" w:rsidRDefault="00EA1C59" w:rsidP="004D220F">
      <w:pPr>
        <w:widowControl/>
        <w:wordWrap/>
        <w:autoSpaceDE/>
        <w:autoSpaceDN/>
      </w:pPr>
    </w:p>
    <w:p w:rsidR="00657138" w:rsidRDefault="00657138" w:rsidP="004D220F">
      <w:pPr>
        <w:widowControl/>
        <w:wordWrap/>
        <w:autoSpaceDE/>
        <w:autoSpaceDN/>
        <w:rPr>
          <w:b/>
        </w:rPr>
      </w:pPr>
      <w:r w:rsidRPr="00657138">
        <w:rPr>
          <w:b/>
        </w:rPr>
        <w:t xml:space="preserve">3. </w:t>
      </w:r>
      <w:r w:rsidR="003F49F5" w:rsidRPr="003F49F5">
        <w:rPr>
          <w:b/>
        </w:rPr>
        <w:t>Results and Discussion</w:t>
      </w:r>
    </w:p>
    <w:p w:rsidR="00657138" w:rsidRDefault="00657138" w:rsidP="004D220F">
      <w:pPr>
        <w:widowControl/>
        <w:wordWrap/>
        <w:autoSpaceDE/>
        <w:autoSpaceDN/>
        <w:rPr>
          <w:b/>
        </w:rPr>
      </w:pPr>
      <w:r>
        <w:rPr>
          <w:b/>
        </w:rPr>
        <w:t xml:space="preserve">3.1. </w:t>
      </w:r>
      <w:r w:rsidR="003F49F5" w:rsidRPr="003F49F5">
        <w:rPr>
          <w:b/>
        </w:rPr>
        <w:t>Application-Specific Candidate Nomination Criteria</w:t>
      </w:r>
    </w:p>
    <w:p w:rsidR="0059758B" w:rsidRPr="0059758B" w:rsidRDefault="0059758B" w:rsidP="0059758B">
      <w:pPr>
        <w:widowControl/>
        <w:wordWrap/>
        <w:autoSpaceDE/>
        <w:autoSpaceDN/>
        <w:ind w:firstLine="800"/>
      </w:pPr>
      <w:r w:rsidRPr="0059758B">
        <w:t>Although our q-NEHVI optimization process was completed simply by equally referring to the three objective functions E</w:t>
      </w:r>
      <w:r w:rsidRPr="00B2327F">
        <w:rPr>
          <w:vertAlign w:val="subscript"/>
        </w:rPr>
        <w:t>cat</w:t>
      </w:r>
      <w:r w:rsidRPr="0059758B">
        <w:t xml:space="preserve">, ESW, and MSD@600, the subsequent screening process adopted distinct relative weights on these objectives when nominating candidates for use as </w:t>
      </w:r>
      <w:r w:rsidR="00496767">
        <w:rPr>
          <w:rFonts w:hint="eastAsia"/>
        </w:rPr>
        <w:t xml:space="preserve">bulk </w:t>
      </w:r>
      <w:r w:rsidRPr="0059758B">
        <w:t>SSEs, catholytes, and cathode coatings. To translate the computed descriptors into application-specific recommendations, we define three target use cases—bulk SSEs, catholytes, and cathode coatings—each governed by a distinct set of screening criteria and a weighted scoring function reflecting its operating requirements. Throughout, MSD@600 serves as a proxy for ionic conductivity, the lower and upper bounds of the electrochemical stability window (V</w:t>
      </w:r>
      <w:r w:rsidRPr="00B2327F">
        <w:rPr>
          <w:vertAlign w:val="subscript"/>
        </w:rPr>
        <w:t>red</w:t>
      </w:r>
      <w:r w:rsidRPr="0059758B">
        <w:t xml:space="preserve"> and V</w:t>
      </w:r>
      <w:r w:rsidRPr="00B2327F">
        <w:rPr>
          <w:vertAlign w:val="subscript"/>
        </w:rPr>
        <w:t>ox</w:t>
      </w:r>
      <w:r w:rsidRPr="0059758B">
        <w:t>) describe reductive and oxidative stability, and the cathode reaction energy (E</w:t>
      </w:r>
      <w:r w:rsidRPr="00B2327F">
        <w:rPr>
          <w:vertAlign w:val="subscript"/>
        </w:rPr>
        <w:t>cat</w:t>
      </w:r>
      <w:r w:rsidRPr="0059758B">
        <w:t>, in meV atom</w:t>
      </w:r>
      <w:r w:rsidR="00B2327F" w:rsidRPr="00B2327F">
        <w:rPr>
          <w:rFonts w:asciiTheme="minorEastAsia" w:hAnsiTheme="minorEastAsia" w:cs="MS Gothic" w:hint="eastAsia"/>
          <w:vertAlign w:val="superscript"/>
        </w:rPr>
        <w:t>-</w:t>
      </w:r>
      <w:r w:rsidR="00B2327F" w:rsidRPr="00B2327F">
        <w:rPr>
          <w:rFonts w:asciiTheme="minorEastAsia" w:hAnsiTheme="minorEastAsia" w:cs="MS Gothic"/>
          <w:vertAlign w:val="superscript"/>
        </w:rPr>
        <w:t>1</w:t>
      </w:r>
      <w:r w:rsidRPr="0059758B">
        <w:t>) quantifies interfacial compatibility, with lower values indicating greater stability against decomposition.</w:t>
      </w:r>
    </w:p>
    <w:p w:rsidR="0059758B" w:rsidRPr="0059758B" w:rsidRDefault="0059758B" w:rsidP="0059758B">
      <w:pPr>
        <w:widowControl/>
        <w:wordWrap/>
        <w:autoSpaceDE/>
        <w:autoSpaceDN/>
        <w:ind w:firstLine="800"/>
      </w:pPr>
      <w:r w:rsidRPr="0059758B">
        <w:t>Because the two source datasets—MP and GNoME—differ substantially in the scale and distribution of these descriptors (most notably E</w:t>
      </w:r>
      <w:r w:rsidRPr="00B2327F">
        <w:rPr>
          <w:vertAlign w:val="subscript"/>
        </w:rPr>
        <w:t>cat</w:t>
      </w:r>
      <w:r w:rsidRPr="0059758B">
        <w:t xml:space="preserve">, whose median differs by roughly a factor of five between the two, and ESW), a single set of fixed absolute thresholds would admit almost no candidates from one dataset while passing many from the other, biasing the selection toward whichever dataset happens to match the threshold scale. We therefore screen each dataset independently and define every hard filter relative to that dataset's own descriptor distribution, expressed as percentile cutoffs; the resulting numeric thresholds for MP and GNoME are listed in </w:t>
      </w:r>
      <w:r w:rsidRPr="00B2327F">
        <w:rPr>
          <w:b/>
        </w:rPr>
        <w:t>Table 1</w:t>
      </w:r>
      <w:r w:rsidRPr="0059758B">
        <w:t>. The scoring weights, by contrast, are held fixed across datasets and use cases.</w:t>
      </w:r>
    </w:p>
    <w:p w:rsidR="00E64054" w:rsidRPr="00E64054" w:rsidRDefault="0059758B" w:rsidP="00E64054">
      <w:pPr>
        <w:widowControl/>
        <w:wordWrap/>
        <w:autoSpaceDE/>
        <w:autoSpaceDN/>
        <w:ind w:firstLine="800"/>
        <w:rPr>
          <w:color w:val="FF0000"/>
          <w:highlight w:val="yellow"/>
        </w:rPr>
      </w:pPr>
      <w:r w:rsidRPr="0059758B">
        <w:t>A bulk SSE must bridge the full cell, conducting Li</w:t>
      </w:r>
      <w:r w:rsidR="00B2327F" w:rsidRPr="00B2327F">
        <w:rPr>
          <w:rFonts w:asciiTheme="minorEastAsia" w:hAnsiTheme="minorEastAsia" w:cs="MS Gothic" w:hint="eastAsia"/>
          <w:vertAlign w:val="superscript"/>
        </w:rPr>
        <w:t>+</w:t>
      </w:r>
      <w:r w:rsidRPr="0059758B">
        <w:t xml:space="preserve"> between the anode and cathode while remaining stable at both extremes. It therefore requires the simultaneous combination of appreciable ionic transport, a wide stability window, and stability against the lithium-metal anode. Accordingly, a candidate is flagged as an SSE when, within its dataset, MSD@600 ranks at or above the 60</w:t>
      </w:r>
      <w:r w:rsidRPr="00523845">
        <w:rPr>
          <w:vertAlign w:val="superscript"/>
        </w:rPr>
        <w:t>th</w:t>
      </w:r>
      <w:r w:rsidRPr="0059758B">
        <w:t xml:space="preserve"> percentile, ESW at or above the 60</w:t>
      </w:r>
      <w:r w:rsidRPr="00523845">
        <w:rPr>
          <w:vertAlign w:val="superscript"/>
        </w:rPr>
        <w:t>th</w:t>
      </w:r>
      <w:r w:rsidRPr="0059758B">
        <w:t xml:space="preserve"> percentile, V</w:t>
      </w:r>
      <w:r w:rsidRPr="00D121DA">
        <w:rPr>
          <w:vertAlign w:val="subscript"/>
        </w:rPr>
        <w:t xml:space="preserve">red </w:t>
      </w:r>
      <w:r w:rsidRPr="0059758B">
        <w:t>at or below the 50</w:t>
      </w:r>
      <w:r w:rsidRPr="00523845">
        <w:rPr>
          <w:vertAlign w:val="superscript"/>
        </w:rPr>
        <w:t>th</w:t>
      </w:r>
      <w:r w:rsidRPr="0059758B">
        <w:t xml:space="preserve"> percentile, and E</w:t>
      </w:r>
      <w:r w:rsidRPr="00D121DA">
        <w:rPr>
          <w:vertAlign w:val="subscript"/>
        </w:rPr>
        <w:t>cat</w:t>
      </w:r>
      <w:r w:rsidRPr="0059758B">
        <w:t xml:space="preserve"> at or below the 60</w:t>
      </w:r>
      <w:r w:rsidRPr="00523845">
        <w:rPr>
          <w:vertAlign w:val="superscript"/>
        </w:rPr>
        <w:t>th</w:t>
      </w:r>
      <w:r w:rsidRPr="0059758B">
        <w:t xml:space="preserve"> percentile, and is scored as 0.35 log(MSD@600) + 0.30 ESW + 0.20 (1</w:t>
      </w:r>
      <w:r w:rsidRPr="0059758B">
        <w:rPr>
          <w:rFonts w:ascii="바탕" w:eastAsia="바탕" w:hAnsi="바탕" w:cs="바탕" w:hint="eastAsia"/>
        </w:rPr>
        <w:t>−</w:t>
      </w:r>
      <w:r w:rsidRPr="0059758B">
        <w:t>V</w:t>
      </w:r>
      <w:r w:rsidRPr="00D121DA">
        <w:rPr>
          <w:vertAlign w:val="subscript"/>
        </w:rPr>
        <w:t>red</w:t>
      </w:r>
      <w:r w:rsidRPr="0059758B">
        <w:t>) + 0.15 (1</w:t>
      </w:r>
      <w:r w:rsidRPr="0059758B">
        <w:rPr>
          <w:rFonts w:ascii="바탕" w:eastAsia="바탕" w:hAnsi="바탕" w:cs="바탕" w:hint="eastAsia"/>
        </w:rPr>
        <w:t>−</w:t>
      </w:r>
      <w:r w:rsidRPr="0059758B">
        <w:t>E</w:t>
      </w:r>
      <w:r w:rsidRPr="00D121DA">
        <w:rPr>
          <w:vertAlign w:val="subscript"/>
        </w:rPr>
        <w:t>cat</w:t>
      </w:r>
      <w:r w:rsidRPr="0059758B">
        <w:t>), where transport and window width are weighted most heavily and the low-V</w:t>
      </w:r>
      <w:r w:rsidRPr="00925DB2">
        <w:rPr>
          <w:vertAlign w:val="subscript"/>
        </w:rPr>
        <w:t>red</w:t>
      </w:r>
      <w:r w:rsidRPr="0059758B">
        <w:t xml:space="preserve"> and low-</w:t>
      </w:r>
      <w:r w:rsidR="00523845" w:rsidRPr="00523845">
        <w:t xml:space="preserve"> </w:t>
      </w:r>
      <w:r w:rsidR="00523845" w:rsidRPr="0059758B">
        <w:t>E</w:t>
      </w:r>
      <w:r w:rsidR="00523845" w:rsidRPr="00D121DA">
        <w:rPr>
          <w:vertAlign w:val="subscript"/>
        </w:rPr>
        <w:t>cat</w:t>
      </w:r>
      <w:r w:rsidRPr="0059758B">
        <w:t xml:space="preserve"> terms reward anode and cathode compatibility, respectively.</w:t>
      </w:r>
      <w:r w:rsidR="00D121DA" w:rsidRPr="00D121DA">
        <w:rPr>
          <w:color w:val="FF0000"/>
          <w:highlight w:val="yellow"/>
        </w:rPr>
        <w:t xml:space="preserve"> </w:t>
      </w:r>
      <w:r w:rsidR="00D121DA" w:rsidRPr="00FE391C">
        <w:rPr>
          <w:color w:val="FF0000"/>
          <w:highlight w:val="yellow"/>
        </w:rPr>
        <w:t xml:space="preserve">It should be noted that </w:t>
      </w:r>
      <w:r w:rsidR="00E64054">
        <w:rPr>
          <w:color w:val="FF0000"/>
          <w:highlight w:val="yellow"/>
        </w:rPr>
        <w:t>a</w:t>
      </w:r>
      <w:r w:rsidR="00E64054" w:rsidRPr="00E64054">
        <w:rPr>
          <w:color w:val="FF0000"/>
          <w:highlight w:val="yellow"/>
        </w:rPr>
        <w:t>ll variables</w:t>
      </w:r>
      <w:r w:rsidR="00E64054" w:rsidRPr="00523845">
        <w:rPr>
          <w:color w:val="FF0000"/>
          <w:highlight w:val="yellow"/>
        </w:rPr>
        <w:t>, such as log(MSD@600), ESW, V</w:t>
      </w:r>
      <w:r w:rsidR="00E64054" w:rsidRPr="00523845">
        <w:rPr>
          <w:color w:val="FF0000"/>
          <w:highlight w:val="yellow"/>
          <w:vertAlign w:val="subscript"/>
        </w:rPr>
        <w:t>red</w:t>
      </w:r>
      <w:r w:rsidR="00E64054" w:rsidRPr="00523845">
        <w:rPr>
          <w:color w:val="FF0000"/>
          <w:highlight w:val="yellow"/>
        </w:rPr>
        <w:t>, V</w:t>
      </w:r>
      <w:r w:rsidR="00E64054" w:rsidRPr="00523845">
        <w:rPr>
          <w:color w:val="FF0000"/>
          <w:highlight w:val="yellow"/>
          <w:vertAlign w:val="subscript"/>
        </w:rPr>
        <w:t>ox</w:t>
      </w:r>
      <w:r w:rsidR="00E64054" w:rsidRPr="00523845">
        <w:rPr>
          <w:color w:val="FF0000"/>
          <w:highlight w:val="yellow"/>
        </w:rPr>
        <w:t xml:space="preserve">, , </w:t>
      </w:r>
      <w:r w:rsidR="00E64054">
        <w:rPr>
          <w:color w:val="FF0000"/>
          <w:highlight w:val="yellow"/>
        </w:rPr>
        <w:t xml:space="preserve">and </w:t>
      </w:r>
      <w:r w:rsidR="00E64054" w:rsidRPr="00523845">
        <w:rPr>
          <w:color w:val="FF0000"/>
          <w:highlight w:val="yellow"/>
        </w:rPr>
        <w:t>E</w:t>
      </w:r>
      <w:r w:rsidR="00E64054" w:rsidRPr="00523845">
        <w:rPr>
          <w:color w:val="FF0000"/>
          <w:highlight w:val="yellow"/>
          <w:vertAlign w:val="subscript"/>
        </w:rPr>
        <w:t>cat</w:t>
      </w:r>
      <w:r w:rsidR="00E64054">
        <w:rPr>
          <w:color w:val="FF0000"/>
          <w:highlight w:val="yellow"/>
        </w:rPr>
        <w:t xml:space="preserve">, </w:t>
      </w:r>
      <w:r w:rsidR="00E64054" w:rsidRPr="00E64054">
        <w:rPr>
          <w:color w:val="FF0000"/>
          <w:highlight w:val="yellow"/>
        </w:rPr>
        <w:t>are min-max normalized within each use case's flagged candidate pool prior to score evaluation.</w:t>
      </w:r>
    </w:p>
    <w:p w:rsidR="0059758B" w:rsidRPr="0059758B" w:rsidRDefault="0059758B" w:rsidP="0059758B">
      <w:pPr>
        <w:widowControl/>
        <w:wordWrap/>
        <w:autoSpaceDE/>
        <w:autoSpaceDN/>
        <w:ind w:firstLine="800"/>
      </w:pPr>
      <w:r w:rsidRPr="0059758B">
        <w:lastRenderedPageBreak/>
        <w:t>A catholyte serves as the bulk ion-conducting phase embedded within the composite cathode. As with a coating it is shielded from the anode, so reductive stability is waived, but unlike a thin coating it must actively carry the ionic current, so high conductivity becomes the foremost criterion. Candidates are flagged when MSD@600 is at or above the 60</w:t>
      </w:r>
      <w:r w:rsidRPr="00523845">
        <w:rPr>
          <w:vertAlign w:val="superscript"/>
        </w:rPr>
        <w:t>th</w:t>
      </w:r>
      <w:r w:rsidRPr="0059758B">
        <w:t xml:space="preserve"> percentile, V</w:t>
      </w:r>
      <w:r w:rsidRPr="00523845">
        <w:rPr>
          <w:vertAlign w:val="subscript"/>
        </w:rPr>
        <w:t>ox</w:t>
      </w:r>
      <w:r w:rsidRPr="0059758B">
        <w:t xml:space="preserve"> at or above the 50</w:t>
      </w:r>
      <w:r w:rsidRPr="00523845">
        <w:rPr>
          <w:vertAlign w:val="superscript"/>
        </w:rPr>
        <w:t>th</w:t>
      </w:r>
      <w:r w:rsidRPr="0059758B">
        <w:t xml:space="preserve"> percentile, and </w:t>
      </w:r>
      <w:r w:rsidR="00523845" w:rsidRPr="0059758B">
        <w:t>E</w:t>
      </w:r>
      <w:r w:rsidR="00523845" w:rsidRPr="00D121DA">
        <w:rPr>
          <w:vertAlign w:val="subscript"/>
        </w:rPr>
        <w:t>cat</w:t>
      </w:r>
      <w:r w:rsidR="00523845" w:rsidRPr="0059758B">
        <w:t xml:space="preserve"> </w:t>
      </w:r>
      <w:r w:rsidRPr="0059758B">
        <w:t>at or below the 50</w:t>
      </w:r>
      <w:r w:rsidRPr="00523845">
        <w:rPr>
          <w:vertAlign w:val="superscript"/>
        </w:rPr>
        <w:t>th</w:t>
      </w:r>
      <w:r w:rsidRPr="0059758B">
        <w:t xml:space="preserve"> percentile of their dataset, and scored as 0.45 log(MSD@600) + 0.25 V</w:t>
      </w:r>
      <w:r w:rsidRPr="00523845">
        <w:rPr>
          <w:vertAlign w:val="subscript"/>
        </w:rPr>
        <w:t>ox</w:t>
      </w:r>
      <w:r w:rsidRPr="0059758B">
        <w:t xml:space="preserve"> + 0.30 (1</w:t>
      </w:r>
      <w:r w:rsidRPr="0059758B">
        <w:rPr>
          <w:rFonts w:ascii="바탕" w:eastAsia="바탕" w:hAnsi="바탕" w:cs="바탕" w:hint="eastAsia"/>
        </w:rPr>
        <w:t>−</w:t>
      </w:r>
      <w:r w:rsidR="00523845" w:rsidRPr="0059758B">
        <w:t>E</w:t>
      </w:r>
      <w:r w:rsidR="00523845" w:rsidRPr="00D121DA">
        <w:rPr>
          <w:vertAlign w:val="subscript"/>
        </w:rPr>
        <w:t>cat</w:t>
      </w:r>
      <w:r w:rsidRPr="0059758B">
        <w:t>), in which ionic transport dominates while oxidative stability and cathode compatibility provide the secondary weighting.</w:t>
      </w:r>
    </w:p>
    <w:p w:rsidR="00E64054" w:rsidRDefault="0059758B" w:rsidP="0059758B">
      <w:pPr>
        <w:widowControl/>
        <w:wordWrap/>
        <w:autoSpaceDE/>
        <w:autoSpaceDN/>
        <w:ind w:firstLine="800"/>
      </w:pPr>
      <w:r w:rsidRPr="0059758B">
        <w:t>A cathode coating, by contrast, is a thin interfacial layer confined to the cathode side; because it is decoupled from the lithium-metal anode, reductive stability is no longer a constraint and V</w:t>
      </w:r>
      <w:r w:rsidRPr="00523845">
        <w:rPr>
          <w:vertAlign w:val="subscript"/>
        </w:rPr>
        <w:t>red</w:t>
      </w:r>
      <w:r w:rsidRPr="0059758B">
        <w:t xml:space="preserve"> can be disregarded. Its dominant requirement is chemical and electrochemical compatibility with the cathode, so the screen demands MSD@600 at or above the 30</w:t>
      </w:r>
      <w:r w:rsidRPr="00523845">
        <w:rPr>
          <w:vertAlign w:val="superscript"/>
        </w:rPr>
        <w:t>th</w:t>
      </w:r>
      <w:r w:rsidRPr="0059758B">
        <w:t xml:space="preserve"> percentile—a deliberately relaxed conductivity bar appropriate to a thin film—together with V</w:t>
      </w:r>
      <w:r w:rsidRPr="00523845">
        <w:rPr>
          <w:vertAlign w:val="subscript"/>
        </w:rPr>
        <w:t>ox</w:t>
      </w:r>
      <w:r w:rsidRPr="0059758B">
        <w:t xml:space="preserve"> at or above the 60</w:t>
      </w:r>
      <w:r w:rsidRPr="00523845">
        <w:rPr>
          <w:vertAlign w:val="superscript"/>
        </w:rPr>
        <w:t>th</w:t>
      </w:r>
      <w:r w:rsidRPr="0059758B">
        <w:t xml:space="preserve"> percentile and </w:t>
      </w:r>
      <w:r w:rsidR="00523845" w:rsidRPr="0059758B">
        <w:t>E</w:t>
      </w:r>
      <w:r w:rsidR="00523845" w:rsidRPr="00D121DA">
        <w:rPr>
          <w:vertAlign w:val="subscript"/>
        </w:rPr>
        <w:t>cat</w:t>
      </w:r>
      <w:r w:rsidRPr="0059758B">
        <w:t xml:space="preserve"> at or below the 40</w:t>
      </w:r>
      <w:r w:rsidRPr="00523845">
        <w:rPr>
          <w:vertAlign w:val="superscript"/>
        </w:rPr>
        <w:t>th</w:t>
      </w:r>
      <w:r w:rsidRPr="0059758B">
        <w:t xml:space="preserve"> percentile of the dataset. The corresponding score, 0.45 (1</w:t>
      </w:r>
      <w:r w:rsidRPr="0059758B">
        <w:rPr>
          <w:rFonts w:ascii="바탕" w:eastAsia="바탕" w:hAnsi="바탕" w:cs="바탕" w:hint="eastAsia"/>
        </w:rPr>
        <w:t>−</w:t>
      </w:r>
      <w:r w:rsidR="00523845" w:rsidRPr="0059758B">
        <w:t>E</w:t>
      </w:r>
      <w:r w:rsidR="00523845" w:rsidRPr="00D121DA">
        <w:rPr>
          <w:vertAlign w:val="subscript"/>
        </w:rPr>
        <w:t>cat</w:t>
      </w:r>
      <w:r w:rsidRPr="0059758B">
        <w:t>) + 0.30 V</w:t>
      </w:r>
      <w:r w:rsidRPr="00523845">
        <w:rPr>
          <w:vertAlign w:val="subscript"/>
        </w:rPr>
        <w:t>ox</w:t>
      </w:r>
      <w:r w:rsidRPr="0059758B">
        <w:t xml:space="preserve"> + 0.25 log(MSD@600), places the greatest weight on interfacial stability (</w:t>
      </w:r>
      <w:r w:rsidR="00523845" w:rsidRPr="0059758B">
        <w:t>E</w:t>
      </w:r>
      <w:r w:rsidR="00523845" w:rsidRPr="00D121DA">
        <w:rPr>
          <w:vertAlign w:val="subscript"/>
        </w:rPr>
        <w:t>cat</w:t>
      </w:r>
      <w:r w:rsidRPr="0059758B">
        <w:t xml:space="preserve">) and oxidative stability, while the conductivity requirement is comparatively relaxed. </w:t>
      </w:r>
    </w:p>
    <w:p w:rsidR="0059758B" w:rsidRPr="0059758B" w:rsidRDefault="0059758B" w:rsidP="0059758B">
      <w:pPr>
        <w:widowControl/>
        <w:wordWrap/>
        <w:autoSpaceDE/>
        <w:autoSpaceDN/>
        <w:ind w:firstLine="800"/>
      </w:pPr>
      <w:r w:rsidRPr="0059758B">
        <w:t xml:space="preserve">We emphasize that the scoring weights are heuristic and admittedly ad hoc: they were assigned to reflect the relative physical importance of each criterion for the intended application rather than derived from first principles or fitted to a target property. Their role is deliberately limited to ranking candidates that have already passed the physically motivated hard filters; the scores quantify priority, not material performance. Consequently, the prioritization does not hinge on the precise weight values, and we confirm that the </w:t>
      </w:r>
      <w:r w:rsidR="00C550EE">
        <w:t>nominated</w:t>
      </w:r>
      <w:r w:rsidRPr="0059758B">
        <w:t xml:space="preserve"> candidates are robust to reasonable perturbations of the weighting scheme.</w:t>
      </w:r>
    </w:p>
    <w:p w:rsidR="00475787" w:rsidRPr="004D220F" w:rsidRDefault="00475787" w:rsidP="00475787">
      <w:pPr>
        <w:widowControl/>
        <w:wordWrap/>
        <w:autoSpaceDE/>
        <w:autoSpaceDN/>
      </w:pPr>
    </w:p>
    <w:p w:rsidR="004D220F" w:rsidRPr="004D220F" w:rsidRDefault="004D220F" w:rsidP="004D220F">
      <w:pPr>
        <w:widowControl/>
        <w:wordWrap/>
        <w:autoSpaceDE/>
        <w:autoSpaceDN/>
      </w:pPr>
      <w:r w:rsidRPr="004D220F">
        <w:rPr>
          <w:b/>
        </w:rPr>
        <w:t>3.</w:t>
      </w:r>
      <w:r w:rsidR="00F2490E">
        <w:rPr>
          <w:b/>
        </w:rPr>
        <w:t>2</w:t>
      </w:r>
      <w:r w:rsidRPr="004D220F">
        <w:rPr>
          <w:b/>
        </w:rPr>
        <w:t xml:space="preserve">. </w:t>
      </w:r>
      <w:r w:rsidR="003F49F5" w:rsidRPr="003F49F5">
        <w:rPr>
          <w:b/>
        </w:rPr>
        <w:t>GNoME Dataset: Active-Learning Trajectory and Candidate Nomination</w:t>
      </w:r>
    </w:p>
    <w:p w:rsidR="00D108D1" w:rsidRDefault="00D108D1" w:rsidP="00D108D1">
      <w:pPr>
        <w:widowControl/>
        <w:wordWrap/>
        <w:autoSpaceDE/>
        <w:autoSpaceDN/>
      </w:pPr>
      <w:r>
        <w:t>To examine how the systematic evolution proceeded under the q-NEHVI algorithm during active learning on the GNoME dataset, we monitored each objective function—E</w:t>
      </w:r>
      <w:r w:rsidRPr="00D108D1">
        <w:rPr>
          <w:vertAlign w:val="subscript"/>
        </w:rPr>
        <w:t>cat</w:t>
      </w:r>
      <w:r>
        <w:t xml:space="preserve">, ESW, and MSD@600—as the active-learning rounds advanced. </w:t>
      </w:r>
      <w:r w:rsidRPr="00D108D1">
        <w:rPr>
          <w:b/>
        </w:rPr>
        <w:t xml:space="preserve">Figure </w:t>
      </w:r>
      <w:r w:rsidR="00770F0A">
        <w:rPr>
          <w:b/>
        </w:rPr>
        <w:t>2</w:t>
      </w:r>
      <w:r w:rsidRPr="00D108D1">
        <w:rPr>
          <w:b/>
        </w:rPr>
        <w:t>a</w:t>
      </w:r>
      <w:r>
        <w:t xml:space="preserve"> presents E</w:t>
      </w:r>
      <w:r w:rsidRPr="00D108D1">
        <w:rPr>
          <w:vertAlign w:val="subscript"/>
        </w:rPr>
        <w:t>cat</w:t>
      </w:r>
      <w:r>
        <w:t xml:space="preserve">, ESW, and MSD@600 as a function of iteration number (hereafter referred to as "generation" for convenience), together with the 3D evolution of the objective functions in </w:t>
      </w:r>
      <w:r w:rsidRPr="00D108D1">
        <w:rPr>
          <w:b/>
        </w:rPr>
        <w:t xml:space="preserve">Figure </w:t>
      </w:r>
      <w:r w:rsidR="00770F0A">
        <w:rPr>
          <w:b/>
        </w:rPr>
        <w:t>2</w:t>
      </w:r>
      <w:r w:rsidRPr="00D108D1">
        <w:rPr>
          <w:b/>
        </w:rPr>
        <w:t>b</w:t>
      </w:r>
      <w:r>
        <w:t xml:space="preserve">. The hypervolume improvement (HVI) is likewise plotted against generation in </w:t>
      </w:r>
      <w:r w:rsidRPr="00D108D1">
        <w:rPr>
          <w:b/>
        </w:rPr>
        <w:t xml:space="preserve">Figure </w:t>
      </w:r>
      <w:r w:rsidR="00770F0A">
        <w:rPr>
          <w:b/>
        </w:rPr>
        <w:t>2</w:t>
      </w:r>
      <w:r w:rsidRPr="00D108D1">
        <w:rPr>
          <w:b/>
        </w:rPr>
        <w:t>c</w:t>
      </w:r>
      <w:r>
        <w:t>, and its overall improving trend can be regarded as clear evidence that the q-NEHVI algorithm operated properly. Specifically, E</w:t>
      </w:r>
      <w:r w:rsidRPr="00D108D1">
        <w:rPr>
          <w:vertAlign w:val="subscript"/>
        </w:rPr>
        <w:t>cat</w:t>
      </w:r>
      <w:r>
        <w:t xml:space="preserve"> was properly minimized, with the lowest (most promising) entry emerging in the 4</w:t>
      </w:r>
      <w:r w:rsidRPr="00D108D1">
        <w:rPr>
          <w:rFonts w:hint="eastAsia"/>
          <w:vertAlign w:val="superscript"/>
        </w:rPr>
        <w:t>th</w:t>
      </w:r>
      <w:r>
        <w:t xml:space="preserve"> round; ESW showed an acceptable increasing trend, with the best entry found in the 7</w:t>
      </w:r>
      <w:r w:rsidRPr="00D108D1">
        <w:rPr>
          <w:vertAlign w:val="superscript"/>
        </w:rPr>
        <w:t>th</w:t>
      </w:r>
      <w:r>
        <w:t xml:space="preserve"> round; and MSD@600 also showed an acceptable increasing trend, with the best entry found in the 3</w:t>
      </w:r>
      <w:r w:rsidRPr="00D108D1">
        <w:rPr>
          <w:vertAlign w:val="superscript"/>
        </w:rPr>
        <w:t>rd</w:t>
      </w:r>
      <w:r>
        <w:t xml:space="preserve"> round. Because these best entries </w:t>
      </w:r>
      <w:r>
        <w:lastRenderedPageBreak/>
        <w:t xml:space="preserve">do not coincide with one another, the actual active-learning-driven evolution is illustrated graphically in the 3D objective-function space, where the </w:t>
      </w:r>
      <w:r w:rsidRPr="00D108D1">
        <w:rPr>
          <w:color w:val="FF0000"/>
        </w:rPr>
        <w:t xml:space="preserve">arrow </w:t>
      </w:r>
      <w:r>
        <w:t xml:space="preserve">in </w:t>
      </w:r>
      <w:r w:rsidRPr="00D108D1">
        <w:rPr>
          <w:b/>
        </w:rPr>
        <w:t xml:space="preserve">Figure </w:t>
      </w:r>
      <w:r w:rsidR="00770F0A">
        <w:rPr>
          <w:b/>
        </w:rPr>
        <w:t>2</w:t>
      </w:r>
      <w:r w:rsidRPr="00D108D1">
        <w:rPr>
          <w:b/>
        </w:rPr>
        <w:t>b</w:t>
      </w:r>
      <w:r>
        <w:t xml:space="preserve"> indicates the evolution trend, which proceeded in a reasonable direction.</w:t>
      </w:r>
    </w:p>
    <w:p w:rsidR="00D108D1" w:rsidRDefault="00D108D1" w:rsidP="00D108D1">
      <w:pPr>
        <w:widowControl/>
        <w:wordWrap/>
        <w:autoSpaceDE/>
        <w:autoSpaceDN/>
        <w:ind w:firstLine="800"/>
      </w:pPr>
      <w:r>
        <w:t>As noted above, the rigid, uniform objective setting adopted in the present optimization workflow gave rise to a general improvement in E</w:t>
      </w:r>
      <w:r w:rsidRPr="00D108D1">
        <w:rPr>
          <w:vertAlign w:val="subscript"/>
        </w:rPr>
        <w:t>cat</w:t>
      </w:r>
      <w:r>
        <w:t>, ESW, and MSD@600. It should be noted, however, that specific weights should be placed on each of E</w:t>
      </w:r>
      <w:r w:rsidRPr="00D108D1">
        <w:rPr>
          <w:vertAlign w:val="subscript"/>
        </w:rPr>
        <w:t>cat</w:t>
      </w:r>
      <w:r>
        <w:t>, ESW, and MSD@600 depending on the application of concern; that is, the weights can be tuned to each application—bulk SSEs, catholytes, or coating materials. Had such settings been adopted independently in separate active-learning workflows, they would of course have yielded the most appropriate candidates for each application. However, running such extravagant tasks is impractical, because our objective-function evaluation is very expensive, involving costly and time-consuming computations. We therefore applied reasonable weights after completing the active-learning workflow based on the general objective-function setting. This post-screening process is the most practical option for searching for plausible candidates for bulk SSEs, catholytes, or coating materials.</w:t>
      </w:r>
    </w:p>
    <w:p w:rsidR="00D108D1" w:rsidRDefault="00D108D1" w:rsidP="00D108D1">
      <w:pPr>
        <w:widowControl/>
        <w:wordWrap/>
        <w:autoSpaceDE/>
        <w:autoSpaceDN/>
        <w:ind w:firstLine="800"/>
      </w:pPr>
      <w:r>
        <w:t xml:space="preserve">Following the weight setting presented in </w:t>
      </w:r>
      <w:r w:rsidR="005841C3">
        <w:rPr>
          <w:color w:val="FF0000"/>
        </w:rPr>
        <w:t xml:space="preserve">Section </w:t>
      </w:r>
      <w:r w:rsidRPr="00D108D1">
        <w:rPr>
          <w:color w:val="FF0000"/>
        </w:rPr>
        <w:t>3.</w:t>
      </w:r>
      <w:r w:rsidR="005841C3">
        <w:rPr>
          <w:color w:val="FF0000"/>
        </w:rPr>
        <w:t>1</w:t>
      </w:r>
      <w:r>
        <w:t xml:space="preserve">, we nominated several promising candidates from among all GNoME entries that appeared during the active-learning workflow. On top of the selection criteria described above, we finally defined a straightforward threshold—a score of 0.5—above which entries could ultimately be nominated as final candidates for each use case. </w:t>
      </w:r>
      <w:r w:rsidRPr="00FF5A2D">
        <w:rPr>
          <w:b/>
        </w:rPr>
        <w:t>Table 1</w:t>
      </w:r>
      <w:r>
        <w:t xml:space="preserve"> lists the nominated GNoME entries ranked by weighted score for the three use cases.</w:t>
      </w:r>
    </w:p>
    <w:p w:rsidR="00D108D1" w:rsidRPr="00CF3826" w:rsidRDefault="00D108D1" w:rsidP="00D108D1">
      <w:pPr>
        <w:widowControl/>
        <w:wordWrap/>
        <w:autoSpaceDE/>
        <w:autoSpaceDN/>
        <w:ind w:firstLine="800"/>
        <w:rPr>
          <w:rFonts w:ascii="맑은 고딕" w:eastAsia="맑은 고딕" w:hAnsi="맑은 고딕" w:cs="맑은 고딕"/>
        </w:rPr>
      </w:pPr>
      <w:r>
        <w:t>For bulk SSEs, no entry was ultimately nominated, because all the top-ranked entries are not ordinary inorganic compounds but intermetallic materials. Intermetallics exhibit relatively high electronic conductance and therefore cannot serve as any electrolyte-related material. For catholytes, the 1</w:t>
      </w:r>
      <w:r w:rsidRPr="00D108D1">
        <w:rPr>
          <w:vertAlign w:val="superscript"/>
        </w:rPr>
        <w:t>st</w:t>
      </w:r>
      <w:r>
        <w:t xml:space="preserve"> through 11</w:t>
      </w:r>
      <w:r w:rsidRPr="00D108D1">
        <w:rPr>
          <w:vertAlign w:val="superscript"/>
        </w:rPr>
        <w:t>th</w:t>
      </w:r>
      <w:r>
        <w:t xml:space="preserve"> top-ranked entries cannot be nominated because they are either intermetallic or charge-neutrality-violating entries, both of which are outside the scope of the present investigation; indeed, many physics- and chemistry-violating entries are included in the GNoME dataset, as argued by Cheetham and Seshadri[</w:t>
      </w:r>
      <w:r w:rsidRPr="00D108D1">
        <w:rPr>
          <w:highlight w:val="yellow"/>
        </w:rPr>
        <w:t>ref</w:t>
      </w:r>
      <w:r>
        <w:t xml:space="preserve">]. Accordingly, </w:t>
      </w:r>
      <w:r w:rsidR="007B195C" w:rsidRPr="00CF3826">
        <w:rPr>
          <w:rFonts w:ascii="맑은 고딕" w:eastAsia="맑은 고딕" w:hAnsi="맑은 고딕" w:cs="맑은 고딕"/>
        </w:rPr>
        <w:t>Li</w:t>
      </w:r>
      <w:r w:rsidR="007B195C">
        <w:rPr>
          <w:rFonts w:ascii="맑은 고딕" w:eastAsia="맑은 고딕" w:hAnsi="맑은 고딕" w:cs="맑은 고딕"/>
          <w:vertAlign w:val="subscript"/>
        </w:rPr>
        <w:t>4</w:t>
      </w:r>
      <w:r w:rsidR="007B195C" w:rsidRPr="00CF3826">
        <w:rPr>
          <w:rFonts w:ascii="맑은 고딕" w:eastAsia="맑은 고딕" w:hAnsi="맑은 고딕" w:cs="맑은 고딕"/>
        </w:rPr>
        <w:t>Tl</w:t>
      </w:r>
      <w:r w:rsidR="007B195C">
        <w:rPr>
          <w:rFonts w:ascii="맑은 고딕" w:eastAsia="맑은 고딕" w:hAnsi="맑은 고딕" w:cs="맑은 고딕"/>
          <w:vertAlign w:val="subscript"/>
        </w:rPr>
        <w:t>2</w:t>
      </w:r>
      <w:r w:rsidR="007B195C" w:rsidRPr="00CF3826">
        <w:rPr>
          <w:rFonts w:ascii="맑은 고딕" w:eastAsia="맑은 고딕" w:hAnsi="맑은 고딕" w:cs="맑은 고딕"/>
        </w:rPr>
        <w:t>ZnF</w:t>
      </w:r>
      <w:r w:rsidR="007B195C">
        <w:rPr>
          <w:rFonts w:ascii="맑은 고딕" w:eastAsia="맑은 고딕" w:hAnsi="맑은 고딕" w:cs="맑은 고딕"/>
          <w:vertAlign w:val="subscript"/>
        </w:rPr>
        <w:t>12</w:t>
      </w:r>
      <w:r w:rsidRPr="00CF3826">
        <w:rPr>
          <w:rFonts w:ascii="맑은 고딕" w:eastAsia="맑은 고딕" w:hAnsi="맑은 고딕" w:cs="맑은 고딕"/>
        </w:rPr>
        <w:t xml:space="preserve"> and LiBi</w:t>
      </w:r>
      <w:r w:rsidR="007B195C">
        <w:rPr>
          <w:rFonts w:ascii="맑은 고딕" w:eastAsia="맑은 고딕" w:hAnsi="맑은 고딕" w:cs="맑은 고딕"/>
          <w:vertAlign w:val="subscript"/>
        </w:rPr>
        <w:t>3</w:t>
      </w:r>
      <w:r w:rsidRPr="00CF3826">
        <w:rPr>
          <w:rFonts w:ascii="맑은 고딕" w:eastAsia="맑은 고딕" w:hAnsi="맑은 고딕" w:cs="맑은 고딕"/>
        </w:rPr>
        <w:t>I</w:t>
      </w:r>
      <w:r w:rsidR="007B195C">
        <w:rPr>
          <w:rFonts w:ascii="맑은 고딕" w:eastAsia="맑은 고딕" w:hAnsi="맑은 고딕" w:cs="맑은 고딕"/>
          <w:vertAlign w:val="subscript"/>
        </w:rPr>
        <w:t>3</w:t>
      </w:r>
      <w:r w:rsidRPr="00CF3826">
        <w:rPr>
          <w:rFonts w:ascii="맑은 고딕" w:eastAsia="맑은 고딕" w:hAnsi="맑은 고딕" w:cs="맑은 고딕"/>
        </w:rPr>
        <w:t xml:space="preserve"> are the only viable options for catholytes. For cathode coating materials, many charge-neutrality-violating entries likewise appeared among the top ranks; as a result, we recommend only three candidates— Li</w:t>
      </w:r>
      <w:r w:rsidRPr="00CF3826">
        <w:rPr>
          <w:rFonts w:ascii="맑은 고딕" w:eastAsia="맑은 고딕" w:hAnsi="맑은 고딕" w:cs="맑은 고딕"/>
          <w:vertAlign w:val="subscript"/>
        </w:rPr>
        <w:t>6</w:t>
      </w:r>
      <w:r w:rsidRPr="00CF3826">
        <w:rPr>
          <w:rFonts w:ascii="맑은 고딕" w:eastAsia="맑은 고딕" w:hAnsi="맑은 고딕" w:cs="맑은 고딕"/>
        </w:rPr>
        <w:t>Ca</w:t>
      </w:r>
      <w:r w:rsidRPr="00CF3826">
        <w:rPr>
          <w:rFonts w:ascii="맑은 고딕" w:eastAsia="맑은 고딕" w:hAnsi="맑은 고딕" w:cs="맑은 고딕"/>
          <w:vertAlign w:val="subscript"/>
        </w:rPr>
        <w:t>6</w:t>
      </w:r>
      <w:r w:rsidRPr="00CF3826">
        <w:rPr>
          <w:rFonts w:ascii="맑은 고딕" w:eastAsia="맑은 고딕" w:hAnsi="맑은 고딕" w:cs="맑은 고딕"/>
        </w:rPr>
        <w:t>AsP</w:t>
      </w:r>
      <w:r w:rsidRPr="00CF3826">
        <w:rPr>
          <w:rFonts w:ascii="맑은 고딕" w:eastAsia="맑은 고딕" w:hAnsi="맑은 고딕" w:cs="맑은 고딕"/>
          <w:vertAlign w:val="subscript"/>
        </w:rPr>
        <w:t>5</w:t>
      </w:r>
      <w:r w:rsidRPr="00CF3826">
        <w:rPr>
          <w:rFonts w:ascii="맑은 고딕" w:eastAsia="맑은 고딕" w:hAnsi="맑은 고딕" w:cs="맑은 고딕"/>
        </w:rPr>
        <w:t>O</w:t>
      </w:r>
      <w:r w:rsidRPr="00CF3826">
        <w:rPr>
          <w:rFonts w:ascii="맑은 고딕" w:eastAsia="맑은 고딕" w:hAnsi="맑은 고딕" w:cs="맑은 고딕"/>
          <w:vertAlign w:val="subscript"/>
        </w:rPr>
        <w:t>24</w:t>
      </w:r>
      <w:r w:rsidRPr="00CF3826">
        <w:rPr>
          <w:rFonts w:ascii="맑은 고딕" w:eastAsia="맑은 고딕" w:hAnsi="맑은 고딕" w:cs="맑은 고딕"/>
        </w:rPr>
        <w:t>, Li</w:t>
      </w:r>
      <w:r w:rsidR="007B195C">
        <w:rPr>
          <w:rFonts w:ascii="맑은 고딕" w:eastAsia="맑은 고딕" w:hAnsi="맑은 고딕" w:cs="맑은 고딕"/>
          <w:vertAlign w:val="subscript"/>
        </w:rPr>
        <w:t>4</w:t>
      </w:r>
      <w:r w:rsidRPr="00CF3826">
        <w:rPr>
          <w:rFonts w:ascii="맑은 고딕" w:eastAsia="맑은 고딕" w:hAnsi="맑은 고딕" w:cs="맑은 고딕"/>
        </w:rPr>
        <w:t>Tl</w:t>
      </w:r>
      <w:r w:rsidR="007B195C">
        <w:rPr>
          <w:rFonts w:ascii="맑은 고딕" w:eastAsia="맑은 고딕" w:hAnsi="맑은 고딕" w:cs="맑은 고딕"/>
          <w:vertAlign w:val="subscript"/>
        </w:rPr>
        <w:t>2</w:t>
      </w:r>
      <w:r w:rsidRPr="00CF3826">
        <w:rPr>
          <w:rFonts w:ascii="맑은 고딕" w:eastAsia="맑은 고딕" w:hAnsi="맑은 고딕" w:cs="맑은 고딕"/>
        </w:rPr>
        <w:t>ZnF</w:t>
      </w:r>
      <w:r w:rsidR="007B195C">
        <w:rPr>
          <w:rFonts w:ascii="맑은 고딕" w:eastAsia="맑은 고딕" w:hAnsi="맑은 고딕" w:cs="맑은 고딕"/>
          <w:vertAlign w:val="subscript"/>
        </w:rPr>
        <w:t>12</w:t>
      </w:r>
      <w:r w:rsidRPr="00CF3826">
        <w:rPr>
          <w:rFonts w:ascii="맑은 고딕" w:eastAsia="맑은 고딕" w:hAnsi="맑은 고딕" w:cs="맑은 고딕"/>
        </w:rPr>
        <w:t xml:space="preserve"> (a duplicate discovery), and Li</w:t>
      </w:r>
      <w:r w:rsidRPr="00CF3826">
        <w:rPr>
          <w:rFonts w:ascii="맑은 고딕" w:eastAsia="맑은 고딕" w:hAnsi="맑은 고딕" w:cs="맑은 고딕"/>
          <w:vertAlign w:val="subscript"/>
        </w:rPr>
        <w:t>2</w:t>
      </w:r>
      <w:r w:rsidRPr="00CF3826">
        <w:rPr>
          <w:rFonts w:ascii="맑은 고딕" w:eastAsia="맑은 고딕" w:hAnsi="맑은 고딕" w:cs="맑은 고딕"/>
        </w:rPr>
        <w:t>Br</w:t>
      </w:r>
      <w:r w:rsidRPr="00CF3826">
        <w:rPr>
          <w:rFonts w:ascii="맑은 고딕" w:eastAsia="맑은 고딕" w:hAnsi="맑은 고딕" w:cs="맑은 고딕"/>
          <w:vertAlign w:val="subscript"/>
        </w:rPr>
        <w:t>6</w:t>
      </w:r>
      <w:r w:rsidRPr="00CF3826">
        <w:rPr>
          <w:rFonts w:ascii="맑은 고딕" w:eastAsia="맑은 고딕" w:hAnsi="맑은 고딕" w:cs="맑은 고딕"/>
        </w:rPr>
        <w:t>O</w:t>
      </w:r>
      <w:r w:rsidRPr="00CF3826">
        <w:rPr>
          <w:rFonts w:ascii="맑은 고딕" w:eastAsia="맑은 고딕" w:hAnsi="맑은 고딕" w:cs="맑은 고딕"/>
          <w:vertAlign w:val="subscript"/>
        </w:rPr>
        <w:t>16</w:t>
      </w:r>
      <w:r w:rsidRPr="00CF3826">
        <w:rPr>
          <w:rFonts w:ascii="맑은 고딕" w:eastAsia="맑은 고딕" w:hAnsi="맑은 고딕" w:cs="맑은 고딕"/>
        </w:rPr>
        <w:t>. Although several additional entries exhibit scores above 0.5, their MSD@600 values are too low, below 10 Å</w:t>
      </w:r>
      <w:r w:rsidR="00CF3826" w:rsidRPr="00CF3826">
        <w:rPr>
          <w:rFonts w:ascii="맑은 고딕" w:eastAsia="맑은 고딕" w:hAnsi="맑은 고딕" w:cs="맑은 고딕"/>
          <w:vertAlign w:val="superscript"/>
        </w:rPr>
        <w:t>2</w:t>
      </w:r>
      <w:r w:rsidRPr="00CF3826">
        <w:rPr>
          <w:rFonts w:ascii="맑은 고딕" w:eastAsia="맑은 고딕" w:hAnsi="맑은 고딕" w:cs="맑은 고딕"/>
        </w:rPr>
        <w:t>, implying that Li</w:t>
      </w:r>
      <w:r w:rsidR="00FF5A2D" w:rsidRPr="00CF3826">
        <w:rPr>
          <w:rFonts w:ascii="맑은 고딕" w:eastAsia="맑은 고딕" w:hAnsi="맑은 고딕" w:cs="맑은 고딕" w:hint="eastAsia"/>
          <w:vertAlign w:val="superscript"/>
        </w:rPr>
        <w:t>+</w:t>
      </w:r>
      <w:r w:rsidRPr="00CF3826">
        <w:rPr>
          <w:rFonts w:ascii="맑은 고딕" w:eastAsia="맑은 고딕" w:hAnsi="맑은 고딕" w:cs="맑은 고딕"/>
        </w:rPr>
        <w:t xml:space="preserve"> ions would not move beyond 3–4 Å, which is not physically meaningful.</w:t>
      </w:r>
    </w:p>
    <w:p w:rsidR="00D13B69" w:rsidRDefault="00D13B69" w:rsidP="00D108D1">
      <w:pPr>
        <w:widowControl/>
        <w:wordWrap/>
        <w:autoSpaceDE/>
        <w:autoSpaceDN/>
        <w:ind w:firstLine="800"/>
      </w:pPr>
      <w:r>
        <w:t>Given that phosphate-based materials such as Li₃PO₄, LiPON, LiPO₃, and LATP have a long track record as cathode coating materials [</w:t>
      </w:r>
      <w:r w:rsidRPr="00D13B69">
        <w:rPr>
          <w:highlight w:val="yellow"/>
        </w:rPr>
        <w:t>ref</w:t>
      </w:r>
      <w:r>
        <w:t>], it is notable that active learning converged onto the phosphate family even though no prior knowledge of the favorability of phosphates was ever supplied to the workflow. Crucially</w:t>
      </w:r>
      <w:r w:rsidRPr="00E15CB2">
        <w:rPr>
          <w:b/>
        </w:rPr>
        <w:t xml:space="preserve">, </w:t>
      </w:r>
      <w:r w:rsidRPr="00E15CB2">
        <w:rPr>
          <w:rStyle w:val="a6"/>
          <w:b w:val="0"/>
        </w:rPr>
        <w:t xml:space="preserve">none of these established phosphate coatings is present in our </w:t>
      </w:r>
      <w:r w:rsidRPr="00E15CB2">
        <w:rPr>
          <w:rStyle w:val="a6"/>
          <w:b w:val="0"/>
        </w:rPr>
        <w:lastRenderedPageBreak/>
        <w:t>GNoME search space to begin with</w:t>
      </w:r>
      <w:r>
        <w:t>; the algorithm therefore could not have simply recovered a known material, but instead had to re-identify the phosphate motif from scratch and locate an alternative, existing phosphate—</w:t>
      </w:r>
      <w:r w:rsidRPr="009D774F">
        <w:t>Li</w:t>
      </w:r>
      <w:r w:rsidRPr="004F4BA4">
        <w:rPr>
          <w:vertAlign w:val="subscript"/>
        </w:rPr>
        <w:t>6</w:t>
      </w:r>
      <w:r>
        <w:t>Ca</w:t>
      </w:r>
      <w:r w:rsidRPr="004F4BA4">
        <w:rPr>
          <w:vertAlign w:val="subscript"/>
        </w:rPr>
        <w:t>6</w:t>
      </w:r>
      <w:r>
        <w:t>As</w:t>
      </w:r>
      <w:r w:rsidRPr="009D774F">
        <w:t>P</w:t>
      </w:r>
      <w:r w:rsidRPr="004F4BA4">
        <w:rPr>
          <w:vertAlign w:val="subscript"/>
        </w:rPr>
        <w:t>5</w:t>
      </w:r>
      <w:r w:rsidRPr="009D774F">
        <w:t>O</w:t>
      </w:r>
      <w:r w:rsidRPr="004F4BA4">
        <w:rPr>
          <w:vertAlign w:val="subscript"/>
        </w:rPr>
        <w:t>24</w:t>
      </w:r>
      <w:r>
        <w:rPr>
          <w:rFonts w:ascii="맑은 고딕" w:eastAsia="맑은 고딕" w:hAnsi="맑은 고딕" w:cs="맑은 고딕" w:hint="eastAsia"/>
        </w:rPr>
        <w:t>—</w:t>
      </w:r>
      <w:r>
        <w:t xml:space="preserve">within a pool from which every canonical phosphate coating was absent. That active learning navigated to a compositionally distinct member of the same favorable chemical family, without any such exemplar available to imitate, is strong evidence that the method captures the underlying chemistry rather than memorizing known solutions. By positioning </w:t>
      </w:r>
      <w:r w:rsidRPr="009D774F">
        <w:t>Li</w:t>
      </w:r>
      <w:r w:rsidRPr="004F4BA4">
        <w:rPr>
          <w:vertAlign w:val="subscript"/>
        </w:rPr>
        <w:t>6</w:t>
      </w:r>
      <w:r>
        <w:t>Ca</w:t>
      </w:r>
      <w:r w:rsidRPr="004F4BA4">
        <w:rPr>
          <w:vertAlign w:val="subscript"/>
        </w:rPr>
        <w:t>6</w:t>
      </w:r>
      <w:r>
        <w:t>As</w:t>
      </w:r>
      <w:r w:rsidRPr="009D774F">
        <w:t>P</w:t>
      </w:r>
      <w:r w:rsidRPr="004F4BA4">
        <w:rPr>
          <w:vertAlign w:val="subscript"/>
        </w:rPr>
        <w:t>5</w:t>
      </w:r>
      <w:r w:rsidRPr="009D774F">
        <w:t>O</w:t>
      </w:r>
      <w:r w:rsidRPr="004F4BA4">
        <w:rPr>
          <w:vertAlign w:val="subscript"/>
        </w:rPr>
        <w:t>24</w:t>
      </w:r>
      <w:r>
        <w:rPr>
          <w:vertAlign w:val="subscript"/>
        </w:rPr>
        <w:t xml:space="preserve"> </w:t>
      </w:r>
      <w:r>
        <w:t>as a Ca-containing mixed arsenate–phosphate coating/interphase/bulk phosphate host, we expect that it can be claimed as a genuinely new material whose novelty is entirely distinct from the known Li₃PO₄, LiPON, and LATP/LAGP.</w:t>
      </w:r>
    </w:p>
    <w:p w:rsidR="00F2490E" w:rsidRDefault="00F2490E" w:rsidP="00D13B69">
      <w:pPr>
        <w:widowControl/>
        <w:wordWrap/>
        <w:autoSpaceDE/>
        <w:autoSpaceDN/>
      </w:pPr>
    </w:p>
    <w:p w:rsidR="00F2490E" w:rsidRPr="004D220F" w:rsidRDefault="00F2490E" w:rsidP="00F2490E">
      <w:pPr>
        <w:widowControl/>
        <w:wordWrap/>
        <w:autoSpaceDE/>
        <w:autoSpaceDN/>
      </w:pPr>
      <w:r w:rsidRPr="004D220F">
        <w:rPr>
          <w:b/>
        </w:rPr>
        <w:t>3.</w:t>
      </w:r>
      <w:r>
        <w:rPr>
          <w:b/>
        </w:rPr>
        <w:t>3</w:t>
      </w:r>
      <w:r w:rsidRPr="004D220F">
        <w:rPr>
          <w:b/>
        </w:rPr>
        <w:t xml:space="preserve">. </w:t>
      </w:r>
      <w:r w:rsidR="003F49F5" w:rsidRPr="003F49F5">
        <w:rPr>
          <w:b/>
        </w:rPr>
        <w:t>Materials Project Dataset: Active-Learning Trajectory and Candidate Nomination</w:t>
      </w:r>
    </w:p>
    <w:p w:rsidR="00F35BE4" w:rsidRPr="00F35BE4" w:rsidRDefault="00F35BE4" w:rsidP="00F35BE4">
      <w:pPr>
        <w:widowControl/>
        <w:wordWrap/>
        <w:autoSpaceDE/>
        <w:autoSpaceDN/>
      </w:pPr>
      <w:r w:rsidRPr="00F35BE4">
        <w:t xml:space="preserve">As will be discussed again in </w:t>
      </w:r>
      <w:r w:rsidRPr="00F35BE4">
        <w:rPr>
          <w:color w:val="FF0000"/>
        </w:rPr>
        <w:t>Section 3.4</w:t>
      </w:r>
      <w:r w:rsidRPr="00F35BE4">
        <w:t xml:space="preserve">, the most important issue to note first is that nearly all of the currently known promising SSEs are already contained within the MP dataset. Because our primary aim was to explore and identify </w:t>
      </w:r>
      <w:r w:rsidRPr="00F35BE4">
        <w:rPr>
          <w:iCs/>
        </w:rPr>
        <w:t>new</w:t>
      </w:r>
      <w:r w:rsidRPr="00F35BE4">
        <w:t xml:space="preserve"> SSE candidates beyond these, we removed all such known SSEs from the dataset prior to active learning. The removed, well-known SSEs are listed in Supplementary </w:t>
      </w:r>
      <w:r w:rsidRPr="00F35BE4">
        <w:rPr>
          <w:b/>
        </w:rPr>
        <w:t>Table S1</w:t>
      </w:r>
      <w:r w:rsidRPr="00F35BE4">
        <w:t>.</w:t>
      </w:r>
    </w:p>
    <w:p w:rsidR="00F35BE4" w:rsidRPr="00F35BE4" w:rsidRDefault="00F35BE4" w:rsidP="001A2EBB">
      <w:pPr>
        <w:widowControl/>
        <w:wordWrap/>
        <w:autoSpaceDE/>
        <w:autoSpaceDN/>
        <w:ind w:firstLine="800"/>
      </w:pPr>
      <w:r w:rsidRPr="00F35BE4">
        <w:rPr>
          <w:b/>
        </w:rPr>
        <w:t xml:space="preserve">Figure </w:t>
      </w:r>
      <w:r w:rsidR="00770F0A">
        <w:rPr>
          <w:b/>
        </w:rPr>
        <w:t>3</w:t>
      </w:r>
      <w:r w:rsidRPr="00F35BE4">
        <w:rPr>
          <w:b/>
        </w:rPr>
        <w:t>a</w:t>
      </w:r>
      <w:r w:rsidRPr="00F35BE4">
        <w:t xml:space="preserve"> presents </w:t>
      </w:r>
      <w:r>
        <w:t>E</w:t>
      </w:r>
      <w:r w:rsidRPr="00D108D1">
        <w:rPr>
          <w:vertAlign w:val="subscript"/>
        </w:rPr>
        <w:t>cat</w:t>
      </w:r>
      <w:r w:rsidRPr="00F35BE4">
        <w:t xml:space="preserve">, ESW, and MSD@600 as a function of generation number, together with the 3D evolution of the objective functions in </w:t>
      </w:r>
      <w:r w:rsidRPr="00940346">
        <w:rPr>
          <w:b/>
        </w:rPr>
        <w:t xml:space="preserve">Figure </w:t>
      </w:r>
      <w:r w:rsidR="00770F0A">
        <w:rPr>
          <w:b/>
        </w:rPr>
        <w:t>3</w:t>
      </w:r>
      <w:r w:rsidRPr="00940346">
        <w:rPr>
          <w:b/>
        </w:rPr>
        <w:t>b</w:t>
      </w:r>
      <w:r w:rsidRPr="00F35BE4">
        <w:t xml:space="preserve">. Here, the overall improving trend is not obvious, in contrast to the q-NEHVI iteration results for the GNoME dataset. All of the best samples were found in the randomly selected first generation. Consequently, </w:t>
      </w:r>
      <w:r w:rsidRPr="00940346">
        <w:rPr>
          <w:color w:val="00B0F0"/>
        </w:rPr>
        <w:t>no clear evidence of active-learning-driven evolution is captured in the 3D objective-function space,</w:t>
      </w:r>
      <w:r w:rsidRPr="00F35BE4">
        <w:t xml:space="preserve"> as shown </w:t>
      </w:r>
      <w:r w:rsidRPr="00770F0A">
        <w:t>in</w:t>
      </w:r>
      <w:r w:rsidRPr="00770F0A">
        <w:rPr>
          <w:b/>
        </w:rPr>
        <w:t xml:space="preserve"> </w:t>
      </w:r>
      <w:r w:rsidRPr="00770F0A">
        <w:rPr>
          <w:b/>
          <w:color w:val="FF0000"/>
        </w:rPr>
        <w:t xml:space="preserve">Figure </w:t>
      </w:r>
      <w:r w:rsidR="00770F0A" w:rsidRPr="00770F0A">
        <w:rPr>
          <w:b/>
          <w:color w:val="FF0000"/>
        </w:rPr>
        <w:t>3</w:t>
      </w:r>
      <w:r w:rsidRPr="00770F0A">
        <w:rPr>
          <w:b/>
          <w:color w:val="FF0000"/>
        </w:rPr>
        <w:t>b</w:t>
      </w:r>
      <w:r w:rsidRPr="00F35BE4">
        <w:t xml:space="preserve">. Nevertheless, the q-NEHVI algorithm itself appears to have operated properly, since the HVI plot exhibits an overall improving trend, which can be regarded as clear evidence of proper functioning of the q-NEHVI algorithm, as shown in </w:t>
      </w:r>
      <w:r w:rsidRPr="00940346">
        <w:rPr>
          <w:b/>
        </w:rPr>
        <w:t xml:space="preserve">Figure </w:t>
      </w:r>
      <w:r w:rsidR="00770F0A">
        <w:rPr>
          <w:b/>
        </w:rPr>
        <w:t>3</w:t>
      </w:r>
      <w:r w:rsidRPr="00940346">
        <w:rPr>
          <w:b/>
        </w:rPr>
        <w:t>c</w:t>
      </w:r>
      <w:r w:rsidRPr="00F35BE4">
        <w:t>.</w:t>
      </w:r>
      <w:r w:rsidR="00940346">
        <w:t xml:space="preserve"> </w:t>
      </w:r>
      <w:r w:rsidR="00940346" w:rsidRPr="001A2EBB">
        <w:rPr>
          <w:color w:val="00B0F0"/>
        </w:rPr>
        <w:t>However, this improvement is less pronounced than that observed for the GNoME dataset.</w:t>
      </w:r>
    </w:p>
    <w:p w:rsidR="00F35BE4" w:rsidRDefault="00F35BE4" w:rsidP="001A2EBB">
      <w:pPr>
        <w:widowControl/>
        <w:wordWrap/>
        <w:autoSpaceDE/>
        <w:autoSpaceDN/>
        <w:ind w:firstLine="800"/>
      </w:pPr>
      <w:r w:rsidRPr="00F35BE4">
        <w:t xml:space="preserve">The foremost reason these active-learning results show no striking progress is likely the early </w:t>
      </w:r>
      <w:r w:rsidR="001A2EBB">
        <w:t>exploration before the onset of rigorous exploitation in</w:t>
      </w:r>
      <w:r w:rsidRPr="00F35BE4">
        <w:t xml:space="preserve"> the active-learning process. Given many more repeated cycles, the desired objective would surely have been reached eventually. However, in a vast search space comprising 21,648 entries, and at the present point where only about 100 entries in total have been proposed, such a </w:t>
      </w:r>
      <w:r w:rsidR="000A5AE2">
        <w:t>marginal</w:t>
      </w:r>
      <w:r w:rsidRPr="00F35BE4">
        <w:t xml:space="preserve"> outcome may well be expected. </w:t>
      </w:r>
      <w:r w:rsidR="000A5AE2" w:rsidRPr="000A5AE2">
        <w:t>It should be</w:t>
      </w:r>
      <w:r w:rsidR="000A5AE2">
        <w:t>, however,</w:t>
      </w:r>
      <w:r w:rsidR="000A5AE2" w:rsidRPr="000A5AE2">
        <w:t xml:space="preserve"> noted that further active learning rounds were practically unfeasible because computing MSD@600 is highly resource-intensive and time-consuming.</w:t>
      </w:r>
      <w:r w:rsidRPr="00F35BE4">
        <w:t xml:space="preserve"> Another reason, as already mentioned, may be that active learning was carried out only after all plausible, previously known SSE candidates had been removed in advance, which could also account for the limited results.</w:t>
      </w:r>
    </w:p>
    <w:p w:rsidR="00F35BE4" w:rsidRPr="00F35BE4" w:rsidRDefault="00F35BE4" w:rsidP="000A5AE2">
      <w:pPr>
        <w:widowControl/>
        <w:wordWrap/>
        <w:autoSpaceDE/>
        <w:autoSpaceDN/>
        <w:ind w:firstLine="800"/>
      </w:pPr>
      <w:r w:rsidRPr="00F35BE4">
        <w:lastRenderedPageBreak/>
        <w:t>It was quite disappointing that none of the three objective functions (</w:t>
      </w:r>
      <w:r>
        <w:t>E</w:t>
      </w:r>
      <w:r w:rsidRPr="00D108D1">
        <w:rPr>
          <w:vertAlign w:val="subscript"/>
        </w:rPr>
        <w:t>cat</w:t>
      </w:r>
      <w:r w:rsidRPr="00F35BE4">
        <w:t xml:space="preserve">, ESW, and MSD@600) advanced in the desired direction during active learning. Even so, as with the GNoME dataset above, we screened all the entries that appeared during the active-learning process and recommended candidates suited to each use case—bulk SSEs, catholytes, and cathode coating materials. Once again, the recommendation criteria followed those specified in </w:t>
      </w:r>
      <w:r w:rsidRPr="00F35BE4">
        <w:rPr>
          <w:color w:val="FF0000"/>
        </w:rPr>
        <w:t>Section 3.</w:t>
      </w:r>
      <w:r w:rsidR="005841C3">
        <w:rPr>
          <w:color w:val="FF0000"/>
        </w:rPr>
        <w:t>1</w:t>
      </w:r>
      <w:r w:rsidRPr="00F35BE4">
        <w:t xml:space="preserve">. </w:t>
      </w:r>
      <w:r w:rsidRPr="00F35BE4">
        <w:rPr>
          <w:b/>
        </w:rPr>
        <w:t>Table 1</w:t>
      </w:r>
      <w:r w:rsidRPr="00F35BE4">
        <w:t xml:space="preserve"> lists the nominated MP entries ranked by weighted score for the three use cases.</w:t>
      </w:r>
    </w:p>
    <w:p w:rsidR="00F35BE4" w:rsidRPr="00CF3826" w:rsidRDefault="00F35BE4" w:rsidP="000A5AE2">
      <w:pPr>
        <w:widowControl/>
        <w:wordWrap/>
        <w:autoSpaceDE/>
        <w:autoSpaceDN/>
        <w:ind w:firstLine="800"/>
        <w:rPr>
          <w:rFonts w:ascii="맑은 고딕" w:eastAsia="맑은 고딕" w:hAnsi="맑은 고딕" w:cs="맑은 고딕"/>
        </w:rPr>
      </w:pPr>
      <w:r w:rsidRPr="00CF3826">
        <w:rPr>
          <w:rFonts w:ascii="맑은 고딕" w:eastAsia="맑은 고딕" w:hAnsi="맑은 고딕" w:cs="맑은 고딕"/>
        </w:rPr>
        <w:t>Li</w:t>
      </w:r>
      <w:r w:rsidR="00CF3826" w:rsidRPr="00CF3826">
        <w:rPr>
          <w:rFonts w:ascii="맑은 고딕" w:eastAsia="맑은 고딕" w:hAnsi="맑은 고딕" w:cs="맑은 고딕"/>
          <w:vertAlign w:val="subscript"/>
        </w:rPr>
        <w:t>2</w:t>
      </w:r>
      <w:r w:rsidRPr="00CF3826">
        <w:rPr>
          <w:rFonts w:ascii="맑은 고딕" w:eastAsia="맑은 고딕" w:hAnsi="맑은 고딕" w:cs="맑은 고딕"/>
        </w:rPr>
        <w:t>Ta</w:t>
      </w:r>
      <w:r w:rsidR="00CF3826" w:rsidRPr="00CF3826">
        <w:rPr>
          <w:rFonts w:ascii="맑은 고딕" w:eastAsia="맑은 고딕" w:hAnsi="맑은 고딕" w:cs="맑은 고딕"/>
          <w:vertAlign w:val="subscript"/>
        </w:rPr>
        <w:t>4</w:t>
      </w:r>
      <w:r w:rsidRPr="00CF3826">
        <w:rPr>
          <w:rFonts w:ascii="맑은 고딕" w:eastAsia="맑은 고딕" w:hAnsi="맑은 고딕" w:cs="맑은 고딕"/>
        </w:rPr>
        <w:t>O</w:t>
      </w:r>
      <w:r w:rsidR="00CF3826" w:rsidRPr="00CF3826">
        <w:rPr>
          <w:rFonts w:ascii="맑은 고딕" w:eastAsia="맑은 고딕" w:hAnsi="맑은 고딕" w:cs="맑은 고딕"/>
          <w:vertAlign w:val="subscript"/>
        </w:rPr>
        <w:t>11</w:t>
      </w:r>
      <w:r w:rsidRPr="00CF3826">
        <w:rPr>
          <w:rFonts w:ascii="맑은 고딕" w:eastAsia="맑은 고딕" w:hAnsi="맑은 고딕" w:cs="맑은 고딕"/>
        </w:rPr>
        <w:t xml:space="preserve"> and LiTaO</w:t>
      </w:r>
      <w:r w:rsidR="00CF3826" w:rsidRPr="00CF3826">
        <w:rPr>
          <w:rFonts w:ascii="맑은 고딕" w:eastAsia="맑은 고딕" w:hAnsi="맑은 고딕" w:cs="맑은 고딕"/>
          <w:vertAlign w:val="subscript"/>
        </w:rPr>
        <w:t>3</w:t>
      </w:r>
      <w:r w:rsidRPr="00CF3826">
        <w:rPr>
          <w:rFonts w:ascii="맑은 고딕" w:eastAsia="맑은 고딕" w:hAnsi="맑은 고딕" w:cs="맑은 고딕"/>
        </w:rPr>
        <w:t xml:space="preserve"> were nominated as bulk SSE candidates; </w:t>
      </w:r>
      <w:r w:rsidRPr="007B195C">
        <w:rPr>
          <w:rFonts w:ascii="맑은 고딕" w:eastAsia="맑은 고딕" w:hAnsi="맑은 고딕" w:cs="맑은 고딕"/>
          <w:highlight w:val="lightGray"/>
        </w:rPr>
        <w:t>Li</w:t>
      </w:r>
      <w:r w:rsidR="00CF3826" w:rsidRPr="007B195C">
        <w:rPr>
          <w:rFonts w:ascii="맑은 고딕" w:eastAsia="맑은 고딕" w:hAnsi="맑은 고딕" w:cs="맑은 고딕"/>
          <w:highlight w:val="lightGray"/>
          <w:vertAlign w:val="subscript"/>
        </w:rPr>
        <w:t>4</w:t>
      </w:r>
      <w:r w:rsidRPr="007B195C">
        <w:rPr>
          <w:rFonts w:ascii="맑은 고딕" w:eastAsia="맑은 고딕" w:hAnsi="맑은 고딕" w:cs="맑은 고딕"/>
          <w:highlight w:val="lightGray"/>
        </w:rPr>
        <w:t>Cu</w:t>
      </w:r>
      <w:r w:rsidR="00CF3826" w:rsidRPr="007B195C">
        <w:rPr>
          <w:rFonts w:ascii="맑은 고딕" w:eastAsia="맑은 고딕" w:hAnsi="맑은 고딕" w:cs="맑은 고딕"/>
          <w:highlight w:val="lightGray"/>
          <w:vertAlign w:val="subscript"/>
        </w:rPr>
        <w:t>4</w:t>
      </w:r>
      <w:r w:rsidRPr="007B195C">
        <w:rPr>
          <w:rFonts w:ascii="맑은 고딕" w:eastAsia="맑은 고딕" w:hAnsi="맑은 고딕" w:cs="맑은 고딕"/>
          <w:highlight w:val="lightGray"/>
        </w:rPr>
        <w:t>O</w:t>
      </w:r>
      <w:r w:rsidR="00CF3826" w:rsidRPr="007B195C">
        <w:rPr>
          <w:rFonts w:ascii="맑은 고딕" w:eastAsia="맑은 고딕" w:hAnsi="맑은 고딕" w:cs="맑은 고딕"/>
          <w:highlight w:val="lightGray"/>
          <w:vertAlign w:val="subscript"/>
        </w:rPr>
        <w:t>8</w:t>
      </w:r>
      <w:r w:rsidRPr="00CF3826">
        <w:rPr>
          <w:rFonts w:ascii="맑은 고딕" w:eastAsia="맑은 고딕" w:hAnsi="맑은 고딕" w:cs="맑은 고딕"/>
        </w:rPr>
        <w:t>, LiCuO</w:t>
      </w:r>
      <w:r w:rsidR="00CF3826" w:rsidRPr="00CF3826">
        <w:rPr>
          <w:rFonts w:ascii="맑은 고딕" w:eastAsia="맑은 고딕" w:hAnsi="맑은 고딕" w:cs="맑은 고딕"/>
          <w:vertAlign w:val="subscript"/>
        </w:rPr>
        <w:t>2</w:t>
      </w:r>
      <w:r w:rsidRPr="00CF3826">
        <w:rPr>
          <w:rFonts w:ascii="맑은 고딕" w:eastAsia="맑은 고딕" w:hAnsi="맑은 고딕" w:cs="맑은 고딕"/>
        </w:rPr>
        <w:t>, and Li</w:t>
      </w:r>
      <w:r w:rsidR="00CF3826" w:rsidRPr="00CF3826">
        <w:rPr>
          <w:rFonts w:ascii="맑은 고딕" w:eastAsia="맑은 고딕" w:hAnsi="맑은 고딕" w:cs="맑은 고딕"/>
          <w:vertAlign w:val="subscript"/>
        </w:rPr>
        <w:t>2</w:t>
      </w:r>
      <w:r w:rsidRPr="00CF3826">
        <w:rPr>
          <w:rFonts w:ascii="맑은 고딕" w:eastAsia="맑은 고딕" w:hAnsi="맑은 고딕" w:cs="맑은 고딕"/>
        </w:rPr>
        <w:t>Ta</w:t>
      </w:r>
      <w:r w:rsidR="00CF3826" w:rsidRPr="00CF3826">
        <w:rPr>
          <w:rFonts w:ascii="맑은 고딕" w:eastAsia="맑은 고딕" w:hAnsi="맑은 고딕" w:cs="맑은 고딕"/>
          <w:vertAlign w:val="subscript"/>
        </w:rPr>
        <w:t>4</w:t>
      </w:r>
      <w:r w:rsidRPr="00CF3826">
        <w:rPr>
          <w:rFonts w:ascii="맑은 고딕" w:eastAsia="맑은 고딕" w:hAnsi="맑은 고딕" w:cs="맑은 고딕"/>
        </w:rPr>
        <w:t>O</w:t>
      </w:r>
      <w:r w:rsidR="00CF3826" w:rsidRPr="00CF3826">
        <w:rPr>
          <w:rFonts w:ascii="맑은 고딕" w:eastAsia="맑은 고딕" w:hAnsi="맑은 고딕" w:cs="맑은 고딕"/>
          <w:vertAlign w:val="subscript"/>
        </w:rPr>
        <w:t>11</w:t>
      </w:r>
      <w:r w:rsidRPr="00CF3826">
        <w:rPr>
          <w:rFonts w:ascii="맑은 고딕" w:eastAsia="맑은 고딕" w:hAnsi="맑은 고딕" w:cs="맑은 고딕"/>
        </w:rPr>
        <w:t xml:space="preserve"> as catholytes; and </w:t>
      </w:r>
      <w:r w:rsidRPr="003D56A6">
        <w:rPr>
          <w:rFonts w:ascii="맑은 고딕" w:eastAsia="맑은 고딕" w:hAnsi="맑은 고딕" w:cs="맑은 고딕"/>
          <w:highlight w:val="lightGray"/>
        </w:rPr>
        <w:t>Li</w:t>
      </w:r>
      <w:r w:rsidR="00CF3826" w:rsidRPr="003D56A6">
        <w:rPr>
          <w:rFonts w:ascii="맑은 고딕" w:eastAsia="맑은 고딕" w:hAnsi="맑은 고딕" w:cs="맑은 고딕"/>
          <w:highlight w:val="lightGray"/>
          <w:vertAlign w:val="subscript"/>
        </w:rPr>
        <w:t>4</w:t>
      </w:r>
      <w:r w:rsidRPr="003D56A6">
        <w:rPr>
          <w:rFonts w:ascii="맑은 고딕" w:eastAsia="맑은 고딕" w:hAnsi="맑은 고딕" w:cs="맑은 고딕"/>
          <w:highlight w:val="lightGray"/>
        </w:rPr>
        <w:t>Cu</w:t>
      </w:r>
      <w:r w:rsidR="00CF3826" w:rsidRPr="003D56A6">
        <w:rPr>
          <w:rFonts w:ascii="맑은 고딕" w:eastAsia="맑은 고딕" w:hAnsi="맑은 고딕" w:cs="맑은 고딕"/>
          <w:highlight w:val="lightGray"/>
          <w:vertAlign w:val="subscript"/>
        </w:rPr>
        <w:t>4</w:t>
      </w:r>
      <w:r w:rsidRPr="003D56A6">
        <w:rPr>
          <w:rFonts w:ascii="맑은 고딕" w:eastAsia="맑은 고딕" w:hAnsi="맑은 고딕" w:cs="맑은 고딕"/>
          <w:highlight w:val="lightGray"/>
        </w:rPr>
        <w:t>O</w:t>
      </w:r>
      <w:r w:rsidR="000539F7" w:rsidRPr="003D56A6">
        <w:rPr>
          <w:rFonts w:ascii="맑은 고딕" w:eastAsia="맑은 고딕" w:hAnsi="맑은 고딕" w:cs="맑은 고딕"/>
          <w:highlight w:val="lightGray"/>
          <w:vertAlign w:val="subscript"/>
        </w:rPr>
        <w:t>8</w:t>
      </w:r>
      <w:r w:rsidR="000539F7" w:rsidRPr="00CF3826">
        <w:rPr>
          <w:rFonts w:ascii="맑은 고딕" w:eastAsia="맑은 고딕" w:hAnsi="맑은 고딕" w:cs="맑은 고딕"/>
        </w:rPr>
        <w:t xml:space="preserve"> </w:t>
      </w:r>
      <w:r w:rsidRPr="00CF3826">
        <w:rPr>
          <w:rFonts w:ascii="맑은 고딕" w:eastAsia="맑은 고딕" w:hAnsi="맑은 고딕" w:cs="맑은 고딕"/>
        </w:rPr>
        <w:t>and Li</w:t>
      </w:r>
      <w:r w:rsidR="000539F7" w:rsidRPr="00CF3826">
        <w:rPr>
          <w:rFonts w:ascii="맑은 고딕" w:eastAsia="맑은 고딕" w:hAnsi="맑은 고딕" w:cs="맑은 고딕" w:hint="eastAsia"/>
          <w:vertAlign w:val="subscript"/>
        </w:rPr>
        <w:t>1</w:t>
      </w:r>
      <w:r w:rsidR="000539F7" w:rsidRPr="00CF3826">
        <w:rPr>
          <w:rFonts w:ascii="맑은 고딕" w:eastAsia="맑은 고딕" w:hAnsi="맑은 고딕" w:cs="맑은 고딕"/>
          <w:vertAlign w:val="subscript"/>
        </w:rPr>
        <w:t>5</w:t>
      </w:r>
      <w:r w:rsidRPr="00CF3826">
        <w:rPr>
          <w:rFonts w:ascii="맑은 고딕" w:eastAsia="맑은 고딕" w:hAnsi="맑은 고딕" w:cs="맑은 고딕"/>
        </w:rPr>
        <w:t>I</w:t>
      </w:r>
      <w:r w:rsidR="000539F7" w:rsidRPr="00CF3826">
        <w:rPr>
          <w:rFonts w:ascii="맑은 고딕" w:eastAsia="맑은 고딕" w:hAnsi="맑은 고딕" w:cs="맑은 고딕" w:hint="eastAsia"/>
          <w:vertAlign w:val="subscript"/>
        </w:rPr>
        <w:t>3</w:t>
      </w:r>
      <w:r w:rsidRPr="00CF3826">
        <w:rPr>
          <w:rFonts w:ascii="맑은 고딕" w:eastAsia="맑은 고딕" w:hAnsi="맑은 고딕" w:cs="맑은 고딕"/>
        </w:rPr>
        <w:t>O</w:t>
      </w:r>
      <w:r w:rsidR="000539F7" w:rsidRPr="00CF3826">
        <w:rPr>
          <w:rFonts w:ascii="맑은 고딕" w:eastAsia="맑은 고딕" w:hAnsi="맑은 고딕" w:cs="맑은 고딕" w:hint="eastAsia"/>
          <w:vertAlign w:val="subscript"/>
        </w:rPr>
        <w:t>1</w:t>
      </w:r>
      <w:r w:rsidR="000539F7" w:rsidRPr="00CF3826">
        <w:rPr>
          <w:rFonts w:ascii="맑은 고딕" w:eastAsia="맑은 고딕" w:hAnsi="맑은 고딕" w:cs="맑은 고딕"/>
          <w:vertAlign w:val="subscript"/>
        </w:rPr>
        <w:t>8</w:t>
      </w:r>
      <w:r w:rsidRPr="00CF3826">
        <w:rPr>
          <w:rFonts w:ascii="맑은 고딕" w:eastAsia="맑은 고딕" w:hAnsi="맑은 고딕" w:cs="맑은 고딕"/>
        </w:rPr>
        <w:t xml:space="preserve"> as cathode coating materials. Particularly noteworthy here is the nomination of LiTaO</w:t>
      </w:r>
      <w:r w:rsidR="00CF3826" w:rsidRPr="00CF3826">
        <w:rPr>
          <w:rFonts w:ascii="맑은 고딕" w:eastAsia="맑은 고딕" w:hAnsi="맑은 고딕" w:cs="맑은 고딕"/>
          <w:vertAlign w:val="subscript"/>
        </w:rPr>
        <w:t>3</w:t>
      </w:r>
      <w:r w:rsidRPr="00597917">
        <w:rPr>
          <w:rFonts w:ascii="맑은 고딕" w:eastAsia="맑은 고딕" w:hAnsi="맑은 고딕" w:cs="맑은 고딕"/>
        </w:rPr>
        <w:t xml:space="preserve">. </w:t>
      </w:r>
      <w:r w:rsidR="00597917" w:rsidRPr="00597917">
        <w:rPr>
          <w:rFonts w:ascii="맑은 고딕" w:eastAsia="맑은 고딕" w:hAnsi="맑은 고딕" w:cs="맑은 고딕"/>
        </w:rPr>
        <w:t>Although bulk LiTaO</w:t>
      </w:r>
      <w:r w:rsidR="00597917" w:rsidRPr="00597917">
        <w:rPr>
          <w:rFonts w:ascii="맑은 고딕" w:eastAsia="맑은 고딕" w:hAnsi="맑은 고딕" w:cs="맑은 고딕"/>
          <w:vertAlign w:val="subscript"/>
        </w:rPr>
        <w:t>3</w:t>
      </w:r>
      <w:r w:rsidR="00597917" w:rsidRPr="00597917">
        <w:rPr>
          <w:rFonts w:ascii="맑은 고딕" w:eastAsia="맑은 고딕" w:hAnsi="맑은 고딕" w:cs="맑은 고딕"/>
        </w:rPr>
        <w:t xml:space="preserve"> has not, to our knowledge, been established as a high-performance SSE, LiTaO</w:t>
      </w:r>
      <w:r w:rsidR="00597917" w:rsidRPr="00597917">
        <w:rPr>
          <w:rFonts w:ascii="맑은 고딕" w:eastAsia="맑은 고딕" w:hAnsi="맑은 고딕" w:cs="맑은 고딕"/>
          <w:vertAlign w:val="subscript"/>
        </w:rPr>
        <w:t>3</w:t>
      </w:r>
      <w:r w:rsidR="00597917" w:rsidRPr="00597917">
        <w:rPr>
          <w:rFonts w:ascii="맑은 고딕" w:eastAsia="맑은 고딕" w:hAnsi="맑은 고딕" w:cs="맑은 고딕"/>
        </w:rPr>
        <w:t xml:space="preserve"> has previously been employed as a protective cathode coating or interfacial layer in all-solid-state batteries [</w:t>
      </w:r>
      <w:r w:rsidR="00597917" w:rsidRPr="00597917">
        <w:rPr>
          <w:rFonts w:ascii="맑은 고딕" w:eastAsia="맑은 고딕" w:hAnsi="맑은 고딕" w:cs="맑은 고딕"/>
          <w:color w:val="FF0000"/>
          <w:highlight w:val="yellow"/>
        </w:rPr>
        <w:t>refs A,B,C</w:t>
      </w:r>
      <w:r w:rsidR="00597917" w:rsidRPr="00597917">
        <w:rPr>
          <w:rFonts w:ascii="맑은 고딕" w:eastAsia="맑은 고딕" w:hAnsi="맑은 고딕" w:cs="맑은 고딕"/>
        </w:rPr>
        <w:t>].</w:t>
      </w:r>
      <w:r w:rsidRPr="00597917">
        <w:rPr>
          <w:rFonts w:ascii="맑은 고딕" w:eastAsia="맑은 고딕" w:hAnsi="맑은 고딕" w:cs="맑은 고딕"/>
        </w:rPr>
        <w:t xml:space="preserve"> </w:t>
      </w:r>
      <w:r w:rsidRPr="00CF3826">
        <w:rPr>
          <w:rFonts w:ascii="맑은 고딕" w:eastAsia="맑은 고딕" w:hAnsi="맑은 고딕" w:cs="맑은 고딕"/>
        </w:rPr>
        <w:t>That such a well-known coating material emerged from active learning is again hard to regard as mere coincidence. In any case, this too suggests that active learning operated appropriately, providing a driving force toward a known material. Moreover, beyond the known LiTaO</w:t>
      </w:r>
      <w:r w:rsidR="00CF3826" w:rsidRPr="00CF3826">
        <w:rPr>
          <w:rFonts w:ascii="맑은 고딕" w:eastAsia="맑은 고딕" w:hAnsi="맑은 고딕" w:cs="맑은 고딕"/>
          <w:vertAlign w:val="subscript"/>
        </w:rPr>
        <w:t>3</w:t>
      </w:r>
      <w:r w:rsidRPr="00CF3826">
        <w:rPr>
          <w:rFonts w:ascii="맑은 고딕" w:eastAsia="맑은 고딕" w:hAnsi="맑은 고딕" w:cs="맑은 고딕"/>
        </w:rPr>
        <w:t xml:space="preserve">, active learning also introduced a new material such as </w:t>
      </w:r>
      <w:r w:rsidR="000539F7" w:rsidRPr="00CF3826">
        <w:rPr>
          <w:rFonts w:ascii="맑은 고딕" w:eastAsia="맑은 고딕" w:hAnsi="맑은 고딕" w:cs="맑은 고딕"/>
        </w:rPr>
        <w:t>Li</w:t>
      </w:r>
      <w:r w:rsidR="00CF3826" w:rsidRPr="00CF3826">
        <w:rPr>
          <w:rFonts w:ascii="맑은 고딕" w:eastAsia="맑은 고딕" w:hAnsi="맑은 고딕" w:cs="맑은 고딕"/>
          <w:vertAlign w:val="subscript"/>
        </w:rPr>
        <w:t>2</w:t>
      </w:r>
      <w:r w:rsidR="000539F7" w:rsidRPr="00CF3826">
        <w:rPr>
          <w:rFonts w:ascii="맑은 고딕" w:eastAsia="맑은 고딕" w:hAnsi="맑은 고딕" w:cs="맑은 고딕"/>
        </w:rPr>
        <w:t>Ta</w:t>
      </w:r>
      <w:r w:rsidR="00CF3826" w:rsidRPr="00CF3826">
        <w:rPr>
          <w:rFonts w:ascii="맑은 고딕" w:eastAsia="맑은 고딕" w:hAnsi="맑은 고딕" w:cs="맑은 고딕"/>
          <w:vertAlign w:val="subscript"/>
        </w:rPr>
        <w:t>4</w:t>
      </w:r>
      <w:r w:rsidR="000539F7" w:rsidRPr="00CF3826">
        <w:rPr>
          <w:rFonts w:ascii="맑은 고딕" w:eastAsia="맑은 고딕" w:hAnsi="맑은 고딕" w:cs="맑은 고딕"/>
        </w:rPr>
        <w:t>O</w:t>
      </w:r>
      <w:r w:rsidR="00CF3826" w:rsidRPr="00CF3826">
        <w:rPr>
          <w:rFonts w:ascii="맑은 고딕" w:eastAsia="맑은 고딕" w:hAnsi="맑은 고딕" w:cs="맑은 고딕"/>
          <w:vertAlign w:val="subscript"/>
        </w:rPr>
        <w:t>11</w:t>
      </w:r>
      <w:r w:rsidRPr="00CF3826">
        <w:rPr>
          <w:rFonts w:ascii="맑은 고딕" w:eastAsia="맑은 고딕" w:hAnsi="맑은 고딕" w:cs="맑은 고딕"/>
        </w:rPr>
        <w:t xml:space="preserve">. Likewise, </w:t>
      </w:r>
      <w:r w:rsidR="000539F7" w:rsidRPr="003D56A6">
        <w:rPr>
          <w:rFonts w:ascii="맑은 고딕" w:eastAsia="맑은 고딕" w:hAnsi="맑은 고딕" w:cs="맑은 고딕"/>
          <w:highlight w:val="lightGray"/>
        </w:rPr>
        <w:t>Li</w:t>
      </w:r>
      <w:r w:rsidR="00CF3826" w:rsidRPr="003D56A6">
        <w:rPr>
          <w:rFonts w:ascii="맑은 고딕" w:eastAsia="맑은 고딕" w:hAnsi="맑은 고딕" w:cs="맑은 고딕"/>
          <w:highlight w:val="lightGray"/>
          <w:vertAlign w:val="subscript"/>
        </w:rPr>
        <w:t>4</w:t>
      </w:r>
      <w:r w:rsidR="000539F7" w:rsidRPr="003D56A6">
        <w:rPr>
          <w:rFonts w:ascii="맑은 고딕" w:eastAsia="맑은 고딕" w:hAnsi="맑은 고딕" w:cs="맑은 고딕"/>
          <w:highlight w:val="lightGray"/>
        </w:rPr>
        <w:t>Cu</w:t>
      </w:r>
      <w:r w:rsidR="00CF3826" w:rsidRPr="003D56A6">
        <w:rPr>
          <w:rFonts w:ascii="맑은 고딕" w:eastAsia="맑은 고딕" w:hAnsi="맑은 고딕" w:cs="맑은 고딕"/>
          <w:highlight w:val="lightGray"/>
          <w:vertAlign w:val="subscript"/>
        </w:rPr>
        <w:t>4</w:t>
      </w:r>
      <w:r w:rsidR="000539F7" w:rsidRPr="003D56A6">
        <w:rPr>
          <w:rFonts w:ascii="맑은 고딕" w:eastAsia="맑은 고딕" w:hAnsi="맑은 고딕" w:cs="맑은 고딕"/>
          <w:highlight w:val="lightGray"/>
        </w:rPr>
        <w:t>O</w:t>
      </w:r>
      <w:r w:rsidR="000539F7" w:rsidRPr="003D56A6">
        <w:rPr>
          <w:rFonts w:ascii="맑은 고딕" w:eastAsia="맑은 고딕" w:hAnsi="맑은 고딕" w:cs="맑은 고딕"/>
          <w:highlight w:val="lightGray"/>
          <w:vertAlign w:val="subscript"/>
        </w:rPr>
        <w:t>8</w:t>
      </w:r>
      <w:r w:rsidR="000539F7" w:rsidRPr="00CF3826">
        <w:rPr>
          <w:rFonts w:ascii="맑은 고딕" w:eastAsia="맑은 고딕" w:hAnsi="맑은 고딕" w:cs="맑은 고딕"/>
        </w:rPr>
        <w:t xml:space="preserve"> </w:t>
      </w:r>
      <w:r w:rsidRPr="00CF3826">
        <w:rPr>
          <w:rFonts w:ascii="맑은 고딕" w:eastAsia="맑은 고딕" w:hAnsi="맑은 고딕" w:cs="맑은 고딕"/>
        </w:rPr>
        <w:t xml:space="preserve">and </w:t>
      </w:r>
      <w:r w:rsidR="000539F7" w:rsidRPr="00CF3826">
        <w:rPr>
          <w:rFonts w:ascii="맑은 고딕" w:eastAsia="맑은 고딕" w:hAnsi="맑은 고딕" w:cs="맑은 고딕"/>
        </w:rPr>
        <w:t>Li</w:t>
      </w:r>
      <w:r w:rsidR="000539F7" w:rsidRPr="00CF3826">
        <w:rPr>
          <w:rFonts w:ascii="맑은 고딕" w:eastAsia="맑은 고딕" w:hAnsi="맑은 고딕" w:cs="맑은 고딕"/>
          <w:vertAlign w:val="subscript"/>
        </w:rPr>
        <w:t>5</w:t>
      </w:r>
      <w:r w:rsidR="000539F7" w:rsidRPr="00CF3826">
        <w:rPr>
          <w:rFonts w:ascii="맑은 고딕" w:eastAsia="맑은 고딕" w:hAnsi="맑은 고딕" w:cs="맑은 고딕"/>
        </w:rPr>
        <w:t>IO</w:t>
      </w:r>
      <w:r w:rsidR="007B195C">
        <w:rPr>
          <w:rFonts w:ascii="맑은 고딕" w:eastAsia="맑은 고딕" w:hAnsi="맑은 고딕" w:cs="맑은 고딕"/>
          <w:vertAlign w:val="subscript"/>
        </w:rPr>
        <w:t>6</w:t>
      </w:r>
      <w:r w:rsidRPr="00CF3826">
        <w:rPr>
          <w:rFonts w:ascii="맑은 고딕" w:eastAsia="맑은 고딕" w:hAnsi="맑은 고딕" w:cs="맑은 고딕"/>
        </w:rPr>
        <w:t xml:space="preserve"> are entirely new proposals</w:t>
      </w:r>
      <w:r w:rsidRPr="00CF3826">
        <w:rPr>
          <w:rFonts w:ascii="맑은 고딕" w:eastAsia="맑은 고딕" w:hAnsi="맑은 고딕" w:cs="맑은 고딕" w:hint="eastAsia"/>
        </w:rPr>
        <w:t>—</w:t>
      </w:r>
      <w:r w:rsidRPr="00CF3826">
        <w:rPr>
          <w:rFonts w:ascii="맑은 고딕" w:eastAsia="맑은 고딕" w:hAnsi="맑은 고딕" w:cs="맑은 고딕"/>
        </w:rPr>
        <w:t>materials that had never previously been considered as bulk SSEs, catholytes, or cathode coatings.</w:t>
      </w:r>
    </w:p>
    <w:p w:rsidR="00760D18" w:rsidRPr="00597917" w:rsidRDefault="00597917" w:rsidP="00F2490E">
      <w:pPr>
        <w:widowControl/>
        <w:wordWrap/>
        <w:autoSpaceDE/>
        <w:autoSpaceDN/>
        <w:rPr>
          <w:b/>
          <w:color w:val="FF0000"/>
          <w:sz w:val="10"/>
        </w:rPr>
      </w:pPr>
      <w:r w:rsidRPr="00597917">
        <w:rPr>
          <w:rStyle w:val="a6"/>
          <w:color w:val="FF0000"/>
          <w:sz w:val="10"/>
        </w:rPr>
        <w:t>[A]</w:t>
      </w:r>
      <w:r w:rsidRPr="00597917">
        <w:rPr>
          <w:color w:val="FF0000"/>
          <w:sz w:val="10"/>
        </w:rPr>
        <w:t xml:space="preserve"> J. S. Lee, Y. J. Park, </w:t>
      </w:r>
      <w:r w:rsidRPr="00597917">
        <w:rPr>
          <w:rStyle w:val="a7"/>
          <w:color w:val="FF0000"/>
          <w:sz w:val="10"/>
        </w:rPr>
        <w:t>ACS Appl. Mater. Interfaces</w:t>
      </w:r>
      <w:r w:rsidRPr="00597917">
        <w:rPr>
          <w:color w:val="FF0000"/>
          <w:sz w:val="10"/>
        </w:rPr>
        <w:t xml:space="preserve"> </w:t>
      </w:r>
      <w:r w:rsidRPr="00597917">
        <w:rPr>
          <w:rStyle w:val="a6"/>
          <w:color w:val="FF0000"/>
          <w:sz w:val="10"/>
        </w:rPr>
        <w:t>13</w:t>
      </w:r>
      <w:r w:rsidRPr="00597917">
        <w:rPr>
          <w:color w:val="FF0000"/>
          <w:sz w:val="10"/>
        </w:rPr>
        <w:t xml:space="preserve"> (2021) 38333–38345. DOI: </w:t>
      </w:r>
      <w:r w:rsidRPr="00597917">
        <w:rPr>
          <w:rStyle w:val="a6"/>
          <w:color w:val="FF0000"/>
          <w:sz w:val="10"/>
        </w:rPr>
        <w:t>10.1021/acsami.1c10294</w:t>
      </w:r>
      <w:r w:rsidRPr="00597917">
        <w:rPr>
          <w:color w:val="FF0000"/>
          <w:sz w:val="10"/>
        </w:rPr>
        <w:t xml:space="preserve">. </w:t>
      </w:r>
      <w:r w:rsidRPr="00597917">
        <w:rPr>
          <w:color w:val="FF0000"/>
          <w:sz w:val="10"/>
        </w:rPr>
        <w:br/>
      </w:r>
      <w:r w:rsidRPr="00597917">
        <w:rPr>
          <w:rStyle w:val="a6"/>
          <w:color w:val="FF0000"/>
          <w:sz w:val="10"/>
        </w:rPr>
        <w:t>[B]</w:t>
      </w:r>
      <w:r w:rsidRPr="00597917">
        <w:rPr>
          <w:color w:val="FF0000"/>
          <w:sz w:val="10"/>
        </w:rPr>
        <w:t xml:space="preserve"> M. J. You et al., </w:t>
      </w:r>
      <w:r w:rsidRPr="00597917">
        <w:rPr>
          <w:rStyle w:val="a7"/>
          <w:color w:val="FF0000"/>
          <w:sz w:val="10"/>
        </w:rPr>
        <w:t>Chem. Eng. J.</w:t>
      </w:r>
      <w:r w:rsidRPr="00597917">
        <w:rPr>
          <w:color w:val="FF0000"/>
          <w:sz w:val="10"/>
        </w:rPr>
        <w:t xml:space="preserve"> </w:t>
      </w:r>
      <w:r w:rsidRPr="00597917">
        <w:rPr>
          <w:rStyle w:val="a6"/>
          <w:color w:val="FF0000"/>
          <w:sz w:val="10"/>
        </w:rPr>
        <w:t>483</w:t>
      </w:r>
      <w:r w:rsidRPr="00597917">
        <w:rPr>
          <w:color w:val="FF0000"/>
          <w:sz w:val="10"/>
        </w:rPr>
        <w:t xml:space="preserve"> (2024) 149199. DOI: </w:t>
      </w:r>
      <w:r w:rsidRPr="00597917">
        <w:rPr>
          <w:rStyle w:val="a6"/>
          <w:color w:val="FF0000"/>
          <w:sz w:val="10"/>
        </w:rPr>
        <w:t>10.1016/j.cej.2024.149199</w:t>
      </w:r>
      <w:r w:rsidRPr="00597917">
        <w:rPr>
          <w:color w:val="FF0000"/>
          <w:sz w:val="10"/>
        </w:rPr>
        <w:t xml:space="preserve">. </w:t>
      </w:r>
      <w:r w:rsidRPr="00597917">
        <w:rPr>
          <w:color w:val="FF0000"/>
          <w:sz w:val="10"/>
        </w:rPr>
        <w:br/>
      </w:r>
      <w:r w:rsidRPr="00597917">
        <w:rPr>
          <w:rStyle w:val="a6"/>
          <w:color w:val="FF0000"/>
          <w:sz w:val="10"/>
        </w:rPr>
        <w:t>[C]</w:t>
      </w:r>
      <w:r w:rsidRPr="00597917">
        <w:rPr>
          <w:color w:val="FF0000"/>
          <w:sz w:val="10"/>
        </w:rPr>
        <w:t xml:space="preserve"> K.-S. Kim et al., </w:t>
      </w:r>
      <w:r w:rsidRPr="00597917">
        <w:rPr>
          <w:rStyle w:val="a7"/>
          <w:color w:val="FF0000"/>
          <w:sz w:val="10"/>
        </w:rPr>
        <w:t>Electrochim. Acta</w:t>
      </w:r>
      <w:r w:rsidRPr="00597917">
        <w:rPr>
          <w:color w:val="FF0000"/>
          <w:sz w:val="10"/>
        </w:rPr>
        <w:t xml:space="preserve"> </w:t>
      </w:r>
      <w:r w:rsidRPr="00597917">
        <w:rPr>
          <w:rStyle w:val="a6"/>
          <w:color w:val="FF0000"/>
          <w:sz w:val="10"/>
        </w:rPr>
        <w:t>490</w:t>
      </w:r>
      <w:r w:rsidRPr="00597917">
        <w:rPr>
          <w:color w:val="FF0000"/>
          <w:sz w:val="10"/>
        </w:rPr>
        <w:t xml:space="preserve"> (2024) 144312. DOI: </w:t>
      </w:r>
      <w:r w:rsidRPr="00597917">
        <w:rPr>
          <w:rStyle w:val="a6"/>
          <w:color w:val="FF0000"/>
          <w:sz w:val="10"/>
        </w:rPr>
        <w:t>10.1016/j.electacta.2024.144312</w:t>
      </w:r>
      <w:r w:rsidRPr="00597917">
        <w:rPr>
          <w:color w:val="FF0000"/>
          <w:sz w:val="10"/>
        </w:rPr>
        <w:t>.</w:t>
      </w:r>
    </w:p>
    <w:p w:rsidR="00A85CA5" w:rsidRPr="00F2490E" w:rsidRDefault="00A85CA5" w:rsidP="00A85CA5">
      <w:pPr>
        <w:widowControl/>
        <w:wordWrap/>
        <w:autoSpaceDE/>
        <w:autoSpaceDN/>
        <w:rPr>
          <w:b/>
        </w:rPr>
      </w:pPr>
      <w:r w:rsidRPr="00F2490E">
        <w:rPr>
          <w:b/>
        </w:rPr>
        <w:t>3.</w:t>
      </w:r>
      <w:r>
        <w:rPr>
          <w:b/>
        </w:rPr>
        <w:t>4</w:t>
      </w:r>
      <w:r w:rsidRPr="00F2490E">
        <w:rPr>
          <w:b/>
        </w:rPr>
        <w:t xml:space="preserve">. </w:t>
      </w:r>
      <w:r w:rsidR="003F49F5" w:rsidRPr="003F49F5">
        <w:rPr>
          <w:b/>
        </w:rPr>
        <w:t>Dataset-Dependent Active-Learning Performance</w:t>
      </w:r>
    </w:p>
    <w:p w:rsidR="00A85CA5" w:rsidRDefault="00BB1FCA" w:rsidP="00A85CA5">
      <w:pPr>
        <w:widowControl/>
        <w:wordWrap/>
        <w:autoSpaceDE/>
        <w:autoSpaceDN/>
      </w:pPr>
      <w:r>
        <w:t>At a glance, the present active-learning campaign can be summarized simply: it worked well on the GNoME dataset but did not on the MP dataset.</w:t>
      </w:r>
      <w:r w:rsidR="00A85CA5">
        <w:t xml:space="preserve"> Although the two preceding subsections have already outlined this contrast, we revisit it here in greater depth to examine what underlies each outcome. The point that truly deserves attention is that the GNoME dataset, by construction, contains not a single one of the existing MP entries; it consists exclusively of entirely new compounds. Consequently, not one of the conventionally known SSEs is present in this pool. The bulk SSEs, catholytes, and cathode coating materials newly identified from such a pool therefore carry substantial value in terms of novelty.</w:t>
      </w:r>
    </w:p>
    <w:p w:rsidR="00A85CA5" w:rsidRDefault="00A85CA5" w:rsidP="00A85CA5">
      <w:pPr>
        <w:widowControl/>
        <w:wordWrap/>
        <w:autoSpaceDE/>
        <w:autoSpaceDN/>
        <w:ind w:firstLine="800"/>
      </w:pPr>
      <w:r>
        <w:t>The MP dataset, by contrast, contains virtually all of the SSEs known to the community. For this reason, as noted above, we deliberately removed all of these known SSE entries before initiating active learning. While this removal is not the direct cause of the failure, it nonetheless made it difficult to hold high expectations from the outset. Beyond this, we believe a deeper reflection on Bayesian optimization (BO) is warranted. The prevailing tendency to place blind faith in BO is itself problematic. BO is a tool that works on top of a descriptor over which the surrogate can actually predict the objective function, and only when the search budget is sufficient; it does not perform magic when applied to an arbitrary space [</w:t>
      </w:r>
      <w:r w:rsidRPr="00233083">
        <w:rPr>
          <w:highlight w:val="yellow"/>
        </w:rPr>
        <w:t>ref</w:t>
      </w:r>
      <w:r>
        <w:t>].</w:t>
      </w:r>
    </w:p>
    <w:p w:rsidR="00A85CA5" w:rsidRDefault="00A85CA5" w:rsidP="00233083">
      <w:pPr>
        <w:widowControl/>
        <w:wordWrap/>
        <w:autoSpaceDE/>
        <w:autoSpaceDN/>
        <w:ind w:firstLine="800"/>
      </w:pPr>
      <w:r>
        <w:lastRenderedPageBreak/>
        <w:t>The MP search space, having already been combed through exhaustively by numerous predecessors, is not a particularly favorable ground for the discovery of new materials. Moreover, considering that several research groups [</w:t>
      </w:r>
      <w:r w:rsidRPr="00A85CA5">
        <w:rPr>
          <w:highlight w:val="yellow"/>
        </w:rPr>
        <w:t>ref</w:t>
      </w:r>
      <w:r>
        <w:t>] have already completed screening campaigns specifically targeting SSEs, the fact that the present study nonetheless recommended even a handful of candidates from the MP dataset is modestly noteworthy. Here it should be clarified that "failure" refers specifically to the active-learning dynamics—namely, that the process did not improve upon the randomly sampled initial generation—and not to the worth of the resulting candidates; the nominated MP compounds remain legitimate recommendations in their own right.</w:t>
      </w:r>
    </w:p>
    <w:p w:rsidR="00A85CA5" w:rsidRDefault="00A85CA5" w:rsidP="00A85CA5">
      <w:pPr>
        <w:widowControl/>
        <w:wordWrap/>
        <w:autoSpaceDE/>
        <w:autoSpaceDN/>
        <w:ind w:firstLine="800"/>
      </w:pPr>
      <w:r>
        <w:t xml:space="preserve">It should further be emphasized that BO-based active learning of this kind frequently involves objective-function evaluations that are extremely expensive, which renders baseline comparisons through repeated benchmark runs far from straightforward. In our own case, properly evaluating the MSD@600 of a single sample takes on the order of </w:t>
      </w:r>
      <w:r w:rsidR="00636869">
        <w:rPr>
          <w:b/>
          <w:color w:val="FF0000"/>
          <w:highlight w:val="yellow"/>
        </w:rPr>
        <w:t>5</w:t>
      </w:r>
      <w:r w:rsidRPr="006E27A8">
        <w:rPr>
          <w:b/>
          <w:color w:val="FF0000"/>
          <w:highlight w:val="yellow"/>
        </w:rPr>
        <w:t xml:space="preserve"> to 1</w:t>
      </w:r>
      <w:r w:rsidR="00636869">
        <w:rPr>
          <w:b/>
          <w:color w:val="FF0000"/>
          <w:highlight w:val="yellow"/>
        </w:rPr>
        <w:t>5</w:t>
      </w:r>
      <w:r w:rsidRPr="006E27A8">
        <w:rPr>
          <w:b/>
          <w:color w:val="FF0000"/>
          <w:highlight w:val="yellow"/>
        </w:rPr>
        <w:t>0 hours</w:t>
      </w:r>
      <w:r>
        <w:t>. A close investigation into the precise cause of the failed active-learning process on the MP dataset is therefore effectively infeasible.</w:t>
      </w:r>
    </w:p>
    <w:p w:rsidR="00A85CA5" w:rsidRDefault="00BB1FCA" w:rsidP="00A85CA5">
      <w:pPr>
        <w:widowControl/>
        <w:wordWrap/>
        <w:autoSpaceDE/>
        <w:autoSpaceDN/>
        <w:ind w:firstLine="800"/>
      </w:pPr>
      <w:r>
        <w:t>Even so, it is worth noting that active learning operated effectively on the GNoME dataset, enabling an efficient search for SSE candidates and yielding a small number of promising novel materials. Given how difficult novel-material discovery has become, we regard this as a meaningful outcome of the present work.</w:t>
      </w:r>
    </w:p>
    <w:p w:rsidR="00A85CA5" w:rsidRDefault="00A85CA5" w:rsidP="00A85CA5">
      <w:pPr>
        <w:widowControl/>
        <w:wordWrap/>
        <w:autoSpaceDE/>
        <w:autoSpaceDN/>
      </w:pPr>
    </w:p>
    <w:p w:rsidR="00F2490E" w:rsidRPr="00F2490E" w:rsidRDefault="00F2490E" w:rsidP="00F2490E">
      <w:pPr>
        <w:widowControl/>
        <w:wordWrap/>
        <w:autoSpaceDE/>
        <w:autoSpaceDN/>
        <w:rPr>
          <w:b/>
        </w:rPr>
      </w:pPr>
      <w:r w:rsidRPr="00F2490E">
        <w:rPr>
          <w:b/>
        </w:rPr>
        <w:t>3.</w:t>
      </w:r>
      <w:r w:rsidR="00760D18">
        <w:rPr>
          <w:b/>
        </w:rPr>
        <w:t>5</w:t>
      </w:r>
      <w:r w:rsidRPr="00F2490E">
        <w:rPr>
          <w:b/>
        </w:rPr>
        <w:t xml:space="preserve">. </w:t>
      </w:r>
      <w:r w:rsidR="003F49F5" w:rsidRPr="003F49F5">
        <w:rPr>
          <w:b/>
        </w:rPr>
        <w:t>Limitations of the Objective Functions and Computational Screening</w:t>
      </w:r>
    </w:p>
    <w:p w:rsidR="008C7694" w:rsidRPr="008C7694" w:rsidRDefault="008C7694" w:rsidP="008C7694">
      <w:pPr>
        <w:widowControl/>
        <w:wordWrap/>
        <w:autoSpaceDE/>
        <w:autoSpaceDN/>
      </w:pPr>
      <w:r w:rsidRPr="008C7694">
        <w:t>We openly acknowledge that several factors were not considered in this work, including electronic conductivity, dendrite formation, volume change and mechanical stability, and decomposition of the solid electrolyte (SE) at the current-collector/SE and carbon/SE interfaces, among others. As in prior studies [</w:t>
      </w:r>
      <w:r w:rsidRPr="009352D6">
        <w:rPr>
          <w:highlight w:val="yellow"/>
        </w:rPr>
        <w:t>ref</w:t>
      </w:r>
      <w:r w:rsidRPr="008C7694">
        <w:t>], however, we declare these multifaceted problems to be outside the scope of the present work.</w:t>
      </w:r>
    </w:p>
    <w:p w:rsidR="008C7694" w:rsidRPr="00CF3826" w:rsidRDefault="008C7694" w:rsidP="008C7694">
      <w:pPr>
        <w:widowControl/>
        <w:wordWrap/>
        <w:autoSpaceDE/>
        <w:autoSpaceDN/>
        <w:ind w:firstLine="800"/>
        <w:rPr>
          <w:rFonts w:ascii="맑은 고딕" w:eastAsia="맑은 고딕" w:hAnsi="맑은 고딕" w:cs="맑은 고딕"/>
        </w:rPr>
      </w:pPr>
      <w:r w:rsidRPr="00CF3826">
        <w:rPr>
          <w:rFonts w:ascii="맑은 고딕" w:eastAsia="맑은 고딕" w:hAnsi="맑은 고딕" w:cs="맑은 고딕"/>
        </w:rPr>
        <w:t xml:space="preserve">More importantly, there is a key issue that must be addressed, particularly with regard to the MP dataset: it contains essentially all of the previously reported, well-regarded SSEs. Among these, several that drew our attention are </w:t>
      </w:r>
      <w:r w:rsidR="009352D6" w:rsidRPr="00CF3826">
        <w:rPr>
          <w:rFonts w:ascii="맑은 고딕" w:eastAsia="맑은 고딕" w:hAnsi="맑은 고딕" w:cs="맑은 고딕"/>
        </w:rPr>
        <w:t>LGPS, Li</w:t>
      </w:r>
      <w:r w:rsidR="009352D6" w:rsidRPr="00CF3826">
        <w:rPr>
          <w:rFonts w:ascii="맑은 고딕" w:eastAsia="맑은 고딕" w:hAnsi="맑은 고딕" w:cs="맑은 고딕"/>
          <w:vertAlign w:val="subscript"/>
        </w:rPr>
        <w:t>3</w:t>
      </w:r>
      <w:r w:rsidR="009352D6" w:rsidRPr="00CF3826">
        <w:rPr>
          <w:rFonts w:ascii="맑은 고딕" w:eastAsia="맑은 고딕" w:hAnsi="맑은 고딕" w:cs="맑은 고딕"/>
        </w:rPr>
        <w:t>PS</w:t>
      </w:r>
      <w:r w:rsidR="009352D6" w:rsidRPr="00CF3826">
        <w:rPr>
          <w:rFonts w:ascii="맑은 고딕" w:eastAsia="맑은 고딕" w:hAnsi="맑은 고딕" w:cs="맑은 고딕"/>
          <w:vertAlign w:val="subscript"/>
        </w:rPr>
        <w:t>4</w:t>
      </w:r>
      <w:r w:rsidR="009352D6" w:rsidRPr="00CF3826">
        <w:rPr>
          <w:rFonts w:ascii="맑은 고딕" w:eastAsia="맑은 고딕" w:hAnsi="맑은 고딕" w:cs="맑은 고딕"/>
        </w:rPr>
        <w:t>, Li</w:t>
      </w:r>
      <w:r w:rsidR="009352D6" w:rsidRPr="00CF3826">
        <w:rPr>
          <w:rFonts w:ascii="맑은 고딕" w:eastAsia="맑은 고딕" w:hAnsi="맑은 고딕" w:cs="맑은 고딕"/>
          <w:vertAlign w:val="subscript"/>
        </w:rPr>
        <w:t>7</w:t>
      </w:r>
      <w:r w:rsidR="009352D6" w:rsidRPr="00CF3826">
        <w:rPr>
          <w:rFonts w:ascii="맑은 고딕" w:eastAsia="맑은 고딕" w:hAnsi="맑은 고딕" w:cs="맑은 고딕"/>
        </w:rPr>
        <w:t>P</w:t>
      </w:r>
      <w:r w:rsidR="009352D6" w:rsidRPr="00CF3826">
        <w:rPr>
          <w:rFonts w:ascii="맑은 고딕" w:eastAsia="맑은 고딕" w:hAnsi="맑은 고딕" w:cs="맑은 고딕"/>
          <w:vertAlign w:val="subscript"/>
        </w:rPr>
        <w:t>3</w:t>
      </w:r>
      <w:r w:rsidR="009352D6" w:rsidRPr="00CF3826">
        <w:rPr>
          <w:rFonts w:ascii="맑은 고딕" w:eastAsia="맑은 고딕" w:hAnsi="맑은 고딕" w:cs="맑은 고딕"/>
        </w:rPr>
        <w:t>S</w:t>
      </w:r>
      <w:r w:rsidR="009352D6" w:rsidRPr="00CF3826">
        <w:rPr>
          <w:rFonts w:ascii="맑은 고딕" w:eastAsia="맑은 고딕" w:hAnsi="맑은 고딕" w:cs="맑은 고딕"/>
          <w:vertAlign w:val="subscript"/>
        </w:rPr>
        <w:t>11</w:t>
      </w:r>
      <w:r w:rsidRPr="00CF3826">
        <w:rPr>
          <w:rFonts w:ascii="맑은 고딕" w:eastAsia="맑은 고딕" w:hAnsi="맑은 고딕" w:cs="맑은 고딕"/>
        </w:rPr>
        <w:t>, and the argyrodites. For these, we separately computed our predefined objective functions (E</w:t>
      </w:r>
      <w:r w:rsidRPr="00CF3826">
        <w:rPr>
          <w:rFonts w:ascii="맑은 고딕" w:eastAsia="맑은 고딕" w:hAnsi="맑은 고딕" w:cs="맑은 고딕"/>
          <w:vertAlign w:val="subscript"/>
        </w:rPr>
        <w:t>cat</w:t>
      </w:r>
      <w:r w:rsidRPr="00CF3826">
        <w:rPr>
          <w:rFonts w:ascii="맑은 고딕" w:eastAsia="맑은 고딕" w:hAnsi="맑은 고딕" w:cs="맑은 고딕"/>
        </w:rPr>
        <w:t xml:space="preserve">, ESW, and MSD@600), with the results provided in Supplementary </w:t>
      </w:r>
      <w:r w:rsidRPr="00CF3826">
        <w:rPr>
          <w:rFonts w:ascii="맑은 고딕" w:eastAsia="맑은 고딕" w:hAnsi="맑은 고딕" w:cs="맑은 고딕"/>
          <w:b/>
        </w:rPr>
        <w:t>Table S</w:t>
      </w:r>
      <w:r w:rsidR="00770F0A" w:rsidRPr="00CF3826">
        <w:rPr>
          <w:rFonts w:ascii="맑은 고딕" w:eastAsia="맑은 고딕" w:hAnsi="맑은 고딕" w:cs="맑은 고딕"/>
          <w:b/>
        </w:rPr>
        <w:t>2</w:t>
      </w:r>
      <w:r w:rsidRPr="00CF3826">
        <w:rPr>
          <w:rFonts w:ascii="맑은 고딕" w:eastAsia="맑은 고딕" w:hAnsi="맑은 고딕" w:cs="맑은 고딕"/>
        </w:rPr>
        <w:t xml:space="preserve">. The most problematic quantity here is </w:t>
      </w:r>
      <w:r w:rsidR="00170B9B" w:rsidRPr="00CF3826">
        <w:rPr>
          <w:rFonts w:ascii="맑은 고딕" w:eastAsia="맑은 고딕" w:hAnsi="맑은 고딕" w:cs="맑은 고딕"/>
        </w:rPr>
        <w:t>E</w:t>
      </w:r>
      <w:r w:rsidR="00170B9B" w:rsidRPr="00CF3826">
        <w:rPr>
          <w:rFonts w:ascii="맑은 고딕" w:eastAsia="맑은 고딕" w:hAnsi="맑은 고딕" w:cs="맑은 고딕"/>
          <w:vertAlign w:val="subscript"/>
        </w:rPr>
        <w:t>cat</w:t>
      </w:r>
      <w:r w:rsidRPr="00CF3826">
        <w:rPr>
          <w:rFonts w:ascii="맑은 고딕" w:eastAsia="맑은 고딕" w:hAnsi="맑은 고딕" w:cs="맑은 고딕"/>
        </w:rPr>
        <w:t>. These known SSEs all exhibit E</w:t>
      </w:r>
      <w:r w:rsidRPr="00CF3826">
        <w:rPr>
          <w:rFonts w:ascii="맑은 고딕" w:eastAsia="맑은 고딕" w:hAnsi="맑은 고딕" w:cs="맑은 고딕"/>
          <w:vertAlign w:val="subscript"/>
        </w:rPr>
        <w:t>cat</w:t>
      </w:r>
      <w:r w:rsidRPr="00CF3826">
        <w:rPr>
          <w:rFonts w:ascii="맑은 고딕" w:eastAsia="맑은 고딕" w:hAnsi="맑은 고딕" w:cs="맑은 고딕"/>
        </w:rPr>
        <w:t xml:space="preserve"> values on the order of several </w:t>
      </w:r>
      <w:r w:rsidRPr="00CF3826">
        <w:rPr>
          <w:rFonts w:ascii="맑은 고딕" w:eastAsia="맑은 고딕" w:hAnsi="맑은 고딕" w:cs="맑은 고딕"/>
          <w:color w:val="FF0000"/>
          <w:highlight w:val="yellow"/>
        </w:rPr>
        <w:t>hundred meV/atom</w:t>
      </w:r>
      <w:r w:rsidRPr="00CF3826">
        <w:rPr>
          <w:rFonts w:ascii="맑은 고딕" w:eastAsia="맑은 고딕" w:hAnsi="맑은 고딕" w:cs="맑은 고딕"/>
        </w:rPr>
        <w:t xml:space="preserve">, which is generally a very unfavorable condition when compared with the other values obtained from our active learning. Furthermore, their ESW values are all around 0.4–0.6 V, likewise a level that would not be welcomed in our active-learning framework. For MSD@600, however, satisfactory values were obtained for all </w:t>
      </w:r>
      <w:r w:rsidRPr="00CF3826">
        <w:rPr>
          <w:rFonts w:ascii="맑은 고딕" w:eastAsia="맑은 고딕" w:hAnsi="맑은 고딕" w:cs="맑은 고딕"/>
        </w:rPr>
        <w:lastRenderedPageBreak/>
        <w:t>of these SSEs. Rather than merely conceding that the objective functions other than MSD@600 are problematic, this result serves as direct evidence supporting the validity and representativeness of our chosen MSD@600 metric.</w:t>
      </w:r>
    </w:p>
    <w:p w:rsidR="008C7694" w:rsidRPr="008C7694" w:rsidRDefault="008C7694" w:rsidP="008C7694">
      <w:pPr>
        <w:widowControl/>
        <w:wordWrap/>
        <w:autoSpaceDE/>
        <w:autoSpaceDN/>
        <w:ind w:firstLine="800"/>
      </w:pPr>
      <w:r w:rsidRPr="008C7694">
        <w:t xml:space="preserve">Unlike MSD@600, whose validity is thus substantiated, our approach of simply maximizing ESW and minimizing </w:t>
      </w:r>
      <w:r>
        <w:t>E</w:t>
      </w:r>
      <w:r w:rsidRPr="00D108D1">
        <w:rPr>
          <w:vertAlign w:val="subscript"/>
        </w:rPr>
        <w:t>cat</w:t>
      </w:r>
      <w:r w:rsidRPr="008C7694">
        <w:t xml:space="preserve"> cannot, strictly speaking, be regarded as flawless. For example, although our active learning blindly maximizes ESW, this maximization becomes meaningless if one assumes the formation of a promising solid electrolyte interphase (SEI)</w:t>
      </w:r>
      <w:r w:rsidR="00312100">
        <w:t xml:space="preserve"> [</w:t>
      </w:r>
      <w:r w:rsidR="00312100" w:rsidRPr="00312100">
        <w:rPr>
          <w:color w:val="FF0000"/>
          <w:sz w:val="12"/>
          <w:highlight w:val="yellow"/>
        </w:rPr>
        <w:t>Buried no longer: recent computational advances in explicit interfacial modeling of lithium-based all-solid-state battery materials" — Julia H. Yang 등, J. Energy Chem. 106, 911 (2025)</w:t>
      </w:r>
      <w:r w:rsidR="00312100">
        <w:t>]</w:t>
      </w:r>
      <w:r w:rsidRPr="008C7694">
        <w:t xml:space="preserve">. The same holds for </w:t>
      </w:r>
      <w:r>
        <w:t>E</w:t>
      </w:r>
      <w:r w:rsidRPr="00D108D1">
        <w:rPr>
          <w:vertAlign w:val="subscript"/>
        </w:rPr>
        <w:t>cat</w:t>
      </w:r>
      <w:r w:rsidRPr="008C7694">
        <w:t xml:space="preserve">: we must concede that its simple minimization is likewise pointless under such circumstances. That is, if a desirable </w:t>
      </w:r>
      <w:r w:rsidR="00170B9B">
        <w:t xml:space="preserve">passive </w:t>
      </w:r>
      <w:r w:rsidRPr="008C7694">
        <w:t xml:space="preserve">SEI layer forms through reaction with the cathode, </w:t>
      </w:r>
      <w:r w:rsidR="00170B9B">
        <w:t>it</w:t>
      </w:r>
      <w:r w:rsidRPr="008C7694">
        <w:t xml:space="preserve"> fundamentally undermines the guiding philosophy of our active learning, which blindly pursues the minimization of </w:t>
      </w:r>
      <w:r>
        <w:t>E</w:t>
      </w:r>
      <w:r w:rsidRPr="00D108D1">
        <w:rPr>
          <w:vertAlign w:val="subscript"/>
        </w:rPr>
        <w:t>cat</w:t>
      </w:r>
      <w:r w:rsidRPr="008C7694">
        <w:t>. We therefore acknowledge that the blindness and dogmatism of our objective-function setting constitute the greatest risk of our approach.</w:t>
      </w:r>
    </w:p>
    <w:p w:rsidR="008C7694" w:rsidRPr="008C7694" w:rsidRDefault="008C7694" w:rsidP="008C7694">
      <w:pPr>
        <w:widowControl/>
        <w:wordWrap/>
        <w:autoSpaceDE/>
        <w:autoSpaceDN/>
        <w:ind w:firstLine="800"/>
      </w:pPr>
      <w:r w:rsidRPr="008C7694">
        <w:t>On the other hand, we would also argue that this principled objective-function setting is not without merit. Even such an idealized, naïve approach carries meaning within a fundamental theoretical (computational) framework: its direction is not, in itself, wrong. The problem is the absence of such ideal materials, not the theoretical pursuit of an ideal. In other words, our position is that a material exhibiting no reaction whatsoever with the cathode and a very large ESW would, if it existed, be the best possible outcome. Moreover, although we initially performed active learning with this naïve objective-function setting, we subsequently re-selected the resulting candidates for each specific use case—bulk SSEs, catholytes, and cathode coating materials—through a reasonable weighting strategy. In doing so, we present an improved scheme in which the outcomes of an active-learning run that began naïvely, grounded in idealism, are rearranged on the basis of practicality to identify appropriate materials.</w:t>
      </w:r>
    </w:p>
    <w:p w:rsidR="00690E0F" w:rsidRPr="008C7694" w:rsidRDefault="008C7694" w:rsidP="008C7694">
      <w:pPr>
        <w:widowControl/>
        <w:wordWrap/>
        <w:autoSpaceDE/>
        <w:autoSpaceDN/>
        <w:ind w:firstLine="800"/>
      </w:pPr>
      <w:r w:rsidRPr="008C7694">
        <w:t>Although we relied here on a naïve objective-function setting followed by a heuristic weighting strategy, our future plan is to investigate all interfacial species generated through reaction with the cathode, to develop a descriptor that can systematically indicate whether these species can form a passivating SEI, and to incorporate this descriptor as an objective function in active learning. A new approach toward this goal is currently underway and will be reported separately in the near future.</w:t>
      </w:r>
    </w:p>
    <w:p w:rsidR="008C7694" w:rsidRDefault="008C7694" w:rsidP="008C7694">
      <w:pPr>
        <w:widowControl/>
        <w:wordWrap/>
        <w:autoSpaceDE/>
        <w:autoSpaceDN/>
      </w:pPr>
    </w:p>
    <w:p w:rsidR="00690E0F" w:rsidRPr="00F2490E" w:rsidRDefault="003F49F5" w:rsidP="00690E0F">
      <w:pPr>
        <w:widowControl/>
        <w:wordWrap/>
        <w:autoSpaceDE/>
        <w:autoSpaceDN/>
        <w:rPr>
          <w:b/>
        </w:rPr>
      </w:pPr>
      <w:r w:rsidRPr="003F49F5">
        <w:rPr>
          <w:b/>
        </w:rPr>
        <w:t>3.6. Experimental Validation of Selected Candidates</w:t>
      </w:r>
    </w:p>
    <w:p w:rsidR="00A26AFF" w:rsidRDefault="00237094" w:rsidP="00A26AFF">
      <w:pPr>
        <w:widowControl/>
        <w:wordWrap/>
        <w:autoSpaceDE/>
        <w:autoSpaceDN/>
        <w:ind w:firstLine="800"/>
        <w:rPr>
          <w:rFonts w:ascii="맑은 고딕" w:eastAsia="맑은 고딕" w:hAnsi="맑은 고딕" w:cs="맑은 고딕"/>
          <w:color w:val="FF0000"/>
        </w:rPr>
      </w:pPr>
      <w:r w:rsidRPr="00237094">
        <w:rPr>
          <w:rFonts w:ascii="맑은 고딕" w:eastAsia="맑은 고딕" w:hAnsi="맑은 고딕" w:cs="맑은 고딕"/>
          <w:color w:val="FF0000"/>
        </w:rPr>
        <w:t>Computational predictions must ultimately be verified by experiment, and we regard this verification as an essential part of the present study.</w:t>
      </w:r>
      <w:r>
        <w:rPr>
          <w:rFonts w:ascii="맑은 고딕" w:eastAsia="맑은 고딕" w:hAnsi="맑은 고딕" w:cs="맑은 고딕"/>
          <w:color w:val="FF0000"/>
        </w:rPr>
        <w:t xml:space="preserve"> </w:t>
      </w:r>
      <w:r w:rsidR="00106331" w:rsidRPr="00106331">
        <w:rPr>
          <w:rFonts w:ascii="맑은 고딕" w:eastAsia="맑은 고딕" w:hAnsi="맑은 고딕" w:cs="맑은 고딕"/>
          <w:color w:val="FF0000"/>
        </w:rPr>
        <w:t xml:space="preserve">We therefore assessed all nominated candidates </w:t>
      </w:r>
      <w:r w:rsidR="00106331" w:rsidRPr="00106331">
        <w:rPr>
          <w:rFonts w:ascii="맑은 고딕" w:eastAsia="맑은 고딕" w:hAnsi="맑은 고딕" w:cs="맑은 고딕"/>
          <w:color w:val="FF0000"/>
        </w:rPr>
        <w:lastRenderedPageBreak/>
        <w:t xml:space="preserve">for synthetic accessibility and carried the two most </w:t>
      </w:r>
      <w:r w:rsidR="00106331">
        <w:rPr>
          <w:rFonts w:ascii="맑은 고딕" w:eastAsia="맑은 고딕" w:hAnsi="맑은 고딕" w:cs="맑은 고딕"/>
          <w:color w:val="FF0000"/>
        </w:rPr>
        <w:t>unprecedented</w:t>
      </w:r>
      <w:r w:rsidR="00106331" w:rsidRPr="00106331">
        <w:rPr>
          <w:rFonts w:ascii="맑은 고딕" w:eastAsia="맑은 고딕" w:hAnsi="맑은 고딕" w:cs="맑은 고딕"/>
          <w:color w:val="FF0000"/>
        </w:rPr>
        <w:t>—Li</w:t>
      </w:r>
      <w:r w:rsidR="00106331" w:rsidRPr="00106331">
        <w:rPr>
          <w:rFonts w:ascii="맑은 고딕" w:eastAsia="맑은 고딕" w:hAnsi="맑은 고딕" w:cs="맑은 고딕"/>
          <w:color w:val="FF0000"/>
          <w:vertAlign w:val="subscript"/>
        </w:rPr>
        <w:t>6</w:t>
      </w:r>
      <w:r w:rsidR="00106331" w:rsidRPr="00106331">
        <w:rPr>
          <w:rFonts w:ascii="맑은 고딕" w:eastAsia="맑은 고딕" w:hAnsi="맑은 고딕" w:cs="맑은 고딕"/>
          <w:color w:val="FF0000"/>
        </w:rPr>
        <w:t>Ca</w:t>
      </w:r>
      <w:r w:rsidR="00106331" w:rsidRPr="00106331">
        <w:rPr>
          <w:rFonts w:ascii="맑은 고딕" w:eastAsia="맑은 고딕" w:hAnsi="맑은 고딕" w:cs="맑은 고딕"/>
          <w:color w:val="FF0000"/>
          <w:vertAlign w:val="subscript"/>
        </w:rPr>
        <w:t>6</w:t>
      </w:r>
      <w:r w:rsidR="00106331" w:rsidRPr="00106331">
        <w:rPr>
          <w:rFonts w:ascii="맑은 고딕" w:eastAsia="맑은 고딕" w:hAnsi="맑은 고딕" w:cs="맑은 고딕"/>
          <w:color w:val="FF0000"/>
        </w:rPr>
        <w:t>AsP</w:t>
      </w:r>
      <w:r w:rsidR="00106331" w:rsidRPr="00106331">
        <w:rPr>
          <w:rFonts w:ascii="맑은 고딕" w:eastAsia="맑은 고딕" w:hAnsi="맑은 고딕" w:cs="맑은 고딕"/>
          <w:color w:val="FF0000"/>
          <w:vertAlign w:val="subscript"/>
        </w:rPr>
        <w:t>5</w:t>
      </w:r>
      <w:r w:rsidR="00106331" w:rsidRPr="00106331">
        <w:rPr>
          <w:rFonts w:ascii="맑은 고딕" w:eastAsia="맑은 고딕" w:hAnsi="맑은 고딕" w:cs="맑은 고딕"/>
          <w:color w:val="FF0000"/>
        </w:rPr>
        <w:t>O</w:t>
      </w:r>
      <w:r w:rsidR="00106331" w:rsidRPr="00106331">
        <w:rPr>
          <w:rFonts w:ascii="맑은 고딕" w:eastAsia="맑은 고딕" w:hAnsi="맑은 고딕" w:cs="맑은 고딕"/>
          <w:color w:val="FF0000"/>
          <w:vertAlign w:val="subscript"/>
        </w:rPr>
        <w:t>24</w:t>
      </w:r>
      <w:r w:rsidR="00106331" w:rsidRPr="00106331">
        <w:rPr>
          <w:rFonts w:ascii="맑은 고딕" w:eastAsia="맑은 고딕" w:hAnsi="맑은 고딕" w:cs="맑은 고딕"/>
          <w:color w:val="FF0000"/>
        </w:rPr>
        <w:t xml:space="preserve"> and Li</w:t>
      </w:r>
      <w:r w:rsidR="00106331" w:rsidRPr="00106331">
        <w:rPr>
          <w:rFonts w:ascii="맑은 고딕" w:eastAsia="맑은 고딕" w:hAnsi="맑은 고딕" w:cs="맑은 고딕"/>
          <w:color w:val="FF0000"/>
          <w:vertAlign w:val="subscript"/>
        </w:rPr>
        <w:t>2</w:t>
      </w:r>
      <w:r w:rsidR="00106331" w:rsidRPr="00106331">
        <w:rPr>
          <w:rFonts w:ascii="맑은 고딕" w:eastAsia="맑은 고딕" w:hAnsi="맑은 고딕" w:cs="맑은 고딕"/>
          <w:color w:val="FF0000"/>
        </w:rPr>
        <w:t>Ta</w:t>
      </w:r>
      <w:r w:rsidR="00106331" w:rsidRPr="00106331">
        <w:rPr>
          <w:rFonts w:ascii="맑은 고딕" w:eastAsia="맑은 고딕" w:hAnsi="맑은 고딕" w:cs="맑은 고딕"/>
          <w:color w:val="FF0000"/>
          <w:vertAlign w:val="subscript"/>
        </w:rPr>
        <w:t>4</w:t>
      </w:r>
      <w:r w:rsidR="00106331" w:rsidRPr="00106331">
        <w:rPr>
          <w:rFonts w:ascii="맑은 고딕" w:eastAsia="맑은 고딕" w:hAnsi="맑은 고딕" w:cs="맑은 고딕"/>
          <w:color w:val="FF0000"/>
        </w:rPr>
        <w:t>O</w:t>
      </w:r>
      <w:r w:rsidR="00106331" w:rsidRPr="00106331">
        <w:rPr>
          <w:rFonts w:ascii="맑은 고딕" w:eastAsia="맑은 고딕" w:hAnsi="맑은 고딕" w:cs="맑은 고딕"/>
          <w:color w:val="FF0000"/>
          <w:vertAlign w:val="subscript"/>
        </w:rPr>
        <w:t>11</w:t>
      </w:r>
      <w:r w:rsidR="00106331" w:rsidRPr="00106331">
        <w:rPr>
          <w:rFonts w:ascii="맑은 고딕" w:eastAsia="맑은 고딕" w:hAnsi="맑은 고딕" w:cs="맑은 고딕"/>
          <w:color w:val="FF0000"/>
        </w:rPr>
        <w:t>, both catalogued Materials Project entries</w:t>
      </w:r>
      <w:r w:rsidR="00106331" w:rsidRPr="00106331">
        <w:rPr>
          <w:rFonts w:ascii="맑은 고딕" w:eastAsia="맑은 고딕" w:hAnsi="맑은 고딕" w:cs="맑은 고딕" w:hint="eastAsia"/>
          <w:color w:val="FF0000"/>
        </w:rPr>
        <w:t>—</w:t>
      </w:r>
      <w:r w:rsidR="00106331" w:rsidRPr="00106331">
        <w:rPr>
          <w:rFonts w:ascii="맑은 고딕" w:eastAsia="맑은 고딕" w:hAnsi="맑은 고딕" w:cs="맑은 고딕"/>
          <w:color w:val="FF0000"/>
        </w:rPr>
        <w:t>through solid-state synthesis and electrochemical impedance spe</w:t>
      </w:r>
      <w:r w:rsidR="00106331">
        <w:rPr>
          <w:rFonts w:ascii="맑은 고딕" w:eastAsia="맑은 고딕" w:hAnsi="맑은 고딕" w:cs="맑은 고딕"/>
          <w:color w:val="FF0000"/>
        </w:rPr>
        <w:t>ctroscopy (Figures 4a and 4b). The XRD and EIS</w:t>
      </w:r>
      <w:r w:rsidR="00106331" w:rsidRPr="00106331">
        <w:rPr>
          <w:rFonts w:ascii="맑은 고딕" w:eastAsia="맑은 고딕" w:hAnsi="맑은 고딕" w:cs="맑은 고딕"/>
          <w:color w:val="FF0000"/>
        </w:rPr>
        <w:t xml:space="preserve"> outcome was negative on both counts: </w:t>
      </w:r>
    </w:p>
    <w:p w:rsidR="00A26AFF" w:rsidRDefault="00A26AFF">
      <w:pPr>
        <w:widowControl/>
        <w:wordWrap/>
        <w:autoSpaceDE/>
        <w:autoSpaceDN/>
        <w:rPr>
          <w:rFonts w:ascii="맑은 고딕" w:eastAsia="맑은 고딕" w:hAnsi="맑은 고딕" w:cs="맑은 고딕"/>
          <w:color w:val="FF0000"/>
        </w:rPr>
      </w:pPr>
      <w:r>
        <w:rPr>
          <w:rFonts w:ascii="맑은 고딕" w:eastAsia="맑은 고딕" w:hAnsi="맑은 고딕" w:cs="맑은 고딕"/>
          <w:color w:val="FF0000"/>
        </w:rPr>
        <w:br w:type="page"/>
      </w:r>
    </w:p>
    <w:p w:rsidR="00B1159F" w:rsidRDefault="00B1159F" w:rsidP="00A26AFF">
      <w:pPr>
        <w:widowControl/>
        <w:wordWrap/>
        <w:autoSpaceDE/>
        <w:autoSpaceDN/>
      </w:pPr>
      <w:bookmarkStart w:id="0" w:name="_GoBack"/>
      <w:bookmarkEnd w:id="0"/>
    </w:p>
    <w:p w:rsidR="003D6113" w:rsidRPr="003D6113" w:rsidRDefault="003D6113" w:rsidP="003D6113">
      <w:pPr>
        <w:rPr>
          <w:b/>
          <w:bCs/>
        </w:rPr>
      </w:pPr>
      <w:r>
        <w:rPr>
          <w:b/>
          <w:bCs/>
        </w:rPr>
        <w:t>4. Conclusion</w:t>
      </w:r>
    </w:p>
    <w:p w:rsidR="003D6113" w:rsidRPr="003D6113" w:rsidRDefault="003D6113" w:rsidP="003D6113">
      <w:r w:rsidRPr="003D6113">
        <w:t>We have presented an active-learning framework for solid-state electrolyte discovery in which frozen graph-level embeddings of CHGNet, compressed to twelve dimensions by PCA, serve as the material descriptor, and a pool-constrained q-NEHVI Bayesian-optimization loop searches 43,241 catalogued Li-containing compounds against three objectives: E</w:t>
      </w:r>
      <w:r w:rsidRPr="003D6113">
        <w:rPr>
          <w:vertAlign w:val="subscript"/>
        </w:rPr>
        <w:t>cat</w:t>
      </w:r>
      <w:r w:rsidRPr="003D6113">
        <w:t>, ESW, and MSD@600. The charge-informed embedding was chosen on physical grounds—ion transport is governed by local charge environments—and its efficacy as a search descriptor was established in advance against exact ground truth in ref. [</w:t>
      </w:r>
      <w:r w:rsidRPr="00F87879">
        <w:rPr>
          <w:color w:val="FF0000"/>
          <w:highlight w:val="yellow"/>
        </w:rPr>
        <w:t>B</w:t>
      </w:r>
      <w:r w:rsidRPr="003D6113">
        <w:t>]. Every proposal is projected onto its nearest catalogued entry, so that each recommendation is a concrete compound rather than a point in latent space.</w:t>
      </w:r>
    </w:p>
    <w:p w:rsidR="003D6113" w:rsidRPr="003D6113" w:rsidRDefault="003D6113" w:rsidP="00F87879">
      <w:pPr>
        <w:ind w:firstLine="800"/>
      </w:pPr>
      <w:r w:rsidRPr="003D6113">
        <w:t xml:space="preserve">The campaign produced three main findings. First, the framework's performance was dataset-dependent: active learning clearly improved upon random initial sampling on the GNoME pool, whereas on the Materials Project pool—already exhaustively screened by the community and stripped of known SSEs in this study—it did not, a reminder that Bayesian optimization accelerates a search only when the descriptor and budget allow the surrogate to learn the objective landscape. Second, application-weighted re-screening of the Pareto candidates nominated distinct sets of bulk SSEs, catholytes, and cathode coatings, among which </w:t>
      </w:r>
      <w:r w:rsidRPr="00106331">
        <w:rPr>
          <w:rFonts w:ascii="맑은 고딕" w:eastAsia="맑은 고딕" w:hAnsi="맑은 고딕" w:cs="맑은 고딕"/>
          <w:color w:val="FF0000"/>
        </w:rPr>
        <w:t>Li</w:t>
      </w:r>
      <w:r w:rsidRPr="00106331">
        <w:rPr>
          <w:rFonts w:ascii="맑은 고딕" w:eastAsia="맑은 고딕" w:hAnsi="맑은 고딕" w:cs="맑은 고딕"/>
          <w:color w:val="FF0000"/>
          <w:vertAlign w:val="subscript"/>
        </w:rPr>
        <w:t>6</w:t>
      </w:r>
      <w:r w:rsidRPr="00106331">
        <w:rPr>
          <w:rFonts w:ascii="맑은 고딕" w:eastAsia="맑은 고딕" w:hAnsi="맑은 고딕" w:cs="맑은 고딕"/>
          <w:color w:val="FF0000"/>
        </w:rPr>
        <w:t>Ca</w:t>
      </w:r>
      <w:r w:rsidRPr="00106331">
        <w:rPr>
          <w:rFonts w:ascii="맑은 고딕" w:eastAsia="맑은 고딕" w:hAnsi="맑은 고딕" w:cs="맑은 고딕"/>
          <w:color w:val="FF0000"/>
          <w:vertAlign w:val="subscript"/>
        </w:rPr>
        <w:t>6</w:t>
      </w:r>
      <w:r w:rsidRPr="00106331">
        <w:rPr>
          <w:rFonts w:ascii="맑은 고딕" w:eastAsia="맑은 고딕" w:hAnsi="맑은 고딕" w:cs="맑은 고딕"/>
          <w:color w:val="FF0000"/>
        </w:rPr>
        <w:t>AsP</w:t>
      </w:r>
      <w:r w:rsidRPr="00106331">
        <w:rPr>
          <w:rFonts w:ascii="맑은 고딕" w:eastAsia="맑은 고딕" w:hAnsi="맑은 고딕" w:cs="맑은 고딕"/>
          <w:color w:val="FF0000"/>
          <w:vertAlign w:val="subscript"/>
        </w:rPr>
        <w:t>5</w:t>
      </w:r>
      <w:r w:rsidRPr="00106331">
        <w:rPr>
          <w:rFonts w:ascii="맑은 고딕" w:eastAsia="맑은 고딕" w:hAnsi="맑은 고딕" w:cs="맑은 고딕"/>
          <w:color w:val="FF0000"/>
        </w:rPr>
        <w:t>O</w:t>
      </w:r>
      <w:r w:rsidRPr="00106331">
        <w:rPr>
          <w:rFonts w:ascii="맑은 고딕" w:eastAsia="맑은 고딕" w:hAnsi="맑은 고딕" w:cs="맑은 고딕"/>
          <w:color w:val="FF0000"/>
          <w:vertAlign w:val="subscript"/>
        </w:rPr>
        <w:t>24</w:t>
      </w:r>
      <w:r w:rsidRPr="00106331">
        <w:rPr>
          <w:rFonts w:ascii="맑은 고딕" w:eastAsia="맑은 고딕" w:hAnsi="맑은 고딕" w:cs="맑은 고딕"/>
          <w:color w:val="FF0000"/>
        </w:rPr>
        <w:t xml:space="preserve"> and Li</w:t>
      </w:r>
      <w:r w:rsidRPr="00106331">
        <w:rPr>
          <w:rFonts w:ascii="맑은 고딕" w:eastAsia="맑은 고딕" w:hAnsi="맑은 고딕" w:cs="맑은 고딕"/>
          <w:color w:val="FF0000"/>
          <w:vertAlign w:val="subscript"/>
        </w:rPr>
        <w:t>2</w:t>
      </w:r>
      <w:r w:rsidRPr="00106331">
        <w:rPr>
          <w:rFonts w:ascii="맑은 고딕" w:eastAsia="맑은 고딕" w:hAnsi="맑은 고딕" w:cs="맑은 고딕"/>
          <w:color w:val="FF0000"/>
        </w:rPr>
        <w:t>Ta</w:t>
      </w:r>
      <w:r w:rsidRPr="00106331">
        <w:rPr>
          <w:rFonts w:ascii="맑은 고딕" w:eastAsia="맑은 고딕" w:hAnsi="맑은 고딕" w:cs="맑은 고딕"/>
          <w:color w:val="FF0000"/>
          <w:vertAlign w:val="subscript"/>
        </w:rPr>
        <w:t>4</w:t>
      </w:r>
      <w:r w:rsidRPr="00106331">
        <w:rPr>
          <w:rFonts w:ascii="맑은 고딕" w:eastAsia="맑은 고딕" w:hAnsi="맑은 고딕" w:cs="맑은 고딕"/>
          <w:color w:val="FF0000"/>
        </w:rPr>
        <w:t>O</w:t>
      </w:r>
      <w:r w:rsidRPr="00106331">
        <w:rPr>
          <w:rFonts w:ascii="맑은 고딕" w:eastAsia="맑은 고딕" w:hAnsi="맑은 고딕" w:cs="맑은 고딕"/>
          <w:color w:val="FF0000"/>
          <w:vertAlign w:val="subscript"/>
        </w:rPr>
        <w:t>11</w:t>
      </w:r>
      <w:r>
        <w:rPr>
          <w:rFonts w:ascii="맑은 고딕" w:eastAsia="맑은 고딕" w:hAnsi="맑은 고딕" w:cs="맑은 고딕"/>
          <w:color w:val="FF0000"/>
          <w:vertAlign w:val="subscript"/>
        </w:rPr>
        <w:t xml:space="preserve"> </w:t>
      </w:r>
      <w:r w:rsidRPr="003D6113">
        <w:t>emerged as the most unprecedented. Third, the objective functions themselves were stress-tested against well-known SSEs: MSD@600 rated all of them favorably, supporting its validity as a transport proxy, whereas the naïve maximization of ESW and minimization of E</w:t>
      </w:r>
      <w:r w:rsidRPr="003D6113">
        <w:rPr>
          <w:vertAlign w:val="subscript"/>
        </w:rPr>
        <w:t>cat</w:t>
      </w:r>
      <w:r w:rsidRPr="003D6113">
        <w:t xml:space="preserve"> penalized materials that succeed in practice through passivating interphases—a limitation we state openly.</w:t>
      </w:r>
    </w:p>
    <w:p w:rsidR="003D6113" w:rsidRPr="003D6113" w:rsidRDefault="003D6113" w:rsidP="00F87879">
      <w:pPr>
        <w:ind w:firstLine="800"/>
      </w:pPr>
      <w:r w:rsidRPr="003D6113">
        <w:t xml:space="preserve">Experimental validation returned negative results for both nominated compounds: </w:t>
      </w:r>
      <w:r w:rsidRPr="00106331">
        <w:rPr>
          <w:rFonts w:ascii="맑은 고딕" w:eastAsia="맑은 고딕" w:hAnsi="맑은 고딕" w:cs="맑은 고딕"/>
          <w:color w:val="FF0000"/>
        </w:rPr>
        <w:t>Li</w:t>
      </w:r>
      <w:r w:rsidRPr="00106331">
        <w:rPr>
          <w:rFonts w:ascii="맑은 고딕" w:eastAsia="맑은 고딕" w:hAnsi="맑은 고딕" w:cs="맑은 고딕"/>
          <w:color w:val="FF0000"/>
          <w:vertAlign w:val="subscript"/>
        </w:rPr>
        <w:t>2</w:t>
      </w:r>
      <w:r w:rsidRPr="00106331">
        <w:rPr>
          <w:rFonts w:ascii="맑은 고딕" w:eastAsia="맑은 고딕" w:hAnsi="맑은 고딕" w:cs="맑은 고딕"/>
          <w:color w:val="FF0000"/>
        </w:rPr>
        <w:t>Ta</w:t>
      </w:r>
      <w:r w:rsidRPr="00106331">
        <w:rPr>
          <w:rFonts w:ascii="맑은 고딕" w:eastAsia="맑은 고딕" w:hAnsi="맑은 고딕" w:cs="맑은 고딕"/>
          <w:color w:val="FF0000"/>
          <w:vertAlign w:val="subscript"/>
        </w:rPr>
        <w:t>4</w:t>
      </w:r>
      <w:r w:rsidRPr="00106331">
        <w:rPr>
          <w:rFonts w:ascii="맑은 고딕" w:eastAsia="맑은 고딕" w:hAnsi="맑은 고딕" w:cs="맑은 고딕"/>
          <w:color w:val="FF0000"/>
        </w:rPr>
        <w:t>O</w:t>
      </w:r>
      <w:r w:rsidRPr="00106331">
        <w:rPr>
          <w:rFonts w:ascii="맑은 고딕" w:eastAsia="맑은 고딕" w:hAnsi="맑은 고딕" w:cs="맑은 고딕"/>
          <w:color w:val="FF0000"/>
          <w:vertAlign w:val="subscript"/>
        </w:rPr>
        <w:t>11</w:t>
      </w:r>
      <w:r w:rsidRPr="003D6113">
        <w:t xml:space="preserve"> could not be obtained phase-pure, converting </w:t>
      </w:r>
      <w:r w:rsidR="00F87879">
        <w:t xml:space="preserve">instead to the well-known </w:t>
      </w:r>
      <w:r w:rsidR="00F87879" w:rsidRPr="00F87879">
        <w:rPr>
          <w:color w:val="FF0000"/>
        </w:rPr>
        <w:t>LiTaO</w:t>
      </w:r>
      <w:r w:rsidR="00F87879" w:rsidRPr="00F87879">
        <w:rPr>
          <w:color w:val="FF0000"/>
          <w:vertAlign w:val="subscript"/>
        </w:rPr>
        <w:t>3</w:t>
      </w:r>
      <w:r w:rsidRPr="003D6113">
        <w:t xml:space="preserve">, and </w:t>
      </w:r>
      <w:r w:rsidRPr="00106331">
        <w:rPr>
          <w:rFonts w:ascii="맑은 고딕" w:eastAsia="맑은 고딕" w:hAnsi="맑은 고딕" w:cs="맑은 고딕"/>
          <w:color w:val="FF0000"/>
        </w:rPr>
        <w:t>Li</w:t>
      </w:r>
      <w:r w:rsidRPr="00106331">
        <w:rPr>
          <w:rFonts w:ascii="맑은 고딕" w:eastAsia="맑은 고딕" w:hAnsi="맑은 고딕" w:cs="맑은 고딕"/>
          <w:color w:val="FF0000"/>
          <w:vertAlign w:val="subscript"/>
        </w:rPr>
        <w:t>6</w:t>
      </w:r>
      <w:r w:rsidRPr="00106331">
        <w:rPr>
          <w:rFonts w:ascii="맑은 고딕" w:eastAsia="맑은 고딕" w:hAnsi="맑은 고딕" w:cs="맑은 고딕"/>
          <w:color w:val="FF0000"/>
        </w:rPr>
        <w:t>Ca</w:t>
      </w:r>
      <w:r w:rsidRPr="00106331">
        <w:rPr>
          <w:rFonts w:ascii="맑은 고딕" w:eastAsia="맑은 고딕" w:hAnsi="맑은 고딕" w:cs="맑은 고딕"/>
          <w:color w:val="FF0000"/>
          <w:vertAlign w:val="subscript"/>
        </w:rPr>
        <w:t>6</w:t>
      </w:r>
      <w:r w:rsidRPr="00106331">
        <w:rPr>
          <w:rFonts w:ascii="맑은 고딕" w:eastAsia="맑은 고딕" w:hAnsi="맑은 고딕" w:cs="맑은 고딕"/>
          <w:color w:val="FF0000"/>
        </w:rPr>
        <w:t>AsP</w:t>
      </w:r>
      <w:r w:rsidRPr="00106331">
        <w:rPr>
          <w:rFonts w:ascii="맑은 고딕" w:eastAsia="맑은 고딕" w:hAnsi="맑은 고딕" w:cs="맑은 고딕"/>
          <w:color w:val="FF0000"/>
          <w:vertAlign w:val="subscript"/>
        </w:rPr>
        <w:t>5</w:t>
      </w:r>
      <w:r w:rsidRPr="00106331">
        <w:rPr>
          <w:rFonts w:ascii="맑은 고딕" w:eastAsia="맑은 고딕" w:hAnsi="맑은 고딕" w:cs="맑은 고딕"/>
          <w:color w:val="FF0000"/>
        </w:rPr>
        <w:t>O</w:t>
      </w:r>
      <w:r w:rsidRPr="00106331">
        <w:rPr>
          <w:rFonts w:ascii="맑은 고딕" w:eastAsia="맑은 고딕" w:hAnsi="맑은 고딕" w:cs="맑은 고딕"/>
          <w:color w:val="FF0000"/>
          <w:vertAlign w:val="subscript"/>
        </w:rPr>
        <w:t>24</w:t>
      </w:r>
      <w:r w:rsidRPr="003D6113">
        <w:t xml:space="preserve">, though synthesized as a single phase, conducted poorly. These failures do not implicate the search </w:t>
      </w:r>
      <w:r w:rsidR="00F87879">
        <w:t>framework</w:t>
      </w:r>
      <w:r w:rsidRPr="003D6113">
        <w:t>, which was validated separately [</w:t>
      </w:r>
      <w:r w:rsidRPr="00F87879">
        <w:rPr>
          <w:color w:val="FF0000"/>
          <w:highlight w:val="yellow"/>
        </w:rPr>
        <w:t>B</w:t>
      </w:r>
      <w:r w:rsidRPr="003D6113">
        <w:t>]; they expose the two links that remain weak in any computational campaign—the synthesizability of database entries and the fidelity of computational objectives to measured properties.</w:t>
      </w:r>
    </w:p>
    <w:p w:rsidR="003D6113" w:rsidRPr="003D6113" w:rsidRDefault="003D6113" w:rsidP="00F87879">
      <w:pPr>
        <w:ind w:firstLine="800"/>
      </w:pPr>
      <w:r w:rsidRPr="003D6113">
        <w:t>The path forward follows directly from this diagnosis. Synthesizability predictors, though imperfect, should enter the loop as a constraint from the beginning; an interphase-aware descriptor should replace the naïve treatment of E</w:t>
      </w:r>
      <w:r w:rsidRPr="003D6113">
        <w:rPr>
          <w:vertAlign w:val="subscript"/>
        </w:rPr>
        <w:t>cat</w:t>
      </w:r>
      <w:r w:rsidRPr="003D6113">
        <w:t xml:space="preserve"> and ESW; and, most importantly, objective-function evaluation should move into the laboratory. We have implemented such experiment-in-the-loop optimization across a range of real materials systems [</w:t>
      </w:r>
      <w:r w:rsidRPr="00F87879">
        <w:rPr>
          <w:color w:val="FF0000"/>
          <w:highlight w:val="yellow"/>
        </w:rPr>
        <w:t>D1–D5</w:t>
      </w:r>
      <w:r w:rsidRPr="003D6113">
        <w:t xml:space="preserve">], and work applying it to the same Li-based system has begun in our group. The framework presented here—database-scale search on a physically motivated, pretrained embedding at negligible descriptor cost—provides the </w:t>
      </w:r>
      <w:r w:rsidRPr="003D6113">
        <w:lastRenderedPageBreak/>
        <w:t>infrastructure on which that next stage will run.</w:t>
      </w:r>
    </w:p>
    <w:p w:rsidR="003D6113" w:rsidRDefault="003D6113" w:rsidP="00B1159F"/>
    <w:p w:rsidR="003D6113" w:rsidRDefault="003D6113" w:rsidP="00B1159F"/>
    <w:p w:rsidR="003D6113" w:rsidRDefault="003D6113" w:rsidP="00B1159F"/>
    <w:p w:rsidR="00B1159F" w:rsidRDefault="00B1159F" w:rsidP="00B1159F">
      <w:r w:rsidRPr="00B1159F">
        <w:t>[1] Bachman, J. C., et al. (2016). "Inorganic Solid-State Electrolytes for Lithium Batteries: Mechanisms and Properties Governing Ion Conduction." Chemical Reviews, 116(1), 140–162.</w:t>
      </w:r>
    </w:p>
    <w:p w:rsidR="00B1159F" w:rsidRDefault="00B1159F" w:rsidP="00B1159F">
      <w:r w:rsidRPr="00B1159F">
        <w:t>[2] Mo, Y., Ong, S. P., &amp; Ceder, G. (2012). "First Principles Study of the $Li_{10}GeP_2S_{12}$ Lithium Super Ionic Conductor Material." Chemistry of Materials, 24(1), 15–17.</w:t>
      </w:r>
    </w:p>
    <w:p w:rsidR="00B1159F" w:rsidRDefault="00B1159F" w:rsidP="00B1159F">
      <w:r w:rsidRPr="00B1159F">
        <w:t>[3] Yang, H., et al. (2024). "MatterSim: A Deep Learning Atomistic Model Across Elements, Temperatures and Pressures." arXiv preprint arXiv:2405.04967 (Microsoft Research).</w:t>
      </w:r>
    </w:p>
    <w:p w:rsidR="00B1159F" w:rsidRDefault="00B1159F" w:rsidP="00B1159F">
      <w:r w:rsidRPr="00B1159F">
        <w:t>[4] Liao, Y. L., et al. (2024). "EquiformerV2: Improved Equivariant Transformer for Scaling to Higher-Degree Representations." ICLR 2024.</w:t>
      </w:r>
    </w:p>
    <w:p w:rsidR="00B1159F" w:rsidRDefault="00B1159F" w:rsidP="00B1159F">
      <w:r w:rsidRPr="00B1159F">
        <w:t>[5] Deng, B., et al. (2023). "CHGNet as a pretrained universal neural network potential for charge-informed atomistic modelling." Nature Machine Intelligence, 5(9), 1031–1041.</w:t>
      </w:r>
    </w:p>
    <w:p w:rsidR="00B1159F" w:rsidRDefault="00B1159F" w:rsidP="00B1159F">
      <w:r w:rsidRPr="00B1159F">
        <w:t>[6] Lookman, T., et al. (2019). "Active learning in materials science with emphasis on adaptive sampling using uncertainties for targeted design." npj Computational Materials, 5(1), 21.</w:t>
      </w:r>
    </w:p>
    <w:p w:rsidR="00F55306" w:rsidRDefault="00F55306" w:rsidP="00B1159F"/>
    <w:p w:rsidR="00F55306" w:rsidRDefault="00F55306" w:rsidP="00B1159F">
      <w:r>
        <w:rPr>
          <w:rStyle w:val="a6"/>
        </w:rPr>
        <w:t>Figure 1. (a)</w:t>
      </w:r>
      <w:r>
        <w:t xml:space="preserve"> Schematic illustration of the overall computational workflow integrating search space design, CHGNet-based embedding, dimensionality reduction, and Bayesian optimization within an active learning loop for SSE discovery. (b) </w:t>
      </w:r>
      <w:r w:rsidRPr="00F55306">
        <w:t>Schematic architecture of the CHGNet model, illustrating atom, bond, and angle embeddings, message passing interactions, and the generation of graph-level representations used in this work.</w:t>
      </w:r>
    </w:p>
    <w:p w:rsidR="00456A8E" w:rsidRDefault="00456A8E" w:rsidP="00B1159F"/>
    <w:p w:rsidR="00456A8E" w:rsidRDefault="00456A8E" w:rsidP="00B1159F">
      <w:r w:rsidRPr="00456A8E">
        <w:rPr>
          <w:b/>
        </w:rPr>
        <w:t>Figure 2</w:t>
      </w:r>
      <w:r w:rsidRPr="00456A8E">
        <w:t>, the t-SNE and UMAP visualizations derived from the 12-dimensional embeddings</w:t>
      </w:r>
      <w:r>
        <w:t>.</w:t>
      </w:r>
    </w:p>
    <w:sectPr w:rsidR="00456A8E">
      <w:footerReference w:type="default" r:id="rId9"/>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41CC" w:rsidRDefault="005F41CC" w:rsidP="008E6F43">
      <w:pPr>
        <w:spacing w:after="0" w:line="240" w:lineRule="auto"/>
      </w:pPr>
      <w:r>
        <w:separator/>
      </w:r>
    </w:p>
  </w:endnote>
  <w:endnote w:type="continuationSeparator" w:id="0">
    <w:p w:rsidR="005F41CC" w:rsidRDefault="005F41CC" w:rsidP="008E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7738953"/>
      <w:docPartObj>
        <w:docPartGallery w:val="Page Numbers (Bottom of Page)"/>
        <w:docPartUnique/>
      </w:docPartObj>
    </w:sdtPr>
    <w:sdtEndPr/>
    <w:sdtContent>
      <w:sdt>
        <w:sdtPr>
          <w:id w:val="1728636285"/>
          <w:docPartObj>
            <w:docPartGallery w:val="Page Numbers (Top of Page)"/>
            <w:docPartUnique/>
          </w:docPartObj>
        </w:sdtPr>
        <w:sdtEndPr/>
        <w:sdtContent>
          <w:p w:rsidR="00B11EA4" w:rsidRDefault="00B11EA4">
            <w:pPr>
              <w:pStyle w:val="a4"/>
              <w:jc w:val="center"/>
            </w:pPr>
            <w:r>
              <w:rPr>
                <w:lang w:val="ko-KR"/>
              </w:rPr>
              <w:t xml:space="preserve">페이지 </w:t>
            </w:r>
            <w:r>
              <w:rPr>
                <w:b/>
                <w:bCs/>
                <w:sz w:val="24"/>
                <w:szCs w:val="24"/>
              </w:rPr>
              <w:fldChar w:fldCharType="begin"/>
            </w:r>
            <w:r>
              <w:rPr>
                <w:b/>
                <w:bCs/>
              </w:rPr>
              <w:instrText>PAGE</w:instrText>
            </w:r>
            <w:r>
              <w:rPr>
                <w:b/>
                <w:bCs/>
                <w:sz w:val="24"/>
                <w:szCs w:val="24"/>
              </w:rPr>
              <w:fldChar w:fldCharType="separate"/>
            </w:r>
            <w:r w:rsidR="00A26AFF">
              <w:rPr>
                <w:b/>
                <w:bCs/>
                <w:noProof/>
              </w:rPr>
              <w:t>22</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sidR="00A26AFF">
              <w:rPr>
                <w:b/>
                <w:bCs/>
                <w:noProof/>
              </w:rPr>
              <w:t>24</w:t>
            </w:r>
            <w:r>
              <w:rPr>
                <w:b/>
                <w:bCs/>
                <w:sz w:val="24"/>
                <w:szCs w:val="24"/>
              </w:rPr>
              <w:fldChar w:fldCharType="end"/>
            </w:r>
          </w:p>
        </w:sdtContent>
      </w:sdt>
    </w:sdtContent>
  </w:sdt>
  <w:p w:rsidR="00B11EA4" w:rsidRDefault="00B11EA4">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41CC" w:rsidRDefault="005F41CC" w:rsidP="008E6F43">
      <w:pPr>
        <w:spacing w:after="0" w:line="240" w:lineRule="auto"/>
      </w:pPr>
      <w:r>
        <w:separator/>
      </w:r>
    </w:p>
  </w:footnote>
  <w:footnote w:type="continuationSeparator" w:id="0">
    <w:p w:rsidR="005F41CC" w:rsidRDefault="005F41CC" w:rsidP="008E6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0A179B"/>
    <w:multiLevelType w:val="hybridMultilevel"/>
    <w:tmpl w:val="9358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2"/>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59F"/>
    <w:rsid w:val="0000276F"/>
    <w:rsid w:val="00007DFB"/>
    <w:rsid w:val="00014CCE"/>
    <w:rsid w:val="00031248"/>
    <w:rsid w:val="00032875"/>
    <w:rsid w:val="000329A6"/>
    <w:rsid w:val="00042F86"/>
    <w:rsid w:val="000433EC"/>
    <w:rsid w:val="0004360D"/>
    <w:rsid w:val="00052891"/>
    <w:rsid w:val="0005364A"/>
    <w:rsid w:val="000539F7"/>
    <w:rsid w:val="00055AFF"/>
    <w:rsid w:val="0007273D"/>
    <w:rsid w:val="0007289A"/>
    <w:rsid w:val="00076250"/>
    <w:rsid w:val="00080283"/>
    <w:rsid w:val="000833D0"/>
    <w:rsid w:val="0008539E"/>
    <w:rsid w:val="0009034F"/>
    <w:rsid w:val="000959B4"/>
    <w:rsid w:val="000A5AE2"/>
    <w:rsid w:val="000A6013"/>
    <w:rsid w:val="000C3FDF"/>
    <w:rsid w:val="000C6D29"/>
    <w:rsid w:val="000D5DDA"/>
    <w:rsid w:val="000E49F1"/>
    <w:rsid w:val="000F0BBA"/>
    <w:rsid w:val="001000E5"/>
    <w:rsid w:val="0010046C"/>
    <w:rsid w:val="001027B4"/>
    <w:rsid w:val="00106331"/>
    <w:rsid w:val="001079B1"/>
    <w:rsid w:val="0014129B"/>
    <w:rsid w:val="00170B9B"/>
    <w:rsid w:val="001756D1"/>
    <w:rsid w:val="0018167B"/>
    <w:rsid w:val="00183006"/>
    <w:rsid w:val="00183504"/>
    <w:rsid w:val="0019230B"/>
    <w:rsid w:val="0019485E"/>
    <w:rsid w:val="001977E3"/>
    <w:rsid w:val="001A2EBB"/>
    <w:rsid w:val="001A56B5"/>
    <w:rsid w:val="001B03DB"/>
    <w:rsid w:val="001B3020"/>
    <w:rsid w:val="001B30FF"/>
    <w:rsid w:val="001B3473"/>
    <w:rsid w:val="001C30F7"/>
    <w:rsid w:val="001C48CB"/>
    <w:rsid w:val="001C6CC1"/>
    <w:rsid w:val="001D7510"/>
    <w:rsid w:val="001E4B2C"/>
    <w:rsid w:val="001E7794"/>
    <w:rsid w:val="001F2CA1"/>
    <w:rsid w:val="001F579D"/>
    <w:rsid w:val="001F6B76"/>
    <w:rsid w:val="0020670C"/>
    <w:rsid w:val="00215624"/>
    <w:rsid w:val="00225C39"/>
    <w:rsid w:val="00233083"/>
    <w:rsid w:val="00237094"/>
    <w:rsid w:val="00237E68"/>
    <w:rsid w:val="00251739"/>
    <w:rsid w:val="002663F7"/>
    <w:rsid w:val="00272CC1"/>
    <w:rsid w:val="00287329"/>
    <w:rsid w:val="002A1A70"/>
    <w:rsid w:val="002A6667"/>
    <w:rsid w:val="002B6E15"/>
    <w:rsid w:val="002D4664"/>
    <w:rsid w:val="002F2599"/>
    <w:rsid w:val="00312100"/>
    <w:rsid w:val="00326239"/>
    <w:rsid w:val="00330904"/>
    <w:rsid w:val="00332E58"/>
    <w:rsid w:val="003479D8"/>
    <w:rsid w:val="00380AFD"/>
    <w:rsid w:val="00390330"/>
    <w:rsid w:val="00395CC2"/>
    <w:rsid w:val="00397081"/>
    <w:rsid w:val="003A3414"/>
    <w:rsid w:val="003B67CA"/>
    <w:rsid w:val="003C0477"/>
    <w:rsid w:val="003D316E"/>
    <w:rsid w:val="003D32B2"/>
    <w:rsid w:val="003D56A6"/>
    <w:rsid w:val="003D6113"/>
    <w:rsid w:val="003E58F2"/>
    <w:rsid w:val="003F49F5"/>
    <w:rsid w:val="00413F1C"/>
    <w:rsid w:val="004213CD"/>
    <w:rsid w:val="00421CB1"/>
    <w:rsid w:val="004458ED"/>
    <w:rsid w:val="00453A9F"/>
    <w:rsid w:val="00453F8B"/>
    <w:rsid w:val="00456A8E"/>
    <w:rsid w:val="00464531"/>
    <w:rsid w:val="00470F5A"/>
    <w:rsid w:val="00474AF1"/>
    <w:rsid w:val="00475787"/>
    <w:rsid w:val="0047728C"/>
    <w:rsid w:val="00480A08"/>
    <w:rsid w:val="0048152A"/>
    <w:rsid w:val="004823E1"/>
    <w:rsid w:val="00482DA9"/>
    <w:rsid w:val="004916B4"/>
    <w:rsid w:val="004920E9"/>
    <w:rsid w:val="00496767"/>
    <w:rsid w:val="004A2853"/>
    <w:rsid w:val="004C7C46"/>
    <w:rsid w:val="004D220F"/>
    <w:rsid w:val="004E5965"/>
    <w:rsid w:val="004E7829"/>
    <w:rsid w:val="004F267E"/>
    <w:rsid w:val="004F4BA4"/>
    <w:rsid w:val="00505B88"/>
    <w:rsid w:val="00522BB2"/>
    <w:rsid w:val="00523845"/>
    <w:rsid w:val="00531BD3"/>
    <w:rsid w:val="00547FDA"/>
    <w:rsid w:val="00567890"/>
    <w:rsid w:val="00575157"/>
    <w:rsid w:val="005841C3"/>
    <w:rsid w:val="00584EE9"/>
    <w:rsid w:val="005867CC"/>
    <w:rsid w:val="00590BED"/>
    <w:rsid w:val="0059758B"/>
    <w:rsid w:val="00597917"/>
    <w:rsid w:val="005A382E"/>
    <w:rsid w:val="005B1CCE"/>
    <w:rsid w:val="005E5D86"/>
    <w:rsid w:val="005F41CC"/>
    <w:rsid w:val="006008FB"/>
    <w:rsid w:val="006017BF"/>
    <w:rsid w:val="006048AA"/>
    <w:rsid w:val="00610411"/>
    <w:rsid w:val="00616E3A"/>
    <w:rsid w:val="0062646B"/>
    <w:rsid w:val="00631ABD"/>
    <w:rsid w:val="00636869"/>
    <w:rsid w:val="00644917"/>
    <w:rsid w:val="00651187"/>
    <w:rsid w:val="00657138"/>
    <w:rsid w:val="006645FC"/>
    <w:rsid w:val="0066756B"/>
    <w:rsid w:val="00677E80"/>
    <w:rsid w:val="00685D93"/>
    <w:rsid w:val="00690E0F"/>
    <w:rsid w:val="0069458F"/>
    <w:rsid w:val="006A262C"/>
    <w:rsid w:val="006B789A"/>
    <w:rsid w:val="006C44C3"/>
    <w:rsid w:val="006D1401"/>
    <w:rsid w:val="006D2930"/>
    <w:rsid w:val="006E27A8"/>
    <w:rsid w:val="006E4550"/>
    <w:rsid w:val="00700BD1"/>
    <w:rsid w:val="007062EB"/>
    <w:rsid w:val="007127F6"/>
    <w:rsid w:val="007218DB"/>
    <w:rsid w:val="007349C3"/>
    <w:rsid w:val="0074541F"/>
    <w:rsid w:val="0074702B"/>
    <w:rsid w:val="0075132B"/>
    <w:rsid w:val="0075236A"/>
    <w:rsid w:val="00760D18"/>
    <w:rsid w:val="00770F0A"/>
    <w:rsid w:val="00771507"/>
    <w:rsid w:val="00772F11"/>
    <w:rsid w:val="0077468B"/>
    <w:rsid w:val="007A0496"/>
    <w:rsid w:val="007A0C90"/>
    <w:rsid w:val="007A73CC"/>
    <w:rsid w:val="007B0916"/>
    <w:rsid w:val="007B195C"/>
    <w:rsid w:val="007D0F3A"/>
    <w:rsid w:val="007D25E8"/>
    <w:rsid w:val="007E63A0"/>
    <w:rsid w:val="007F6471"/>
    <w:rsid w:val="0080552E"/>
    <w:rsid w:val="00807459"/>
    <w:rsid w:val="00822012"/>
    <w:rsid w:val="00824885"/>
    <w:rsid w:val="008303A1"/>
    <w:rsid w:val="008327B0"/>
    <w:rsid w:val="00834DDA"/>
    <w:rsid w:val="0083639C"/>
    <w:rsid w:val="008403F5"/>
    <w:rsid w:val="00850177"/>
    <w:rsid w:val="00873E85"/>
    <w:rsid w:val="008929D2"/>
    <w:rsid w:val="00892F71"/>
    <w:rsid w:val="008C7694"/>
    <w:rsid w:val="008E0308"/>
    <w:rsid w:val="008E26F0"/>
    <w:rsid w:val="008E6A80"/>
    <w:rsid w:val="008E6F43"/>
    <w:rsid w:val="008F413B"/>
    <w:rsid w:val="008F7E42"/>
    <w:rsid w:val="00917CE4"/>
    <w:rsid w:val="009236B8"/>
    <w:rsid w:val="00925DB2"/>
    <w:rsid w:val="009268F2"/>
    <w:rsid w:val="00931805"/>
    <w:rsid w:val="009352D6"/>
    <w:rsid w:val="009378A4"/>
    <w:rsid w:val="00940346"/>
    <w:rsid w:val="0096311D"/>
    <w:rsid w:val="00967594"/>
    <w:rsid w:val="00970563"/>
    <w:rsid w:val="009847CA"/>
    <w:rsid w:val="00985A9A"/>
    <w:rsid w:val="009920BA"/>
    <w:rsid w:val="00992A74"/>
    <w:rsid w:val="00992DEA"/>
    <w:rsid w:val="009A3EB4"/>
    <w:rsid w:val="009B14D2"/>
    <w:rsid w:val="009B3D19"/>
    <w:rsid w:val="009C4172"/>
    <w:rsid w:val="009C5CE4"/>
    <w:rsid w:val="009C7643"/>
    <w:rsid w:val="009D2A5B"/>
    <w:rsid w:val="009D774F"/>
    <w:rsid w:val="009D7D57"/>
    <w:rsid w:val="009E288E"/>
    <w:rsid w:val="009F113C"/>
    <w:rsid w:val="009F496E"/>
    <w:rsid w:val="00A2163C"/>
    <w:rsid w:val="00A26AFF"/>
    <w:rsid w:val="00A35E82"/>
    <w:rsid w:val="00A501B9"/>
    <w:rsid w:val="00A60A96"/>
    <w:rsid w:val="00A62811"/>
    <w:rsid w:val="00A6682B"/>
    <w:rsid w:val="00A7194C"/>
    <w:rsid w:val="00A739B5"/>
    <w:rsid w:val="00A8597E"/>
    <w:rsid w:val="00A85CA5"/>
    <w:rsid w:val="00A978E1"/>
    <w:rsid w:val="00A97BCA"/>
    <w:rsid w:val="00AA1190"/>
    <w:rsid w:val="00AA615E"/>
    <w:rsid w:val="00AB1E9E"/>
    <w:rsid w:val="00AB3CB4"/>
    <w:rsid w:val="00AD14E2"/>
    <w:rsid w:val="00AD7724"/>
    <w:rsid w:val="00AE3AC2"/>
    <w:rsid w:val="00AE57CC"/>
    <w:rsid w:val="00AE7F29"/>
    <w:rsid w:val="00AF04E9"/>
    <w:rsid w:val="00AF4DB3"/>
    <w:rsid w:val="00AF567D"/>
    <w:rsid w:val="00AF738E"/>
    <w:rsid w:val="00B01BFD"/>
    <w:rsid w:val="00B070ED"/>
    <w:rsid w:val="00B1159F"/>
    <w:rsid w:val="00B11AD1"/>
    <w:rsid w:val="00B11EA4"/>
    <w:rsid w:val="00B212F2"/>
    <w:rsid w:val="00B21995"/>
    <w:rsid w:val="00B2327F"/>
    <w:rsid w:val="00B308C3"/>
    <w:rsid w:val="00B323C0"/>
    <w:rsid w:val="00B42FA6"/>
    <w:rsid w:val="00B54527"/>
    <w:rsid w:val="00B5738F"/>
    <w:rsid w:val="00B621E0"/>
    <w:rsid w:val="00B6409D"/>
    <w:rsid w:val="00B93001"/>
    <w:rsid w:val="00BB1FCA"/>
    <w:rsid w:val="00BC2822"/>
    <w:rsid w:val="00BD1092"/>
    <w:rsid w:val="00BE24F0"/>
    <w:rsid w:val="00BE5E59"/>
    <w:rsid w:val="00C076B1"/>
    <w:rsid w:val="00C2251A"/>
    <w:rsid w:val="00C265E7"/>
    <w:rsid w:val="00C34AF0"/>
    <w:rsid w:val="00C438A5"/>
    <w:rsid w:val="00C43E4A"/>
    <w:rsid w:val="00C550EE"/>
    <w:rsid w:val="00C62DF7"/>
    <w:rsid w:val="00C641A6"/>
    <w:rsid w:val="00C64B20"/>
    <w:rsid w:val="00C76223"/>
    <w:rsid w:val="00C767F5"/>
    <w:rsid w:val="00C76916"/>
    <w:rsid w:val="00C80B37"/>
    <w:rsid w:val="00C87704"/>
    <w:rsid w:val="00C91934"/>
    <w:rsid w:val="00CA07FB"/>
    <w:rsid w:val="00CA1015"/>
    <w:rsid w:val="00CB3018"/>
    <w:rsid w:val="00CB36F6"/>
    <w:rsid w:val="00CB7A2E"/>
    <w:rsid w:val="00CC5458"/>
    <w:rsid w:val="00CD379C"/>
    <w:rsid w:val="00CF3826"/>
    <w:rsid w:val="00D0188F"/>
    <w:rsid w:val="00D0683C"/>
    <w:rsid w:val="00D0755D"/>
    <w:rsid w:val="00D108D1"/>
    <w:rsid w:val="00D11F6B"/>
    <w:rsid w:val="00D121DA"/>
    <w:rsid w:val="00D13B69"/>
    <w:rsid w:val="00D53A02"/>
    <w:rsid w:val="00D604AB"/>
    <w:rsid w:val="00D6764E"/>
    <w:rsid w:val="00D72A18"/>
    <w:rsid w:val="00D84926"/>
    <w:rsid w:val="00D91B15"/>
    <w:rsid w:val="00DA6F4E"/>
    <w:rsid w:val="00DB6267"/>
    <w:rsid w:val="00DC2F67"/>
    <w:rsid w:val="00DC3A5A"/>
    <w:rsid w:val="00DE0AED"/>
    <w:rsid w:val="00DE4053"/>
    <w:rsid w:val="00DF4994"/>
    <w:rsid w:val="00E0305E"/>
    <w:rsid w:val="00E04816"/>
    <w:rsid w:val="00E15CB2"/>
    <w:rsid w:val="00E170CB"/>
    <w:rsid w:val="00E343A5"/>
    <w:rsid w:val="00E459CA"/>
    <w:rsid w:val="00E64054"/>
    <w:rsid w:val="00E64581"/>
    <w:rsid w:val="00E81A14"/>
    <w:rsid w:val="00E84349"/>
    <w:rsid w:val="00E90E81"/>
    <w:rsid w:val="00E93ECA"/>
    <w:rsid w:val="00EA1C59"/>
    <w:rsid w:val="00EA1CD2"/>
    <w:rsid w:val="00EA56EB"/>
    <w:rsid w:val="00ED3241"/>
    <w:rsid w:val="00ED6A9E"/>
    <w:rsid w:val="00EE1B3E"/>
    <w:rsid w:val="00EE56F4"/>
    <w:rsid w:val="00EF5235"/>
    <w:rsid w:val="00F232F3"/>
    <w:rsid w:val="00F2490E"/>
    <w:rsid w:val="00F31DD5"/>
    <w:rsid w:val="00F35BE4"/>
    <w:rsid w:val="00F43DF7"/>
    <w:rsid w:val="00F44D01"/>
    <w:rsid w:val="00F472A6"/>
    <w:rsid w:val="00F527CF"/>
    <w:rsid w:val="00F55306"/>
    <w:rsid w:val="00F65B13"/>
    <w:rsid w:val="00F71299"/>
    <w:rsid w:val="00F86A7D"/>
    <w:rsid w:val="00F87879"/>
    <w:rsid w:val="00F95399"/>
    <w:rsid w:val="00FB2273"/>
    <w:rsid w:val="00FC206A"/>
    <w:rsid w:val="00FD0910"/>
    <w:rsid w:val="00FE3677"/>
    <w:rsid w:val="00FE391C"/>
    <w:rsid w:val="00FF5A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6E51C"/>
  <w15:chartTrackingRefBased/>
  <w15:docId w15:val="{C49ABCA1-E48E-47B1-9BED-4AA738424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220F"/>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E6F43"/>
    <w:pPr>
      <w:tabs>
        <w:tab w:val="center" w:pos="4680"/>
        <w:tab w:val="right" w:pos="9360"/>
      </w:tabs>
      <w:spacing w:after="0" w:line="240" w:lineRule="auto"/>
    </w:pPr>
  </w:style>
  <w:style w:type="character" w:customStyle="1" w:styleId="Char">
    <w:name w:val="머리글 Char"/>
    <w:basedOn w:val="a0"/>
    <w:link w:val="a3"/>
    <w:uiPriority w:val="99"/>
    <w:rsid w:val="008E6F43"/>
  </w:style>
  <w:style w:type="paragraph" w:styleId="a4">
    <w:name w:val="footer"/>
    <w:basedOn w:val="a"/>
    <w:link w:val="Char0"/>
    <w:uiPriority w:val="99"/>
    <w:unhideWhenUsed/>
    <w:rsid w:val="008E6F43"/>
    <w:pPr>
      <w:tabs>
        <w:tab w:val="center" w:pos="4680"/>
        <w:tab w:val="right" w:pos="9360"/>
      </w:tabs>
      <w:spacing w:after="0" w:line="240" w:lineRule="auto"/>
    </w:pPr>
  </w:style>
  <w:style w:type="character" w:customStyle="1" w:styleId="Char0">
    <w:name w:val="바닥글 Char"/>
    <w:basedOn w:val="a0"/>
    <w:link w:val="a4"/>
    <w:uiPriority w:val="99"/>
    <w:rsid w:val="008E6F43"/>
  </w:style>
  <w:style w:type="paragraph" w:styleId="a5">
    <w:name w:val="List Paragraph"/>
    <w:basedOn w:val="a"/>
    <w:uiPriority w:val="34"/>
    <w:qFormat/>
    <w:rsid w:val="00FC206A"/>
    <w:pPr>
      <w:ind w:left="720"/>
      <w:contextualSpacing/>
    </w:pPr>
  </w:style>
  <w:style w:type="character" w:styleId="a6">
    <w:name w:val="Strong"/>
    <w:basedOn w:val="a0"/>
    <w:uiPriority w:val="22"/>
    <w:qFormat/>
    <w:rsid w:val="00F55306"/>
    <w:rPr>
      <w:b/>
      <w:bCs/>
    </w:rPr>
  </w:style>
  <w:style w:type="character" w:styleId="a7">
    <w:name w:val="Emphasis"/>
    <w:basedOn w:val="a0"/>
    <w:uiPriority w:val="20"/>
    <w:qFormat/>
    <w:rsid w:val="004D220F"/>
    <w:rPr>
      <w:i/>
      <w:iCs/>
    </w:rPr>
  </w:style>
  <w:style w:type="character" w:styleId="a8">
    <w:name w:val="Subtle Reference"/>
    <w:basedOn w:val="a0"/>
    <w:uiPriority w:val="31"/>
    <w:qFormat/>
    <w:rsid w:val="0018167B"/>
    <w:rPr>
      <w:smallCaps/>
      <w:color w:val="5A5A5A" w:themeColor="text1" w:themeTint="A5"/>
    </w:rPr>
  </w:style>
  <w:style w:type="character" w:customStyle="1" w:styleId="citation-75">
    <w:name w:val="citation-75"/>
    <w:basedOn w:val="a0"/>
    <w:rsid w:val="00B323C0"/>
  </w:style>
  <w:style w:type="character" w:customStyle="1" w:styleId="citation-74">
    <w:name w:val="citation-74"/>
    <w:basedOn w:val="a0"/>
    <w:rsid w:val="00B323C0"/>
  </w:style>
  <w:style w:type="character" w:styleId="HTML">
    <w:name w:val="HTML Code"/>
    <w:basedOn w:val="a0"/>
    <w:uiPriority w:val="99"/>
    <w:semiHidden/>
    <w:unhideWhenUsed/>
    <w:rsid w:val="006449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4991">
      <w:bodyDiv w:val="1"/>
      <w:marLeft w:val="0"/>
      <w:marRight w:val="0"/>
      <w:marTop w:val="0"/>
      <w:marBottom w:val="0"/>
      <w:divBdr>
        <w:top w:val="none" w:sz="0" w:space="0" w:color="auto"/>
        <w:left w:val="none" w:sz="0" w:space="0" w:color="auto"/>
        <w:bottom w:val="none" w:sz="0" w:space="0" w:color="auto"/>
        <w:right w:val="none" w:sz="0" w:space="0" w:color="auto"/>
      </w:divBdr>
    </w:div>
    <w:div w:id="92092154">
      <w:bodyDiv w:val="1"/>
      <w:marLeft w:val="0"/>
      <w:marRight w:val="0"/>
      <w:marTop w:val="0"/>
      <w:marBottom w:val="0"/>
      <w:divBdr>
        <w:top w:val="none" w:sz="0" w:space="0" w:color="auto"/>
        <w:left w:val="none" w:sz="0" w:space="0" w:color="auto"/>
        <w:bottom w:val="none" w:sz="0" w:space="0" w:color="auto"/>
        <w:right w:val="none" w:sz="0" w:space="0" w:color="auto"/>
      </w:divBdr>
    </w:div>
    <w:div w:id="119615845">
      <w:bodyDiv w:val="1"/>
      <w:marLeft w:val="0"/>
      <w:marRight w:val="0"/>
      <w:marTop w:val="0"/>
      <w:marBottom w:val="0"/>
      <w:divBdr>
        <w:top w:val="none" w:sz="0" w:space="0" w:color="auto"/>
        <w:left w:val="none" w:sz="0" w:space="0" w:color="auto"/>
        <w:bottom w:val="none" w:sz="0" w:space="0" w:color="auto"/>
        <w:right w:val="none" w:sz="0" w:space="0" w:color="auto"/>
      </w:divBdr>
      <w:divsChild>
        <w:div w:id="1444686731">
          <w:marLeft w:val="0"/>
          <w:marRight w:val="0"/>
          <w:marTop w:val="0"/>
          <w:marBottom w:val="0"/>
          <w:divBdr>
            <w:top w:val="none" w:sz="0" w:space="0" w:color="auto"/>
            <w:left w:val="none" w:sz="0" w:space="0" w:color="auto"/>
            <w:bottom w:val="none" w:sz="0" w:space="0" w:color="auto"/>
            <w:right w:val="none" w:sz="0" w:space="0" w:color="auto"/>
          </w:divBdr>
        </w:div>
      </w:divsChild>
    </w:div>
    <w:div w:id="210114671">
      <w:bodyDiv w:val="1"/>
      <w:marLeft w:val="0"/>
      <w:marRight w:val="0"/>
      <w:marTop w:val="0"/>
      <w:marBottom w:val="0"/>
      <w:divBdr>
        <w:top w:val="none" w:sz="0" w:space="0" w:color="auto"/>
        <w:left w:val="none" w:sz="0" w:space="0" w:color="auto"/>
        <w:bottom w:val="none" w:sz="0" w:space="0" w:color="auto"/>
        <w:right w:val="none" w:sz="0" w:space="0" w:color="auto"/>
      </w:divBdr>
      <w:divsChild>
        <w:div w:id="136185805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 w:id="225144004">
      <w:bodyDiv w:val="1"/>
      <w:marLeft w:val="0"/>
      <w:marRight w:val="0"/>
      <w:marTop w:val="0"/>
      <w:marBottom w:val="0"/>
      <w:divBdr>
        <w:top w:val="none" w:sz="0" w:space="0" w:color="auto"/>
        <w:left w:val="none" w:sz="0" w:space="0" w:color="auto"/>
        <w:bottom w:val="none" w:sz="0" w:space="0" w:color="auto"/>
        <w:right w:val="none" w:sz="0" w:space="0" w:color="auto"/>
      </w:divBdr>
      <w:divsChild>
        <w:div w:id="154667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840451">
      <w:bodyDiv w:val="1"/>
      <w:marLeft w:val="0"/>
      <w:marRight w:val="0"/>
      <w:marTop w:val="0"/>
      <w:marBottom w:val="0"/>
      <w:divBdr>
        <w:top w:val="none" w:sz="0" w:space="0" w:color="auto"/>
        <w:left w:val="none" w:sz="0" w:space="0" w:color="auto"/>
        <w:bottom w:val="none" w:sz="0" w:space="0" w:color="auto"/>
        <w:right w:val="none" w:sz="0" w:space="0" w:color="auto"/>
      </w:divBdr>
    </w:div>
    <w:div w:id="294917684">
      <w:bodyDiv w:val="1"/>
      <w:marLeft w:val="0"/>
      <w:marRight w:val="0"/>
      <w:marTop w:val="0"/>
      <w:marBottom w:val="0"/>
      <w:divBdr>
        <w:top w:val="none" w:sz="0" w:space="0" w:color="auto"/>
        <w:left w:val="none" w:sz="0" w:space="0" w:color="auto"/>
        <w:bottom w:val="none" w:sz="0" w:space="0" w:color="auto"/>
        <w:right w:val="none" w:sz="0" w:space="0" w:color="auto"/>
      </w:divBdr>
    </w:div>
    <w:div w:id="444083045">
      <w:bodyDiv w:val="1"/>
      <w:marLeft w:val="0"/>
      <w:marRight w:val="0"/>
      <w:marTop w:val="0"/>
      <w:marBottom w:val="0"/>
      <w:divBdr>
        <w:top w:val="none" w:sz="0" w:space="0" w:color="auto"/>
        <w:left w:val="none" w:sz="0" w:space="0" w:color="auto"/>
        <w:bottom w:val="none" w:sz="0" w:space="0" w:color="auto"/>
        <w:right w:val="none" w:sz="0" w:space="0" w:color="auto"/>
      </w:divBdr>
    </w:div>
    <w:div w:id="558437630">
      <w:bodyDiv w:val="1"/>
      <w:marLeft w:val="0"/>
      <w:marRight w:val="0"/>
      <w:marTop w:val="0"/>
      <w:marBottom w:val="0"/>
      <w:divBdr>
        <w:top w:val="none" w:sz="0" w:space="0" w:color="auto"/>
        <w:left w:val="none" w:sz="0" w:space="0" w:color="auto"/>
        <w:bottom w:val="none" w:sz="0" w:space="0" w:color="auto"/>
        <w:right w:val="none" w:sz="0" w:space="0" w:color="auto"/>
      </w:divBdr>
    </w:div>
    <w:div w:id="740491453">
      <w:bodyDiv w:val="1"/>
      <w:marLeft w:val="0"/>
      <w:marRight w:val="0"/>
      <w:marTop w:val="0"/>
      <w:marBottom w:val="0"/>
      <w:divBdr>
        <w:top w:val="none" w:sz="0" w:space="0" w:color="auto"/>
        <w:left w:val="none" w:sz="0" w:space="0" w:color="auto"/>
        <w:bottom w:val="none" w:sz="0" w:space="0" w:color="auto"/>
        <w:right w:val="none" w:sz="0" w:space="0" w:color="auto"/>
      </w:divBdr>
    </w:div>
    <w:div w:id="747381230">
      <w:bodyDiv w:val="1"/>
      <w:marLeft w:val="0"/>
      <w:marRight w:val="0"/>
      <w:marTop w:val="0"/>
      <w:marBottom w:val="0"/>
      <w:divBdr>
        <w:top w:val="none" w:sz="0" w:space="0" w:color="auto"/>
        <w:left w:val="none" w:sz="0" w:space="0" w:color="auto"/>
        <w:bottom w:val="none" w:sz="0" w:space="0" w:color="auto"/>
        <w:right w:val="none" w:sz="0" w:space="0" w:color="auto"/>
      </w:divBdr>
    </w:div>
    <w:div w:id="777406820">
      <w:bodyDiv w:val="1"/>
      <w:marLeft w:val="0"/>
      <w:marRight w:val="0"/>
      <w:marTop w:val="0"/>
      <w:marBottom w:val="0"/>
      <w:divBdr>
        <w:top w:val="none" w:sz="0" w:space="0" w:color="auto"/>
        <w:left w:val="none" w:sz="0" w:space="0" w:color="auto"/>
        <w:bottom w:val="none" w:sz="0" w:space="0" w:color="auto"/>
        <w:right w:val="none" w:sz="0" w:space="0" w:color="auto"/>
      </w:divBdr>
    </w:div>
    <w:div w:id="803743167">
      <w:bodyDiv w:val="1"/>
      <w:marLeft w:val="0"/>
      <w:marRight w:val="0"/>
      <w:marTop w:val="0"/>
      <w:marBottom w:val="0"/>
      <w:divBdr>
        <w:top w:val="none" w:sz="0" w:space="0" w:color="auto"/>
        <w:left w:val="none" w:sz="0" w:space="0" w:color="auto"/>
        <w:bottom w:val="none" w:sz="0" w:space="0" w:color="auto"/>
        <w:right w:val="none" w:sz="0" w:space="0" w:color="auto"/>
      </w:divBdr>
    </w:div>
    <w:div w:id="843319568">
      <w:bodyDiv w:val="1"/>
      <w:marLeft w:val="0"/>
      <w:marRight w:val="0"/>
      <w:marTop w:val="0"/>
      <w:marBottom w:val="0"/>
      <w:divBdr>
        <w:top w:val="none" w:sz="0" w:space="0" w:color="auto"/>
        <w:left w:val="none" w:sz="0" w:space="0" w:color="auto"/>
        <w:bottom w:val="none" w:sz="0" w:space="0" w:color="auto"/>
        <w:right w:val="none" w:sz="0" w:space="0" w:color="auto"/>
      </w:divBdr>
    </w:div>
    <w:div w:id="909266158">
      <w:bodyDiv w:val="1"/>
      <w:marLeft w:val="0"/>
      <w:marRight w:val="0"/>
      <w:marTop w:val="0"/>
      <w:marBottom w:val="0"/>
      <w:divBdr>
        <w:top w:val="none" w:sz="0" w:space="0" w:color="auto"/>
        <w:left w:val="none" w:sz="0" w:space="0" w:color="auto"/>
        <w:bottom w:val="none" w:sz="0" w:space="0" w:color="auto"/>
        <w:right w:val="none" w:sz="0" w:space="0" w:color="auto"/>
      </w:divBdr>
    </w:div>
    <w:div w:id="1031341426">
      <w:bodyDiv w:val="1"/>
      <w:marLeft w:val="0"/>
      <w:marRight w:val="0"/>
      <w:marTop w:val="0"/>
      <w:marBottom w:val="0"/>
      <w:divBdr>
        <w:top w:val="none" w:sz="0" w:space="0" w:color="auto"/>
        <w:left w:val="none" w:sz="0" w:space="0" w:color="auto"/>
        <w:bottom w:val="none" w:sz="0" w:space="0" w:color="auto"/>
        <w:right w:val="none" w:sz="0" w:space="0" w:color="auto"/>
      </w:divBdr>
    </w:div>
    <w:div w:id="1057702566">
      <w:bodyDiv w:val="1"/>
      <w:marLeft w:val="0"/>
      <w:marRight w:val="0"/>
      <w:marTop w:val="0"/>
      <w:marBottom w:val="0"/>
      <w:divBdr>
        <w:top w:val="none" w:sz="0" w:space="0" w:color="auto"/>
        <w:left w:val="none" w:sz="0" w:space="0" w:color="auto"/>
        <w:bottom w:val="none" w:sz="0" w:space="0" w:color="auto"/>
        <w:right w:val="none" w:sz="0" w:space="0" w:color="auto"/>
      </w:divBdr>
    </w:div>
    <w:div w:id="1067413558">
      <w:bodyDiv w:val="1"/>
      <w:marLeft w:val="0"/>
      <w:marRight w:val="0"/>
      <w:marTop w:val="0"/>
      <w:marBottom w:val="0"/>
      <w:divBdr>
        <w:top w:val="none" w:sz="0" w:space="0" w:color="auto"/>
        <w:left w:val="none" w:sz="0" w:space="0" w:color="auto"/>
        <w:bottom w:val="none" w:sz="0" w:space="0" w:color="auto"/>
        <w:right w:val="none" w:sz="0" w:space="0" w:color="auto"/>
      </w:divBdr>
    </w:div>
    <w:div w:id="1068915543">
      <w:bodyDiv w:val="1"/>
      <w:marLeft w:val="0"/>
      <w:marRight w:val="0"/>
      <w:marTop w:val="0"/>
      <w:marBottom w:val="0"/>
      <w:divBdr>
        <w:top w:val="none" w:sz="0" w:space="0" w:color="auto"/>
        <w:left w:val="none" w:sz="0" w:space="0" w:color="auto"/>
        <w:bottom w:val="none" w:sz="0" w:space="0" w:color="auto"/>
        <w:right w:val="none" w:sz="0" w:space="0" w:color="auto"/>
      </w:divBdr>
    </w:div>
    <w:div w:id="1129738832">
      <w:bodyDiv w:val="1"/>
      <w:marLeft w:val="0"/>
      <w:marRight w:val="0"/>
      <w:marTop w:val="0"/>
      <w:marBottom w:val="0"/>
      <w:divBdr>
        <w:top w:val="none" w:sz="0" w:space="0" w:color="auto"/>
        <w:left w:val="none" w:sz="0" w:space="0" w:color="auto"/>
        <w:bottom w:val="none" w:sz="0" w:space="0" w:color="auto"/>
        <w:right w:val="none" w:sz="0" w:space="0" w:color="auto"/>
      </w:divBdr>
    </w:div>
    <w:div w:id="1147015459">
      <w:bodyDiv w:val="1"/>
      <w:marLeft w:val="0"/>
      <w:marRight w:val="0"/>
      <w:marTop w:val="0"/>
      <w:marBottom w:val="0"/>
      <w:divBdr>
        <w:top w:val="none" w:sz="0" w:space="0" w:color="auto"/>
        <w:left w:val="none" w:sz="0" w:space="0" w:color="auto"/>
        <w:bottom w:val="none" w:sz="0" w:space="0" w:color="auto"/>
        <w:right w:val="none" w:sz="0" w:space="0" w:color="auto"/>
      </w:divBdr>
    </w:div>
    <w:div w:id="1289900432">
      <w:bodyDiv w:val="1"/>
      <w:marLeft w:val="0"/>
      <w:marRight w:val="0"/>
      <w:marTop w:val="0"/>
      <w:marBottom w:val="0"/>
      <w:divBdr>
        <w:top w:val="none" w:sz="0" w:space="0" w:color="auto"/>
        <w:left w:val="none" w:sz="0" w:space="0" w:color="auto"/>
        <w:bottom w:val="none" w:sz="0" w:space="0" w:color="auto"/>
        <w:right w:val="none" w:sz="0" w:space="0" w:color="auto"/>
      </w:divBdr>
    </w:div>
    <w:div w:id="1322810838">
      <w:bodyDiv w:val="1"/>
      <w:marLeft w:val="0"/>
      <w:marRight w:val="0"/>
      <w:marTop w:val="0"/>
      <w:marBottom w:val="0"/>
      <w:divBdr>
        <w:top w:val="none" w:sz="0" w:space="0" w:color="auto"/>
        <w:left w:val="none" w:sz="0" w:space="0" w:color="auto"/>
        <w:bottom w:val="none" w:sz="0" w:space="0" w:color="auto"/>
        <w:right w:val="none" w:sz="0" w:space="0" w:color="auto"/>
      </w:divBdr>
    </w:div>
    <w:div w:id="1552158715">
      <w:bodyDiv w:val="1"/>
      <w:marLeft w:val="0"/>
      <w:marRight w:val="0"/>
      <w:marTop w:val="0"/>
      <w:marBottom w:val="0"/>
      <w:divBdr>
        <w:top w:val="none" w:sz="0" w:space="0" w:color="auto"/>
        <w:left w:val="none" w:sz="0" w:space="0" w:color="auto"/>
        <w:bottom w:val="none" w:sz="0" w:space="0" w:color="auto"/>
        <w:right w:val="none" w:sz="0" w:space="0" w:color="auto"/>
      </w:divBdr>
      <w:divsChild>
        <w:div w:id="849682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761973">
      <w:bodyDiv w:val="1"/>
      <w:marLeft w:val="0"/>
      <w:marRight w:val="0"/>
      <w:marTop w:val="0"/>
      <w:marBottom w:val="0"/>
      <w:divBdr>
        <w:top w:val="none" w:sz="0" w:space="0" w:color="auto"/>
        <w:left w:val="none" w:sz="0" w:space="0" w:color="auto"/>
        <w:bottom w:val="none" w:sz="0" w:space="0" w:color="auto"/>
        <w:right w:val="none" w:sz="0" w:space="0" w:color="auto"/>
      </w:divBdr>
    </w:div>
    <w:div w:id="1620716956">
      <w:bodyDiv w:val="1"/>
      <w:marLeft w:val="0"/>
      <w:marRight w:val="0"/>
      <w:marTop w:val="0"/>
      <w:marBottom w:val="0"/>
      <w:divBdr>
        <w:top w:val="none" w:sz="0" w:space="0" w:color="auto"/>
        <w:left w:val="none" w:sz="0" w:space="0" w:color="auto"/>
        <w:bottom w:val="none" w:sz="0" w:space="0" w:color="auto"/>
        <w:right w:val="none" w:sz="0" w:space="0" w:color="auto"/>
      </w:divBdr>
    </w:div>
    <w:div w:id="1647664624">
      <w:bodyDiv w:val="1"/>
      <w:marLeft w:val="0"/>
      <w:marRight w:val="0"/>
      <w:marTop w:val="0"/>
      <w:marBottom w:val="0"/>
      <w:divBdr>
        <w:top w:val="none" w:sz="0" w:space="0" w:color="auto"/>
        <w:left w:val="none" w:sz="0" w:space="0" w:color="auto"/>
        <w:bottom w:val="none" w:sz="0" w:space="0" w:color="auto"/>
        <w:right w:val="none" w:sz="0" w:space="0" w:color="auto"/>
      </w:divBdr>
    </w:div>
    <w:div w:id="1817646183">
      <w:bodyDiv w:val="1"/>
      <w:marLeft w:val="0"/>
      <w:marRight w:val="0"/>
      <w:marTop w:val="0"/>
      <w:marBottom w:val="0"/>
      <w:divBdr>
        <w:top w:val="none" w:sz="0" w:space="0" w:color="auto"/>
        <w:left w:val="none" w:sz="0" w:space="0" w:color="auto"/>
        <w:bottom w:val="none" w:sz="0" w:space="0" w:color="auto"/>
        <w:right w:val="none" w:sz="0" w:space="0" w:color="auto"/>
      </w:divBdr>
    </w:div>
    <w:div w:id="1822967493">
      <w:bodyDiv w:val="1"/>
      <w:marLeft w:val="0"/>
      <w:marRight w:val="0"/>
      <w:marTop w:val="0"/>
      <w:marBottom w:val="0"/>
      <w:divBdr>
        <w:top w:val="none" w:sz="0" w:space="0" w:color="auto"/>
        <w:left w:val="none" w:sz="0" w:space="0" w:color="auto"/>
        <w:bottom w:val="none" w:sz="0" w:space="0" w:color="auto"/>
        <w:right w:val="none" w:sz="0" w:space="0" w:color="auto"/>
      </w:divBdr>
    </w:div>
    <w:div w:id="1831827018">
      <w:bodyDiv w:val="1"/>
      <w:marLeft w:val="0"/>
      <w:marRight w:val="0"/>
      <w:marTop w:val="0"/>
      <w:marBottom w:val="0"/>
      <w:divBdr>
        <w:top w:val="none" w:sz="0" w:space="0" w:color="auto"/>
        <w:left w:val="none" w:sz="0" w:space="0" w:color="auto"/>
        <w:bottom w:val="none" w:sz="0" w:space="0" w:color="auto"/>
        <w:right w:val="none" w:sz="0" w:space="0" w:color="auto"/>
      </w:divBdr>
    </w:div>
    <w:div w:id="1874463142">
      <w:bodyDiv w:val="1"/>
      <w:marLeft w:val="0"/>
      <w:marRight w:val="0"/>
      <w:marTop w:val="0"/>
      <w:marBottom w:val="0"/>
      <w:divBdr>
        <w:top w:val="none" w:sz="0" w:space="0" w:color="auto"/>
        <w:left w:val="none" w:sz="0" w:space="0" w:color="auto"/>
        <w:bottom w:val="none" w:sz="0" w:space="0" w:color="auto"/>
        <w:right w:val="none" w:sz="0" w:space="0" w:color="auto"/>
      </w:divBdr>
    </w:div>
    <w:div w:id="1888562836">
      <w:bodyDiv w:val="1"/>
      <w:marLeft w:val="0"/>
      <w:marRight w:val="0"/>
      <w:marTop w:val="0"/>
      <w:marBottom w:val="0"/>
      <w:divBdr>
        <w:top w:val="none" w:sz="0" w:space="0" w:color="auto"/>
        <w:left w:val="none" w:sz="0" w:space="0" w:color="auto"/>
        <w:bottom w:val="none" w:sz="0" w:space="0" w:color="auto"/>
        <w:right w:val="none" w:sz="0" w:space="0" w:color="auto"/>
      </w:divBdr>
      <w:divsChild>
        <w:div w:id="1193763803">
          <w:marLeft w:val="0"/>
          <w:marRight w:val="0"/>
          <w:marTop w:val="0"/>
          <w:marBottom w:val="0"/>
          <w:divBdr>
            <w:top w:val="none" w:sz="0" w:space="0" w:color="auto"/>
            <w:left w:val="none" w:sz="0" w:space="0" w:color="auto"/>
            <w:bottom w:val="none" w:sz="0" w:space="0" w:color="auto"/>
            <w:right w:val="none" w:sz="0" w:space="0" w:color="auto"/>
          </w:divBdr>
          <w:divsChild>
            <w:div w:id="1401908340">
              <w:marLeft w:val="0"/>
              <w:marRight w:val="0"/>
              <w:marTop w:val="0"/>
              <w:marBottom w:val="0"/>
              <w:divBdr>
                <w:top w:val="none" w:sz="0" w:space="0" w:color="auto"/>
                <w:left w:val="none" w:sz="0" w:space="0" w:color="auto"/>
                <w:bottom w:val="none" w:sz="0" w:space="0" w:color="auto"/>
                <w:right w:val="none" w:sz="0" w:space="0" w:color="auto"/>
              </w:divBdr>
              <w:divsChild>
                <w:div w:id="1085763747">
                  <w:marLeft w:val="0"/>
                  <w:marRight w:val="0"/>
                  <w:marTop w:val="0"/>
                  <w:marBottom w:val="0"/>
                  <w:divBdr>
                    <w:top w:val="none" w:sz="0" w:space="0" w:color="auto"/>
                    <w:left w:val="none" w:sz="0" w:space="0" w:color="auto"/>
                    <w:bottom w:val="none" w:sz="0" w:space="0" w:color="auto"/>
                    <w:right w:val="none" w:sz="0" w:space="0" w:color="auto"/>
                  </w:divBdr>
                  <w:divsChild>
                    <w:div w:id="2071221835">
                      <w:marLeft w:val="0"/>
                      <w:marRight w:val="0"/>
                      <w:marTop w:val="0"/>
                      <w:marBottom w:val="0"/>
                      <w:divBdr>
                        <w:top w:val="none" w:sz="0" w:space="0" w:color="auto"/>
                        <w:left w:val="none" w:sz="0" w:space="0" w:color="auto"/>
                        <w:bottom w:val="none" w:sz="0" w:space="0" w:color="auto"/>
                        <w:right w:val="none" w:sz="0" w:space="0" w:color="auto"/>
                      </w:divBdr>
                      <w:divsChild>
                        <w:div w:id="351301453">
                          <w:marLeft w:val="0"/>
                          <w:marRight w:val="0"/>
                          <w:marTop w:val="0"/>
                          <w:marBottom w:val="0"/>
                          <w:divBdr>
                            <w:top w:val="none" w:sz="0" w:space="0" w:color="auto"/>
                            <w:left w:val="none" w:sz="0" w:space="0" w:color="auto"/>
                            <w:bottom w:val="none" w:sz="0" w:space="0" w:color="auto"/>
                            <w:right w:val="none" w:sz="0" w:space="0" w:color="auto"/>
                          </w:divBdr>
                          <w:divsChild>
                            <w:div w:id="1970627118">
                              <w:marLeft w:val="0"/>
                              <w:marRight w:val="0"/>
                              <w:marTop w:val="0"/>
                              <w:marBottom w:val="0"/>
                              <w:divBdr>
                                <w:top w:val="none" w:sz="0" w:space="0" w:color="auto"/>
                                <w:left w:val="none" w:sz="0" w:space="0" w:color="auto"/>
                                <w:bottom w:val="none" w:sz="0" w:space="0" w:color="auto"/>
                                <w:right w:val="none" w:sz="0" w:space="0" w:color="auto"/>
                              </w:divBdr>
                              <w:divsChild>
                                <w:div w:id="1808545529">
                                  <w:marLeft w:val="0"/>
                                  <w:marRight w:val="0"/>
                                  <w:marTop w:val="0"/>
                                  <w:marBottom w:val="0"/>
                                  <w:divBdr>
                                    <w:top w:val="none" w:sz="0" w:space="0" w:color="auto"/>
                                    <w:left w:val="none" w:sz="0" w:space="0" w:color="auto"/>
                                    <w:bottom w:val="none" w:sz="0" w:space="0" w:color="auto"/>
                                    <w:right w:val="none" w:sz="0" w:space="0" w:color="auto"/>
                                  </w:divBdr>
                                  <w:divsChild>
                                    <w:div w:id="1210874684">
                                      <w:marLeft w:val="0"/>
                                      <w:marRight w:val="0"/>
                                      <w:marTop w:val="0"/>
                                      <w:marBottom w:val="0"/>
                                      <w:divBdr>
                                        <w:top w:val="none" w:sz="0" w:space="0" w:color="auto"/>
                                        <w:left w:val="none" w:sz="0" w:space="0" w:color="auto"/>
                                        <w:bottom w:val="none" w:sz="0" w:space="0" w:color="auto"/>
                                        <w:right w:val="none" w:sz="0" w:space="0" w:color="auto"/>
                                      </w:divBdr>
                                      <w:divsChild>
                                        <w:div w:id="1602640974">
                                          <w:marLeft w:val="0"/>
                                          <w:marRight w:val="0"/>
                                          <w:marTop w:val="0"/>
                                          <w:marBottom w:val="0"/>
                                          <w:divBdr>
                                            <w:top w:val="none" w:sz="0" w:space="0" w:color="auto"/>
                                            <w:left w:val="none" w:sz="0" w:space="0" w:color="auto"/>
                                            <w:bottom w:val="none" w:sz="0" w:space="0" w:color="auto"/>
                                            <w:right w:val="none" w:sz="0" w:space="0" w:color="auto"/>
                                          </w:divBdr>
                                          <w:divsChild>
                                            <w:div w:id="1019770857">
                                              <w:marLeft w:val="0"/>
                                              <w:marRight w:val="0"/>
                                              <w:marTop w:val="0"/>
                                              <w:marBottom w:val="0"/>
                                              <w:divBdr>
                                                <w:top w:val="none" w:sz="0" w:space="0" w:color="auto"/>
                                                <w:left w:val="none" w:sz="0" w:space="0" w:color="auto"/>
                                                <w:bottom w:val="none" w:sz="0" w:space="0" w:color="auto"/>
                                                <w:right w:val="none" w:sz="0" w:space="0" w:color="auto"/>
                                              </w:divBdr>
                                              <w:divsChild>
                                                <w:div w:id="2035887756">
                                                  <w:marLeft w:val="0"/>
                                                  <w:marRight w:val="0"/>
                                                  <w:marTop w:val="0"/>
                                                  <w:marBottom w:val="0"/>
                                                  <w:divBdr>
                                                    <w:top w:val="none" w:sz="0" w:space="0" w:color="auto"/>
                                                    <w:left w:val="none" w:sz="0" w:space="0" w:color="auto"/>
                                                    <w:bottom w:val="none" w:sz="0" w:space="0" w:color="auto"/>
                                                    <w:right w:val="none" w:sz="0" w:space="0" w:color="auto"/>
                                                  </w:divBdr>
                                                  <w:divsChild>
                                                    <w:div w:id="4513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3142438">
                      <w:marLeft w:val="0"/>
                      <w:marRight w:val="0"/>
                      <w:marTop w:val="0"/>
                      <w:marBottom w:val="0"/>
                      <w:divBdr>
                        <w:top w:val="none" w:sz="0" w:space="0" w:color="auto"/>
                        <w:left w:val="none" w:sz="0" w:space="0" w:color="auto"/>
                        <w:bottom w:val="none" w:sz="0" w:space="0" w:color="auto"/>
                        <w:right w:val="none" w:sz="0" w:space="0" w:color="auto"/>
                      </w:divBdr>
                      <w:divsChild>
                        <w:div w:id="1271158421">
                          <w:marLeft w:val="0"/>
                          <w:marRight w:val="0"/>
                          <w:marTop w:val="0"/>
                          <w:marBottom w:val="0"/>
                          <w:divBdr>
                            <w:top w:val="none" w:sz="0" w:space="0" w:color="auto"/>
                            <w:left w:val="none" w:sz="0" w:space="0" w:color="auto"/>
                            <w:bottom w:val="none" w:sz="0" w:space="0" w:color="auto"/>
                            <w:right w:val="none" w:sz="0" w:space="0" w:color="auto"/>
                          </w:divBdr>
                          <w:divsChild>
                            <w:div w:id="788356585">
                              <w:marLeft w:val="0"/>
                              <w:marRight w:val="0"/>
                              <w:marTop w:val="0"/>
                              <w:marBottom w:val="0"/>
                              <w:divBdr>
                                <w:top w:val="none" w:sz="0" w:space="0" w:color="auto"/>
                                <w:left w:val="none" w:sz="0" w:space="0" w:color="auto"/>
                                <w:bottom w:val="none" w:sz="0" w:space="0" w:color="auto"/>
                                <w:right w:val="none" w:sz="0" w:space="0" w:color="auto"/>
                              </w:divBdr>
                              <w:divsChild>
                                <w:div w:id="589047912">
                                  <w:marLeft w:val="0"/>
                                  <w:marRight w:val="0"/>
                                  <w:marTop w:val="0"/>
                                  <w:marBottom w:val="0"/>
                                  <w:divBdr>
                                    <w:top w:val="none" w:sz="0" w:space="0" w:color="auto"/>
                                    <w:left w:val="none" w:sz="0" w:space="0" w:color="auto"/>
                                    <w:bottom w:val="none" w:sz="0" w:space="0" w:color="auto"/>
                                    <w:right w:val="none" w:sz="0" w:space="0" w:color="auto"/>
                                  </w:divBdr>
                                  <w:divsChild>
                                    <w:div w:id="1141193566">
                                      <w:marLeft w:val="0"/>
                                      <w:marRight w:val="0"/>
                                      <w:marTop w:val="0"/>
                                      <w:marBottom w:val="0"/>
                                      <w:divBdr>
                                        <w:top w:val="none" w:sz="0" w:space="0" w:color="auto"/>
                                        <w:left w:val="none" w:sz="0" w:space="0" w:color="auto"/>
                                        <w:bottom w:val="none" w:sz="0" w:space="0" w:color="auto"/>
                                        <w:right w:val="none" w:sz="0" w:space="0" w:color="auto"/>
                                      </w:divBdr>
                                      <w:divsChild>
                                        <w:div w:id="1723746387">
                                          <w:marLeft w:val="0"/>
                                          <w:marRight w:val="0"/>
                                          <w:marTop w:val="0"/>
                                          <w:marBottom w:val="0"/>
                                          <w:divBdr>
                                            <w:top w:val="none" w:sz="0" w:space="0" w:color="auto"/>
                                            <w:left w:val="none" w:sz="0" w:space="0" w:color="auto"/>
                                            <w:bottom w:val="none" w:sz="0" w:space="0" w:color="auto"/>
                                            <w:right w:val="none" w:sz="0" w:space="0" w:color="auto"/>
                                          </w:divBdr>
                                          <w:divsChild>
                                            <w:div w:id="1352143986">
                                              <w:marLeft w:val="0"/>
                                              <w:marRight w:val="0"/>
                                              <w:marTop w:val="0"/>
                                              <w:marBottom w:val="0"/>
                                              <w:divBdr>
                                                <w:top w:val="none" w:sz="0" w:space="0" w:color="auto"/>
                                                <w:left w:val="none" w:sz="0" w:space="0" w:color="auto"/>
                                                <w:bottom w:val="none" w:sz="0" w:space="0" w:color="auto"/>
                                                <w:right w:val="none" w:sz="0" w:space="0" w:color="auto"/>
                                              </w:divBdr>
                                              <w:divsChild>
                                                <w:div w:id="356203693">
                                                  <w:marLeft w:val="0"/>
                                                  <w:marRight w:val="0"/>
                                                  <w:marTop w:val="0"/>
                                                  <w:marBottom w:val="0"/>
                                                  <w:divBdr>
                                                    <w:top w:val="none" w:sz="0" w:space="0" w:color="auto"/>
                                                    <w:left w:val="none" w:sz="0" w:space="0" w:color="auto"/>
                                                    <w:bottom w:val="none" w:sz="0" w:space="0" w:color="auto"/>
                                                    <w:right w:val="none" w:sz="0" w:space="0" w:color="auto"/>
                                                  </w:divBdr>
                                                  <w:divsChild>
                                                    <w:div w:id="1694726773">
                                                      <w:marLeft w:val="0"/>
                                                      <w:marRight w:val="0"/>
                                                      <w:marTop w:val="0"/>
                                                      <w:marBottom w:val="0"/>
                                                      <w:divBdr>
                                                        <w:top w:val="none" w:sz="0" w:space="0" w:color="auto"/>
                                                        <w:left w:val="none" w:sz="0" w:space="0" w:color="auto"/>
                                                        <w:bottom w:val="none" w:sz="0" w:space="0" w:color="auto"/>
                                                        <w:right w:val="none" w:sz="0" w:space="0" w:color="auto"/>
                                                      </w:divBdr>
                                                      <w:divsChild>
                                                        <w:div w:id="40307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479485">
                      <w:marLeft w:val="0"/>
                      <w:marRight w:val="0"/>
                      <w:marTop w:val="0"/>
                      <w:marBottom w:val="0"/>
                      <w:divBdr>
                        <w:top w:val="none" w:sz="0" w:space="0" w:color="auto"/>
                        <w:left w:val="none" w:sz="0" w:space="0" w:color="auto"/>
                        <w:bottom w:val="none" w:sz="0" w:space="0" w:color="auto"/>
                        <w:right w:val="none" w:sz="0" w:space="0" w:color="auto"/>
                      </w:divBdr>
                      <w:divsChild>
                        <w:div w:id="1512380807">
                          <w:marLeft w:val="0"/>
                          <w:marRight w:val="0"/>
                          <w:marTop w:val="0"/>
                          <w:marBottom w:val="0"/>
                          <w:divBdr>
                            <w:top w:val="none" w:sz="0" w:space="0" w:color="auto"/>
                            <w:left w:val="none" w:sz="0" w:space="0" w:color="auto"/>
                            <w:bottom w:val="none" w:sz="0" w:space="0" w:color="auto"/>
                            <w:right w:val="none" w:sz="0" w:space="0" w:color="auto"/>
                          </w:divBdr>
                          <w:divsChild>
                            <w:div w:id="63379840">
                              <w:marLeft w:val="0"/>
                              <w:marRight w:val="0"/>
                              <w:marTop w:val="0"/>
                              <w:marBottom w:val="0"/>
                              <w:divBdr>
                                <w:top w:val="none" w:sz="0" w:space="0" w:color="auto"/>
                                <w:left w:val="none" w:sz="0" w:space="0" w:color="auto"/>
                                <w:bottom w:val="none" w:sz="0" w:space="0" w:color="auto"/>
                                <w:right w:val="none" w:sz="0" w:space="0" w:color="auto"/>
                              </w:divBdr>
                              <w:divsChild>
                                <w:div w:id="366371356">
                                  <w:marLeft w:val="0"/>
                                  <w:marRight w:val="0"/>
                                  <w:marTop w:val="0"/>
                                  <w:marBottom w:val="0"/>
                                  <w:divBdr>
                                    <w:top w:val="none" w:sz="0" w:space="0" w:color="auto"/>
                                    <w:left w:val="none" w:sz="0" w:space="0" w:color="auto"/>
                                    <w:bottom w:val="none" w:sz="0" w:space="0" w:color="auto"/>
                                    <w:right w:val="none" w:sz="0" w:space="0" w:color="auto"/>
                                  </w:divBdr>
                                  <w:divsChild>
                                    <w:div w:id="1595166199">
                                      <w:marLeft w:val="0"/>
                                      <w:marRight w:val="0"/>
                                      <w:marTop w:val="0"/>
                                      <w:marBottom w:val="0"/>
                                      <w:divBdr>
                                        <w:top w:val="none" w:sz="0" w:space="0" w:color="auto"/>
                                        <w:left w:val="none" w:sz="0" w:space="0" w:color="auto"/>
                                        <w:bottom w:val="none" w:sz="0" w:space="0" w:color="auto"/>
                                        <w:right w:val="none" w:sz="0" w:space="0" w:color="auto"/>
                                      </w:divBdr>
                                      <w:divsChild>
                                        <w:div w:id="1517692896">
                                          <w:marLeft w:val="0"/>
                                          <w:marRight w:val="0"/>
                                          <w:marTop w:val="0"/>
                                          <w:marBottom w:val="0"/>
                                          <w:divBdr>
                                            <w:top w:val="none" w:sz="0" w:space="0" w:color="auto"/>
                                            <w:left w:val="none" w:sz="0" w:space="0" w:color="auto"/>
                                            <w:bottom w:val="none" w:sz="0" w:space="0" w:color="auto"/>
                                            <w:right w:val="none" w:sz="0" w:space="0" w:color="auto"/>
                                          </w:divBdr>
                                          <w:divsChild>
                                            <w:div w:id="1907763292">
                                              <w:marLeft w:val="0"/>
                                              <w:marRight w:val="0"/>
                                              <w:marTop w:val="0"/>
                                              <w:marBottom w:val="0"/>
                                              <w:divBdr>
                                                <w:top w:val="none" w:sz="0" w:space="0" w:color="auto"/>
                                                <w:left w:val="none" w:sz="0" w:space="0" w:color="auto"/>
                                                <w:bottom w:val="none" w:sz="0" w:space="0" w:color="auto"/>
                                                <w:right w:val="none" w:sz="0" w:space="0" w:color="auto"/>
                                              </w:divBdr>
                                              <w:divsChild>
                                                <w:div w:id="2027052819">
                                                  <w:marLeft w:val="0"/>
                                                  <w:marRight w:val="0"/>
                                                  <w:marTop w:val="0"/>
                                                  <w:marBottom w:val="0"/>
                                                  <w:divBdr>
                                                    <w:top w:val="none" w:sz="0" w:space="0" w:color="auto"/>
                                                    <w:left w:val="none" w:sz="0" w:space="0" w:color="auto"/>
                                                    <w:bottom w:val="none" w:sz="0" w:space="0" w:color="auto"/>
                                                    <w:right w:val="none" w:sz="0" w:space="0" w:color="auto"/>
                                                  </w:divBdr>
                                                  <w:divsChild>
                                                    <w:div w:id="12659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508387">
                      <w:marLeft w:val="0"/>
                      <w:marRight w:val="0"/>
                      <w:marTop w:val="0"/>
                      <w:marBottom w:val="0"/>
                      <w:divBdr>
                        <w:top w:val="none" w:sz="0" w:space="0" w:color="auto"/>
                        <w:left w:val="none" w:sz="0" w:space="0" w:color="auto"/>
                        <w:bottom w:val="none" w:sz="0" w:space="0" w:color="auto"/>
                        <w:right w:val="none" w:sz="0" w:space="0" w:color="auto"/>
                      </w:divBdr>
                      <w:divsChild>
                        <w:div w:id="1158300612">
                          <w:marLeft w:val="0"/>
                          <w:marRight w:val="0"/>
                          <w:marTop w:val="0"/>
                          <w:marBottom w:val="0"/>
                          <w:divBdr>
                            <w:top w:val="none" w:sz="0" w:space="0" w:color="auto"/>
                            <w:left w:val="none" w:sz="0" w:space="0" w:color="auto"/>
                            <w:bottom w:val="none" w:sz="0" w:space="0" w:color="auto"/>
                            <w:right w:val="none" w:sz="0" w:space="0" w:color="auto"/>
                          </w:divBdr>
                          <w:divsChild>
                            <w:div w:id="1620604544">
                              <w:marLeft w:val="0"/>
                              <w:marRight w:val="0"/>
                              <w:marTop w:val="0"/>
                              <w:marBottom w:val="0"/>
                              <w:divBdr>
                                <w:top w:val="none" w:sz="0" w:space="0" w:color="auto"/>
                                <w:left w:val="none" w:sz="0" w:space="0" w:color="auto"/>
                                <w:bottom w:val="none" w:sz="0" w:space="0" w:color="auto"/>
                                <w:right w:val="none" w:sz="0" w:space="0" w:color="auto"/>
                              </w:divBdr>
                              <w:divsChild>
                                <w:div w:id="198053655">
                                  <w:marLeft w:val="0"/>
                                  <w:marRight w:val="0"/>
                                  <w:marTop w:val="0"/>
                                  <w:marBottom w:val="0"/>
                                  <w:divBdr>
                                    <w:top w:val="none" w:sz="0" w:space="0" w:color="auto"/>
                                    <w:left w:val="none" w:sz="0" w:space="0" w:color="auto"/>
                                    <w:bottom w:val="none" w:sz="0" w:space="0" w:color="auto"/>
                                    <w:right w:val="none" w:sz="0" w:space="0" w:color="auto"/>
                                  </w:divBdr>
                                  <w:divsChild>
                                    <w:div w:id="1258172686">
                                      <w:marLeft w:val="0"/>
                                      <w:marRight w:val="0"/>
                                      <w:marTop w:val="0"/>
                                      <w:marBottom w:val="0"/>
                                      <w:divBdr>
                                        <w:top w:val="none" w:sz="0" w:space="0" w:color="auto"/>
                                        <w:left w:val="none" w:sz="0" w:space="0" w:color="auto"/>
                                        <w:bottom w:val="none" w:sz="0" w:space="0" w:color="auto"/>
                                        <w:right w:val="none" w:sz="0" w:space="0" w:color="auto"/>
                                      </w:divBdr>
                                      <w:divsChild>
                                        <w:div w:id="1780686812">
                                          <w:marLeft w:val="0"/>
                                          <w:marRight w:val="0"/>
                                          <w:marTop w:val="0"/>
                                          <w:marBottom w:val="0"/>
                                          <w:divBdr>
                                            <w:top w:val="none" w:sz="0" w:space="0" w:color="auto"/>
                                            <w:left w:val="none" w:sz="0" w:space="0" w:color="auto"/>
                                            <w:bottom w:val="none" w:sz="0" w:space="0" w:color="auto"/>
                                            <w:right w:val="none" w:sz="0" w:space="0" w:color="auto"/>
                                          </w:divBdr>
                                          <w:divsChild>
                                            <w:div w:id="956521104">
                                              <w:marLeft w:val="0"/>
                                              <w:marRight w:val="0"/>
                                              <w:marTop w:val="0"/>
                                              <w:marBottom w:val="0"/>
                                              <w:divBdr>
                                                <w:top w:val="none" w:sz="0" w:space="0" w:color="auto"/>
                                                <w:left w:val="none" w:sz="0" w:space="0" w:color="auto"/>
                                                <w:bottom w:val="none" w:sz="0" w:space="0" w:color="auto"/>
                                                <w:right w:val="none" w:sz="0" w:space="0" w:color="auto"/>
                                              </w:divBdr>
                                              <w:divsChild>
                                                <w:div w:id="970671654">
                                                  <w:marLeft w:val="0"/>
                                                  <w:marRight w:val="0"/>
                                                  <w:marTop w:val="0"/>
                                                  <w:marBottom w:val="0"/>
                                                  <w:divBdr>
                                                    <w:top w:val="none" w:sz="0" w:space="0" w:color="auto"/>
                                                    <w:left w:val="none" w:sz="0" w:space="0" w:color="auto"/>
                                                    <w:bottom w:val="none" w:sz="0" w:space="0" w:color="auto"/>
                                                    <w:right w:val="none" w:sz="0" w:space="0" w:color="auto"/>
                                                  </w:divBdr>
                                                  <w:divsChild>
                                                    <w:div w:id="2084374059">
                                                      <w:marLeft w:val="0"/>
                                                      <w:marRight w:val="0"/>
                                                      <w:marTop w:val="0"/>
                                                      <w:marBottom w:val="0"/>
                                                      <w:divBdr>
                                                        <w:top w:val="none" w:sz="0" w:space="0" w:color="auto"/>
                                                        <w:left w:val="none" w:sz="0" w:space="0" w:color="auto"/>
                                                        <w:bottom w:val="none" w:sz="0" w:space="0" w:color="auto"/>
                                                        <w:right w:val="none" w:sz="0" w:space="0" w:color="auto"/>
                                                      </w:divBdr>
                                                      <w:divsChild>
                                                        <w:div w:id="4363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0888132">
                      <w:marLeft w:val="0"/>
                      <w:marRight w:val="0"/>
                      <w:marTop w:val="0"/>
                      <w:marBottom w:val="0"/>
                      <w:divBdr>
                        <w:top w:val="none" w:sz="0" w:space="0" w:color="auto"/>
                        <w:left w:val="none" w:sz="0" w:space="0" w:color="auto"/>
                        <w:bottom w:val="none" w:sz="0" w:space="0" w:color="auto"/>
                        <w:right w:val="none" w:sz="0" w:space="0" w:color="auto"/>
                      </w:divBdr>
                      <w:divsChild>
                        <w:div w:id="1743868213">
                          <w:marLeft w:val="0"/>
                          <w:marRight w:val="0"/>
                          <w:marTop w:val="0"/>
                          <w:marBottom w:val="0"/>
                          <w:divBdr>
                            <w:top w:val="none" w:sz="0" w:space="0" w:color="auto"/>
                            <w:left w:val="none" w:sz="0" w:space="0" w:color="auto"/>
                            <w:bottom w:val="none" w:sz="0" w:space="0" w:color="auto"/>
                            <w:right w:val="none" w:sz="0" w:space="0" w:color="auto"/>
                          </w:divBdr>
                          <w:divsChild>
                            <w:div w:id="215243798">
                              <w:marLeft w:val="0"/>
                              <w:marRight w:val="0"/>
                              <w:marTop w:val="0"/>
                              <w:marBottom w:val="0"/>
                              <w:divBdr>
                                <w:top w:val="none" w:sz="0" w:space="0" w:color="auto"/>
                                <w:left w:val="none" w:sz="0" w:space="0" w:color="auto"/>
                                <w:bottom w:val="none" w:sz="0" w:space="0" w:color="auto"/>
                                <w:right w:val="none" w:sz="0" w:space="0" w:color="auto"/>
                              </w:divBdr>
                              <w:divsChild>
                                <w:div w:id="1206792439">
                                  <w:marLeft w:val="0"/>
                                  <w:marRight w:val="0"/>
                                  <w:marTop w:val="0"/>
                                  <w:marBottom w:val="0"/>
                                  <w:divBdr>
                                    <w:top w:val="none" w:sz="0" w:space="0" w:color="auto"/>
                                    <w:left w:val="none" w:sz="0" w:space="0" w:color="auto"/>
                                    <w:bottom w:val="none" w:sz="0" w:space="0" w:color="auto"/>
                                    <w:right w:val="none" w:sz="0" w:space="0" w:color="auto"/>
                                  </w:divBdr>
                                  <w:divsChild>
                                    <w:div w:id="219679703">
                                      <w:marLeft w:val="0"/>
                                      <w:marRight w:val="0"/>
                                      <w:marTop w:val="0"/>
                                      <w:marBottom w:val="0"/>
                                      <w:divBdr>
                                        <w:top w:val="none" w:sz="0" w:space="0" w:color="auto"/>
                                        <w:left w:val="none" w:sz="0" w:space="0" w:color="auto"/>
                                        <w:bottom w:val="none" w:sz="0" w:space="0" w:color="auto"/>
                                        <w:right w:val="none" w:sz="0" w:space="0" w:color="auto"/>
                                      </w:divBdr>
                                      <w:divsChild>
                                        <w:div w:id="1264190081">
                                          <w:marLeft w:val="0"/>
                                          <w:marRight w:val="0"/>
                                          <w:marTop w:val="0"/>
                                          <w:marBottom w:val="0"/>
                                          <w:divBdr>
                                            <w:top w:val="none" w:sz="0" w:space="0" w:color="auto"/>
                                            <w:left w:val="none" w:sz="0" w:space="0" w:color="auto"/>
                                            <w:bottom w:val="none" w:sz="0" w:space="0" w:color="auto"/>
                                            <w:right w:val="none" w:sz="0" w:space="0" w:color="auto"/>
                                          </w:divBdr>
                                          <w:divsChild>
                                            <w:div w:id="900991512">
                                              <w:marLeft w:val="0"/>
                                              <w:marRight w:val="0"/>
                                              <w:marTop w:val="0"/>
                                              <w:marBottom w:val="0"/>
                                              <w:divBdr>
                                                <w:top w:val="none" w:sz="0" w:space="0" w:color="auto"/>
                                                <w:left w:val="none" w:sz="0" w:space="0" w:color="auto"/>
                                                <w:bottom w:val="none" w:sz="0" w:space="0" w:color="auto"/>
                                                <w:right w:val="none" w:sz="0" w:space="0" w:color="auto"/>
                                              </w:divBdr>
                                              <w:divsChild>
                                                <w:div w:id="485976756">
                                                  <w:marLeft w:val="0"/>
                                                  <w:marRight w:val="0"/>
                                                  <w:marTop w:val="0"/>
                                                  <w:marBottom w:val="0"/>
                                                  <w:divBdr>
                                                    <w:top w:val="none" w:sz="0" w:space="0" w:color="auto"/>
                                                    <w:left w:val="none" w:sz="0" w:space="0" w:color="auto"/>
                                                    <w:bottom w:val="none" w:sz="0" w:space="0" w:color="auto"/>
                                                    <w:right w:val="none" w:sz="0" w:space="0" w:color="auto"/>
                                                  </w:divBdr>
                                                  <w:divsChild>
                                                    <w:div w:id="400106219">
                                                      <w:marLeft w:val="0"/>
                                                      <w:marRight w:val="0"/>
                                                      <w:marTop w:val="0"/>
                                                      <w:marBottom w:val="0"/>
                                                      <w:divBdr>
                                                        <w:top w:val="none" w:sz="0" w:space="0" w:color="auto"/>
                                                        <w:left w:val="none" w:sz="0" w:space="0" w:color="auto"/>
                                                        <w:bottom w:val="none" w:sz="0" w:space="0" w:color="auto"/>
                                                        <w:right w:val="none" w:sz="0" w:space="0" w:color="auto"/>
                                                      </w:divBdr>
                                                      <w:divsChild>
                                                        <w:div w:id="123832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206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345344">
      <w:bodyDiv w:val="1"/>
      <w:marLeft w:val="0"/>
      <w:marRight w:val="0"/>
      <w:marTop w:val="0"/>
      <w:marBottom w:val="0"/>
      <w:divBdr>
        <w:top w:val="none" w:sz="0" w:space="0" w:color="auto"/>
        <w:left w:val="none" w:sz="0" w:space="0" w:color="auto"/>
        <w:bottom w:val="none" w:sz="0" w:space="0" w:color="auto"/>
        <w:right w:val="none" w:sz="0" w:space="0" w:color="auto"/>
      </w:divBdr>
    </w:div>
    <w:div w:id="1986230169">
      <w:bodyDiv w:val="1"/>
      <w:marLeft w:val="0"/>
      <w:marRight w:val="0"/>
      <w:marTop w:val="0"/>
      <w:marBottom w:val="0"/>
      <w:divBdr>
        <w:top w:val="none" w:sz="0" w:space="0" w:color="auto"/>
        <w:left w:val="none" w:sz="0" w:space="0" w:color="auto"/>
        <w:bottom w:val="none" w:sz="0" w:space="0" w:color="auto"/>
        <w:right w:val="none" w:sz="0" w:space="0" w:color="auto"/>
      </w:divBdr>
    </w:div>
    <w:div w:id="2107269944">
      <w:bodyDiv w:val="1"/>
      <w:marLeft w:val="0"/>
      <w:marRight w:val="0"/>
      <w:marTop w:val="0"/>
      <w:marBottom w:val="0"/>
      <w:divBdr>
        <w:top w:val="none" w:sz="0" w:space="0" w:color="auto"/>
        <w:left w:val="none" w:sz="0" w:space="0" w:color="auto"/>
        <w:bottom w:val="none" w:sz="0" w:space="0" w:color="auto"/>
        <w:right w:val="none" w:sz="0" w:space="0" w:color="auto"/>
      </w:divBdr>
    </w:div>
    <w:div w:id="214125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9801</Words>
  <Characters>55866</Characters>
  <Application>Microsoft Office Word</Application>
  <DocSecurity>0</DocSecurity>
  <Lines>465</Lines>
  <Paragraphs>131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sohn</dc:creator>
  <cp:keywords/>
  <dc:description/>
  <cp:lastModifiedBy>sohn</cp:lastModifiedBy>
  <cp:revision>2</cp:revision>
  <dcterms:created xsi:type="dcterms:W3CDTF">2026-10-15T06:13:00Z</dcterms:created>
  <dcterms:modified xsi:type="dcterms:W3CDTF">2026-10-15T06:13:00Z</dcterms:modified>
</cp:coreProperties>
</file>