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22C55E"/>
          <w:sz w:val="44"/>
        </w:rPr>
        <w:t>⚽  AGENTE DE APUESTAS DEPORTIVAS</w:t>
      </w:r>
    </w:p>
    <w:p>
      <w:pPr>
        <w:jc w:val="center"/>
      </w:pPr>
      <w:r>
        <w:rPr>
          <w:color w:val="64748B"/>
          <w:sz w:val="28"/>
        </w:rPr>
        <w:t>Manual del Sistema — Sprint 10</w:t>
      </w:r>
    </w:p>
    <w:p>
      <w:pPr>
        <w:jc w:val="center"/>
      </w:pPr>
      <w:r>
        <w:rPr>
          <w:color w:val="3B82F6"/>
          <w:sz w:val="22"/>
        </w:rPr>
        <w:t>XGBoost + Pi-Rating + xG Histórico + Transfermarkt</w:t>
      </w:r>
    </w:p>
    <w:p>
      <w:pPr>
        <w:jc w:val="center"/>
      </w:pPr>
      <w:r>
        <w:rPr>
          <w:i/>
          <w:color w:val="64748B"/>
          <w:sz w:val="18"/>
        </w:rPr>
        <w:t>Actualizado: 24/03/2026  ·  Desarrollado con Claude Code (Anthropic)  ·  Sócrates Cabral</w:t>
      </w:r>
    </w:p>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E293B"/>
          </w:tcPr>
          <w:p>
            <w:pPr>
              <w:jc w:val="center"/>
            </w:pPr>
            <w:r>
              <w:rPr>
                <w:b/>
                <w:color w:val="22C55E"/>
                <w:sz w:val="28"/>
              </w:rPr>
              <w:br/>
              <w:t>10.707</w:t>
              <w:br/>
            </w:r>
            <w:r>
              <w:rPr>
                <w:color w:val="64748B"/>
                <w:sz w:val="14"/>
              </w:rPr>
              <w:t>Partidos</w:t>
              <w:br/>
              <w:t>Analizados</w:t>
              <w:br/>
            </w:r>
          </w:p>
        </w:tc>
        <w:tc>
          <w:tcPr>
            <w:tcW w:type="dxa" w:w="1881"/>
            <w:shd w:val="clear" w:color="auto" w:fill="1E293B"/>
          </w:tcPr>
          <w:p>
            <w:pPr>
              <w:jc w:val="center"/>
            </w:pPr>
            <w:r>
              <w:rPr>
                <w:b/>
                <w:color w:val="22C55E"/>
                <w:sz w:val="28"/>
              </w:rPr>
              <w:br/>
              <w:t>52.3%</w:t>
              <w:br/>
            </w:r>
            <w:r>
              <w:rPr>
                <w:color w:val="64748B"/>
                <w:sz w:val="14"/>
              </w:rPr>
              <w:t>Accuracy</w:t>
              <w:br/>
              <w:t>Global</w:t>
              <w:br/>
            </w:r>
          </w:p>
        </w:tc>
        <w:tc>
          <w:tcPr>
            <w:tcW w:type="dxa" w:w="1881"/>
            <w:shd w:val="clear" w:color="auto" w:fill="1E293B"/>
          </w:tcPr>
          <w:p>
            <w:pPr>
              <w:jc w:val="center"/>
            </w:pPr>
            <w:r>
              <w:rPr>
                <w:b/>
                <w:color w:val="22C55E"/>
                <w:sz w:val="28"/>
              </w:rPr>
              <w:br/>
              <w:t>67.2%</w:t>
              <w:br/>
            </w:r>
            <w:r>
              <w:rPr>
                <w:color w:val="64748B"/>
                <w:sz w:val="14"/>
              </w:rPr>
              <w:t>Accuracy</w:t>
              <w:br/>
              <w:t>al Apostar</w:t>
              <w:br/>
            </w:r>
          </w:p>
        </w:tc>
        <w:tc>
          <w:tcPr>
            <w:tcW w:type="dxa" w:w="1881"/>
            <w:shd w:val="clear" w:color="auto" w:fill="1E293B"/>
          </w:tcPr>
          <w:p>
            <w:pPr>
              <w:jc w:val="center"/>
            </w:pPr>
            <w:r>
              <w:rPr>
                <w:b/>
                <w:color w:val="22C55E"/>
                <w:sz w:val="28"/>
              </w:rPr>
              <w:br/>
              <w:t>+31.7%</w:t>
              <w:br/>
            </w:r>
            <w:r>
              <w:rPr>
                <w:color w:val="64748B"/>
                <w:sz w:val="14"/>
              </w:rPr>
              <w:t>ROI Serie A</w:t>
              <w:br/>
              <w:t>(post-fixes)</w:t>
              <w:br/>
            </w:r>
          </w:p>
        </w:tc>
        <w:tc>
          <w:tcPr>
            <w:tcW w:type="dxa" w:w="1881"/>
            <w:shd w:val="clear" w:color="auto" w:fill="1E293B"/>
          </w:tcPr>
          <w:p>
            <w:pPr>
              <w:jc w:val="center"/>
            </w:pPr>
            <w:r>
              <w:rPr>
                <w:b/>
                <w:color w:val="22C55E"/>
                <w:sz w:val="28"/>
              </w:rPr>
              <w:br/>
              <w:t>Serie A</w:t>
              <w:br/>
            </w:r>
            <w:r>
              <w:rPr>
                <w:color w:val="64748B"/>
                <w:sz w:val="14"/>
              </w:rPr>
              <w:t>Liga</w:t>
              <w:br/>
              <w:t>Activa ✓</w:t>
              <w:br/>
            </w:r>
          </w:p>
        </w:tc>
      </w:tr>
    </w:tbl>
    <w:p>
      <w:r>
        <w:br w:type="page"/>
      </w:r>
    </w:p>
    <w:p>
      <w:pPr>
        <w:pStyle w:val="Heading1"/>
        <w:spacing w:before="280" w:after="120"/>
      </w:pPr>
      <w:r>
        <w:rPr>
          <w:color w:val="22C55E"/>
        </w:rPr>
        <w:t>1. La Historia: ¿De qué se trata esto?</w:t>
      </w:r>
    </w:p>
    <w:p>
      <w:pPr>
        <w:spacing w:after="120"/>
      </w:pPr>
      <w:r>
        <w:rPr>
          <w:i w:val="0"/>
          <w:sz w:val="20"/>
        </w:rPr>
        <w:t>Imagina que tienes un amigo que lleva 6 años estudiando fútbol de manera obsesiva. Ha visto 10.707 partidos de las mejores ligas del mundo y tomó nota de todo: quién ganó, por cuánto, cómo venía cada equipo jugando, cuánto vale cada plantilla, cuántos goles esperados (xG) generó cada equipo...</w:t>
      </w:r>
    </w:p>
    <w:p>
      <w:pPr>
        <w:spacing w:after="120"/>
      </w:pPr>
      <w:r>
        <w:rPr>
          <w:i w:val="0"/>
          <w:sz w:val="20"/>
        </w:rPr>
        <w:t>Después de tanto analizar, desarrolló un 'instinto matemático' para detectar cuándo las probabilidades están a tu favor. No apuesta en todos los partidos — solo en aquellos donde está muy seguro de que las cuotas del bookmaker están equivocadas.</w:t>
      </w:r>
    </w:p>
    <w:tbl>
      <w:tblPr>
        <w:tblW w:type="auto" w:w="0"/>
        <w:jc w:val="left"/>
        <w:tblLook w:firstColumn="1" w:firstRow="1" w:lastColumn="0" w:lastRow="0" w:noHBand="0" w:noVBand="1" w:val="04A0"/>
      </w:tblPr>
      <w:tblGrid>
        <w:gridCol w:w="9406"/>
      </w:tblGrid>
      <w:tr>
        <w:tc>
          <w:tcPr>
            <w:tcW w:type="dxa" w:w="9406"/>
            <w:shd w:val="clear" w:color="auto" w:fill="E8F9EE"/>
            <w:tcBorders>
              <w:left w:val="single" w:sz="18" w:space="0" w:color="22C55E"/>
            </w:tcBorders>
          </w:tcPr>
          <w:p>
            <w:pPr>
              <w:spacing w:after="0"/>
              <w:ind w:left="170"/>
            </w:pPr>
            <w:r>
              <w:rPr>
                <w:color w:val="0F172A"/>
                <w:sz w:val="19"/>
              </w:rPr>
              <w:t>💡  Ese 'amigo' es este modelo. Entrenado con inteligencia artificial sobre 5 temporadas de fútbol europeo, aprende a identificar los momentos donde apostar tiene sentido matemático.</w:t>
            </w:r>
          </w:p>
        </w:tc>
      </w:tr>
    </w:tbl>
    <w:p>
      <w:pPr>
        <w:spacing w:after="80"/>
      </w:pPr>
    </w:p>
    <w:p>
      <w:pPr>
        <w:spacing w:after="120"/>
      </w:pPr>
      <w:r>
        <w:rPr>
          <w:i w:val="0"/>
          <w:sz w:val="20"/>
        </w:rPr>
        <w:t>El resultado en simulación (Serie A, post-fixes Sprint 10): de cada 100 pesos apostados en los partidos de mayor confianza, el modelo retorna 131 pesos en promedio. No es magia — es estadística.</w:t>
      </w:r>
    </w:p>
    <w:p>
      <w:pPr>
        <w:pStyle w:val="Heading1"/>
        <w:spacing w:before="280" w:after="120"/>
      </w:pPr>
      <w:r>
        <w:rPr>
          <w:color w:val="22C55E"/>
        </w:rPr>
        <w:t>2. ¿Cómo funciona por dentro?</w:t>
      </w:r>
    </w:p>
    <w:p>
      <w:pPr>
        <w:spacing w:after="120"/>
      </w:pPr>
      <w:r>
        <w:rPr>
          <w:i w:val="0"/>
          <w:sz w:val="20"/>
        </w:rPr>
        <w:t>El modelo usa tres capas de análisis que trabajan juntas:</w:t>
      </w:r>
    </w:p>
    <w:p>
      <w:pPr>
        <w:pStyle w:val="ListBullet"/>
      </w:pPr>
      <w:r>
        <w:rPr>
          <w:b/>
          <w:sz w:val="20"/>
        </w:rPr>
        <w:t xml:space="preserve">📊 Datos históricos: </w:t>
      </w:r>
      <w:r>
        <w:rPr>
          <w:color w:val="64748B"/>
          <w:sz w:val="20"/>
        </w:rPr>
        <w:t>10.707 partidos · 5 ligas · 5 temporadas</w:t>
      </w:r>
    </w:p>
    <w:p>
      <w:pPr>
        <w:pStyle w:val="ListBullet"/>
      </w:pPr>
      <w:r>
        <w:rPr>
          <w:b/>
          <w:sz w:val="20"/>
        </w:rPr>
        <w:t xml:space="preserve">🧮 Pi-Rating: </w:t>
      </w:r>
      <w:r>
        <w:rPr>
          <w:color w:val="64748B"/>
          <w:sz w:val="20"/>
        </w:rPr>
        <w:t>Fortaleza real de cada equipo (actualizado en vivo)</w:t>
      </w:r>
    </w:p>
    <w:p>
      <w:pPr>
        <w:pStyle w:val="ListBullet"/>
      </w:pPr>
      <w:r>
        <w:rPr>
          <w:b/>
          <w:sz w:val="20"/>
        </w:rPr>
        <w:t xml:space="preserve">🤖 XGBoost: </w:t>
      </w:r>
      <w:r>
        <w:rPr>
          <w:color w:val="64748B"/>
          <w:sz w:val="20"/>
        </w:rPr>
        <w:t>Modelo ML — probabilidades [Home, Empate, Away]</w:t>
      </w:r>
    </w:p>
    <w:p>
      <w:pPr>
        <w:pStyle w:val="ListBullet"/>
      </w:pPr>
      <w:r>
        <w:rPr>
          <w:b/>
          <w:sz w:val="20"/>
        </w:rPr>
        <w:t xml:space="preserve">🎯 Value Bet: </w:t>
      </w:r>
      <w:r>
        <w:rPr>
          <w:color w:val="64748B"/>
          <w:sz w:val="20"/>
        </w:rPr>
        <w:t>Solo si confianza ≥70% Y value ≥10%</w:t>
      </w:r>
    </w:p>
    <w:p>
      <w:pPr>
        <w:pStyle w:val="ListBullet"/>
      </w:pPr>
      <w:r>
        <w:rPr>
          <w:b/>
          <w:sz w:val="20"/>
        </w:rPr>
        <w:t xml:space="preserve">📱 Telegram: </w:t>
      </w:r>
      <w:r>
        <w:rPr>
          <w:color w:val="64748B"/>
          <w:sz w:val="20"/>
        </w:rPr>
        <w:t>Recomendación automática cada mañana a las 08:00</w:t>
      </w:r>
    </w:p>
    <w:p/>
    <w:p>
      <w:r>
        <w:rPr>
          <w:b/>
          <w:sz w:val="20"/>
        </w:rPr>
        <w:t xml:space="preserve">Capa 1 — Pi-Rating: </w:t>
      </w:r>
      <w:r>
        <w:rPr>
          <w:sz w:val="20"/>
        </w:rPr>
        <w:t>Como el rating ELO del ajedrez, pero adaptado al fútbol. Le da a cada equipo un número que refleja su fortaleza real. A diferencia de solo contar victorias, el Pi-Rating también considera por cuánto ganó o perdió. El Bayern que gana 4-0 sube más que el que gana 1-0.</w:t>
      </w:r>
    </w:p>
    <w:tbl>
      <w:tblPr>
        <w:tblW w:type="auto" w:w="0"/>
        <w:jc w:val="left"/>
        <w:tblLook w:firstColumn="1" w:firstRow="1" w:lastColumn="0" w:lastRow="0" w:noHBand="0" w:noVBand="1" w:val="04A0"/>
      </w:tblPr>
      <w:tblGrid>
        <w:gridCol w:w="9406"/>
      </w:tblGrid>
      <w:tr>
        <w:tc>
          <w:tcPr>
            <w:tcW w:type="dxa" w:w="9406"/>
            <w:shd w:val="clear" w:color="auto" w:fill="EBF2FE"/>
            <w:tcBorders>
              <w:left w:val="single" w:sz="18" w:space="0" w:color="3B82F6"/>
            </w:tcBorders>
          </w:tcPr>
          <w:p>
            <w:pPr>
              <w:spacing w:after="0"/>
              <w:ind w:left="170"/>
            </w:pPr>
            <w:r>
              <w:rPr>
                <w:color w:val="0F172A"/>
                <w:sz w:val="19"/>
              </w:rPr>
              <w:t>📐  Ejemplo de Pi-Rating: Inter Milan 1.43 · Napoli 1.28 · La diferencia (0.15) es la feature más importante del modelo — predice directamente quién tiene más probabilidades de ganar.</w:t>
            </w:r>
          </w:p>
        </w:tc>
      </w:tr>
    </w:tbl>
    <w:p>
      <w:pPr>
        <w:spacing w:after="80"/>
      </w:pPr>
    </w:p>
    <w:p>
      <w:r>
        <w:rPr>
          <w:b/>
          <w:sz w:val="20"/>
        </w:rPr>
        <w:t xml:space="preserve">Capa 2 — XGBoost: </w:t>
      </w:r>
      <w:r>
        <w:rPr>
          <w:sz w:val="20"/>
        </w:rPr>
        <w:t>El algoritmo de machine learning más usado en competencias de datos del mundo. Toma el Pi-Rating + forma reciente (últimos 5 partidos) + xG histórico + valor de plantilla y calcula tres probabilidades: % de victoria local, empate y victoria visitante.</w:t>
      </w:r>
    </w:p>
    <w:p>
      <w:r>
        <w:rPr>
          <w:b/>
          <w:color w:val="3B82F6"/>
          <w:sz w:val="20"/>
        </w:rPr>
        <w:t xml:space="preserve">Capa 3 — predictor_tiempo_real.py (Sprint 10): </w:t>
      </w:r>
      <w:r>
        <w:rPr>
          <w:sz w:val="20"/>
        </w:rPr>
        <w:t>Módulo nuevo que conecta el modelo XGBoost entrenado con los partidos del día vía API. Se ejecuta automáticamente cada mañana a las 08:00 y envía recomendaciones directamente a Telegram.</w:t>
      </w:r>
    </w:p>
    <w:p>
      <w:pPr>
        <w:pStyle w:val="Heading1"/>
        <w:spacing w:before="280" w:after="120"/>
      </w:pPr>
      <w:r>
        <w:rPr>
          <w:color w:val="F59E0B"/>
        </w:rPr>
        <w:t>3. Los Números: ¿Qué significan realmente?</w:t>
      </w:r>
    </w:p>
    <w:p>
      <w:r>
        <w:rPr>
          <w:b/>
          <w:i w:val="0"/>
          <w:color w:val="3B82F6"/>
          <w:sz w:val="20"/>
        </w:rPr>
        <w:t xml:space="preserve">Accuracy global: 52.3%  </w:t>
      </w:r>
      <w:r>
        <w:rPr>
          <w:sz w:val="20"/>
        </w:rPr>
        <w:t>El modelo predice correctamente el resultado en más de 1 de cada 2 partidos. Para fútbol, donde hay 3 resultados posibles, el límite por azar puro sería 33%. Superar 50% de manera consistente es estadísticamente relevante.</w:t>
      </w:r>
    </w:p>
    <w:tbl>
      <w:tblPr>
        <w:tblW w:type="auto" w:w="0"/>
        <w:jc w:val="left"/>
        <w:tblLook w:firstColumn="1" w:firstRow="1" w:lastColumn="0" w:lastRow="0" w:noHBand="0" w:noVBand="1" w:val="04A0"/>
      </w:tblPr>
      <w:tblGrid>
        <w:gridCol w:w="9406"/>
      </w:tblGrid>
      <w:tr>
        <w:tc>
          <w:tcPr>
            <w:tcW w:type="dxa" w:w="9406"/>
            <w:shd w:val="clear" w:color="auto" w:fill="FEF5E6"/>
            <w:tcBorders>
              <w:left w:val="single" w:sz="18" w:space="0" w:color="F59E0B"/>
            </w:tcBorders>
          </w:tcPr>
          <w:p>
            <w:pPr>
              <w:spacing w:after="0"/>
              <w:ind w:left="170"/>
            </w:pPr>
            <w:r>
              <w:rPr>
                <w:color w:val="0F172A"/>
                <w:sz w:val="19"/>
              </w:rPr>
              <w:t>⚠️  La trampa del 'solo 52%': En apuestas deportivas, ganar dinero no requiere acertar el 70% de las veces. Requiere acertar lo suficiente como para que las ganancias superen las pérdidas. Con buenas cuotas y buena selección, un 52% puede ser muy rentable.</w:t>
            </w:r>
          </w:p>
        </w:tc>
      </w:tr>
    </w:tbl>
    <w:p>
      <w:pPr>
        <w:spacing w:after="80"/>
      </w:pPr>
    </w:p>
    <w:p>
      <w:r>
        <w:rPr>
          <w:b/>
          <w:i w:val="0"/>
          <w:color w:val="22C55E"/>
          <w:sz w:val="20"/>
        </w:rPr>
        <w:t xml:space="preserve">Accuracy al apostar (umbral 70%): 67.2%  </w:t>
      </w:r>
      <w:r>
        <w:rPr>
          <w:sz w:val="20"/>
        </w:rPr>
        <w:t>Aquí está la magia. El modelo solo recomienda apostar cuando tiene ≥70% de confianza Y la cuota del bookmaker ofrece ventaja. En esos 61 casos del test set, acertó 2 de cada 3 veces.</w:t>
      </w:r>
    </w:p>
    <w:p>
      <w:r>
        <w:rPr>
          <w:b/>
          <w:i w:val="0"/>
          <w:color w:val="22C55E"/>
          <w:sz w:val="20"/>
        </w:rPr>
        <w:t xml:space="preserve">ROI flat Serie A +31.7% (post-fixes)  </w:t>
      </w:r>
      <w:r>
        <w:rPr>
          <w:sz w:val="20"/>
        </w:rPr>
        <w:t>Si en cada una de las apuestas apostáramos $1.000, al final tendríamos $1.317 netos de ganancia por cada $1.000 apostado. Esto es después de integrar xG 2019-2024 y Transfermarkt.</w:t>
      </w:r>
    </w:p>
    <w:p>
      <w:pPr>
        <w:pStyle w:val="Heading2"/>
        <w:spacing w:before="280" w:after="120"/>
      </w:pPr>
      <w:r>
        <w:rPr>
          <w:color w:val="64748B"/>
        </w:rPr>
        <w:t>Grid de Rendimiento — Todas las combinaciones evaluadas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E293B"/>
          </w:tcPr>
          <w:p>
            <w:r>
              <w:rPr>
                <w:b/>
                <w:color w:val="FFFFFF"/>
                <w:sz w:val="16"/>
              </w:rPr>
              <w:t>Confianza Mín.</w:t>
            </w:r>
          </w:p>
        </w:tc>
        <w:tc>
          <w:tcPr>
            <w:tcW w:type="dxa" w:w="1344"/>
            <w:shd w:val="clear" w:color="auto" w:fill="1E293B"/>
          </w:tcPr>
          <w:p>
            <w:r>
              <w:rPr>
                <w:b/>
                <w:color w:val="FFFFFF"/>
                <w:sz w:val="16"/>
              </w:rPr>
              <w:t>Value Mín.</w:t>
            </w:r>
          </w:p>
        </w:tc>
        <w:tc>
          <w:tcPr>
            <w:tcW w:type="dxa" w:w="1344"/>
            <w:shd w:val="clear" w:color="auto" w:fill="1E293B"/>
          </w:tcPr>
          <w:p>
            <w:r>
              <w:rPr>
                <w:b/>
                <w:color w:val="FFFFFF"/>
                <w:sz w:val="16"/>
              </w:rPr>
              <w:t>N° Apuestas</w:t>
            </w:r>
          </w:p>
        </w:tc>
        <w:tc>
          <w:tcPr>
            <w:tcW w:type="dxa" w:w="1344"/>
            <w:shd w:val="clear" w:color="auto" w:fill="1E293B"/>
          </w:tcPr>
          <w:p>
            <w:r>
              <w:rPr>
                <w:b/>
                <w:color w:val="FFFFFF"/>
                <w:sz w:val="16"/>
              </w:rPr>
              <w:t>% Total</w:t>
            </w:r>
          </w:p>
        </w:tc>
        <w:tc>
          <w:tcPr>
            <w:tcW w:type="dxa" w:w="1344"/>
            <w:shd w:val="clear" w:color="auto" w:fill="1E293B"/>
          </w:tcPr>
          <w:p>
            <w:r>
              <w:rPr>
                <w:b/>
                <w:color w:val="FFFFFF"/>
                <w:sz w:val="16"/>
              </w:rPr>
              <w:t>Accuracy</w:t>
            </w:r>
          </w:p>
        </w:tc>
        <w:tc>
          <w:tcPr>
            <w:tcW w:type="dxa" w:w="1344"/>
            <w:shd w:val="clear" w:color="auto" w:fill="1E293B"/>
          </w:tcPr>
          <w:p>
            <w:r>
              <w:rPr>
                <w:b/>
                <w:color w:val="FFFFFF"/>
                <w:sz w:val="16"/>
              </w:rPr>
              <w:t>ROI Flat</w:t>
            </w:r>
          </w:p>
        </w:tc>
        <w:tc>
          <w:tcPr>
            <w:tcW w:type="dxa" w:w="1344"/>
            <w:shd w:val="clear" w:color="auto" w:fill="1E293B"/>
          </w:tcPr>
          <w:p>
            <w:r>
              <w:rPr>
                <w:b/>
                <w:color w:val="FFFFFF"/>
                <w:sz w:val="16"/>
              </w:rPr>
              <w:t>ROI Kelly</w:t>
            </w:r>
          </w:p>
        </w:tc>
      </w:tr>
      <w:tr>
        <w:tc>
          <w:tcPr>
            <w:tcW w:type="dxa" w:w="1344"/>
          </w:tcPr>
          <w:p>
            <w:r>
              <w:rPr>
                <w:b w:val="0"/>
                <w:sz w:val="17"/>
              </w:rPr>
              <w:t>55%</w:t>
            </w:r>
          </w:p>
        </w:tc>
        <w:tc>
          <w:tcPr>
            <w:tcW w:type="dxa" w:w="1344"/>
          </w:tcPr>
          <w:p>
            <w:r>
              <w:rPr>
                <w:b w:val="0"/>
                <w:sz w:val="17"/>
              </w:rPr>
              <w:t>3%</w:t>
            </w:r>
          </w:p>
        </w:tc>
        <w:tc>
          <w:tcPr>
            <w:tcW w:type="dxa" w:w="1344"/>
          </w:tcPr>
          <w:p>
            <w:r>
              <w:rPr>
                <w:b w:val="0"/>
                <w:sz w:val="17"/>
              </w:rPr>
              <w:t>341</w:t>
            </w:r>
          </w:p>
        </w:tc>
        <w:tc>
          <w:tcPr>
            <w:tcW w:type="dxa" w:w="1344"/>
          </w:tcPr>
          <w:p>
            <w:r>
              <w:rPr>
                <w:b w:val="0"/>
                <w:sz w:val="17"/>
              </w:rPr>
              <w:t>19.0%</w:t>
            </w:r>
          </w:p>
        </w:tc>
        <w:tc>
          <w:tcPr>
            <w:tcW w:type="dxa" w:w="1344"/>
          </w:tcPr>
          <w:p>
            <w:r>
              <w:rPr>
                <w:b w:val="0"/>
                <w:sz w:val="17"/>
              </w:rPr>
              <w:t>54.2%</w:t>
            </w:r>
          </w:p>
        </w:tc>
        <w:tc>
          <w:tcPr>
            <w:tcW w:type="dxa" w:w="1344"/>
          </w:tcPr>
          <w:p>
            <w:r>
              <w:rPr>
                <w:b w:val="0"/>
                <w:color w:val="16A34A"/>
                <w:sz w:val="17"/>
              </w:rPr>
              <w:t>+2.94%</w:t>
            </w:r>
          </w:p>
        </w:tc>
        <w:tc>
          <w:tcPr>
            <w:tcW w:type="dxa" w:w="1344"/>
          </w:tcPr>
          <w:p>
            <w:r>
              <w:rPr>
                <w:b w:val="0"/>
                <w:color w:val="16A34A"/>
                <w:sz w:val="17"/>
              </w:rPr>
              <w:t>+22.67%</w:t>
            </w:r>
          </w:p>
        </w:tc>
      </w:tr>
      <w:tr>
        <w:tc>
          <w:tcPr>
            <w:tcW w:type="dxa" w:w="1344"/>
          </w:tcPr>
          <w:p>
            <w:r>
              <w:rPr>
                <w:b w:val="0"/>
                <w:sz w:val="17"/>
              </w:rPr>
              <w:t>55%</w:t>
            </w:r>
          </w:p>
        </w:tc>
        <w:tc>
          <w:tcPr>
            <w:tcW w:type="dxa" w:w="1344"/>
          </w:tcPr>
          <w:p>
            <w:r>
              <w:rPr>
                <w:b w:val="0"/>
                <w:sz w:val="17"/>
              </w:rPr>
              <w:t>10%</w:t>
            </w:r>
          </w:p>
        </w:tc>
        <w:tc>
          <w:tcPr>
            <w:tcW w:type="dxa" w:w="1344"/>
          </w:tcPr>
          <w:p>
            <w:r>
              <w:rPr>
                <w:b w:val="0"/>
                <w:sz w:val="17"/>
              </w:rPr>
              <w:t>257</w:t>
            </w:r>
          </w:p>
        </w:tc>
        <w:tc>
          <w:tcPr>
            <w:tcW w:type="dxa" w:w="1344"/>
          </w:tcPr>
          <w:p>
            <w:r>
              <w:rPr>
                <w:b w:val="0"/>
                <w:sz w:val="17"/>
              </w:rPr>
              <w:t>14.3%</w:t>
            </w:r>
          </w:p>
        </w:tc>
        <w:tc>
          <w:tcPr>
            <w:tcW w:type="dxa" w:w="1344"/>
          </w:tcPr>
          <w:p>
            <w:r>
              <w:rPr>
                <w:b w:val="0"/>
                <w:sz w:val="17"/>
              </w:rPr>
              <w:t>50.2%</w:t>
            </w:r>
          </w:p>
        </w:tc>
        <w:tc>
          <w:tcPr>
            <w:tcW w:type="dxa" w:w="1344"/>
          </w:tcPr>
          <w:p>
            <w:r>
              <w:rPr>
                <w:b w:val="0"/>
                <w:color w:val="16A34A"/>
                <w:sz w:val="17"/>
              </w:rPr>
              <w:t>+3.32%</w:t>
            </w:r>
          </w:p>
        </w:tc>
        <w:tc>
          <w:tcPr>
            <w:tcW w:type="dxa" w:w="1344"/>
          </w:tcPr>
          <w:p>
            <w:r>
              <w:rPr>
                <w:b w:val="0"/>
                <w:color w:val="16A34A"/>
                <w:sz w:val="17"/>
              </w:rPr>
              <w:t>+29.90%</w:t>
            </w:r>
          </w:p>
        </w:tc>
      </w:tr>
      <w:tr>
        <w:tc>
          <w:tcPr>
            <w:tcW w:type="dxa" w:w="1344"/>
          </w:tcPr>
          <w:p>
            <w:r>
              <w:rPr>
                <w:b w:val="0"/>
                <w:sz w:val="17"/>
              </w:rPr>
              <w:t>60%</w:t>
            </w:r>
          </w:p>
        </w:tc>
        <w:tc>
          <w:tcPr>
            <w:tcW w:type="dxa" w:w="1344"/>
          </w:tcPr>
          <w:p>
            <w:r>
              <w:rPr>
                <w:b w:val="0"/>
                <w:sz w:val="17"/>
              </w:rPr>
              <w:t>3%</w:t>
            </w:r>
          </w:p>
        </w:tc>
        <w:tc>
          <w:tcPr>
            <w:tcW w:type="dxa" w:w="1344"/>
          </w:tcPr>
          <w:p>
            <w:r>
              <w:rPr>
                <w:b w:val="0"/>
                <w:sz w:val="17"/>
              </w:rPr>
              <w:t>251</w:t>
            </w:r>
          </w:p>
        </w:tc>
        <w:tc>
          <w:tcPr>
            <w:tcW w:type="dxa" w:w="1344"/>
          </w:tcPr>
          <w:p>
            <w:r>
              <w:rPr>
                <w:b w:val="0"/>
                <w:sz w:val="17"/>
              </w:rPr>
              <w:t>14.0%</w:t>
            </w:r>
          </w:p>
        </w:tc>
        <w:tc>
          <w:tcPr>
            <w:tcW w:type="dxa" w:w="1344"/>
          </w:tcPr>
          <w:p>
            <w:r>
              <w:rPr>
                <w:b w:val="0"/>
                <w:sz w:val="17"/>
              </w:rPr>
              <w:t>59.8%</w:t>
            </w:r>
          </w:p>
        </w:tc>
        <w:tc>
          <w:tcPr>
            <w:tcW w:type="dxa" w:w="1344"/>
          </w:tcPr>
          <w:p>
            <w:r>
              <w:rPr>
                <w:b w:val="0"/>
                <w:color w:val="16A34A"/>
                <w:sz w:val="17"/>
              </w:rPr>
              <w:t>+5.78%</w:t>
            </w:r>
          </w:p>
        </w:tc>
        <w:tc>
          <w:tcPr>
            <w:tcW w:type="dxa" w:w="1344"/>
          </w:tcPr>
          <w:p>
            <w:r>
              <w:rPr>
                <w:b w:val="0"/>
                <w:color w:val="16A34A"/>
                <w:sz w:val="17"/>
              </w:rPr>
              <w:t>+46.17%</w:t>
            </w:r>
          </w:p>
        </w:tc>
      </w:tr>
      <w:tr>
        <w:tc>
          <w:tcPr>
            <w:tcW w:type="dxa" w:w="1344"/>
          </w:tcPr>
          <w:p>
            <w:r>
              <w:rPr>
                <w:b w:val="0"/>
                <w:sz w:val="17"/>
              </w:rPr>
              <w:t>60%</w:t>
            </w:r>
          </w:p>
        </w:tc>
        <w:tc>
          <w:tcPr>
            <w:tcW w:type="dxa" w:w="1344"/>
          </w:tcPr>
          <w:p>
            <w:r>
              <w:rPr>
                <w:b w:val="0"/>
                <w:sz w:val="17"/>
              </w:rPr>
              <w:t>10%</w:t>
            </w:r>
          </w:p>
        </w:tc>
        <w:tc>
          <w:tcPr>
            <w:tcW w:type="dxa" w:w="1344"/>
          </w:tcPr>
          <w:p>
            <w:r>
              <w:rPr>
                <w:b w:val="0"/>
                <w:sz w:val="17"/>
              </w:rPr>
              <w:t>180</w:t>
            </w:r>
          </w:p>
        </w:tc>
        <w:tc>
          <w:tcPr>
            <w:tcW w:type="dxa" w:w="1344"/>
          </w:tcPr>
          <w:p>
            <w:r>
              <w:rPr>
                <w:b w:val="0"/>
                <w:sz w:val="17"/>
              </w:rPr>
              <w:t>10.1%</w:t>
            </w:r>
          </w:p>
        </w:tc>
        <w:tc>
          <w:tcPr>
            <w:tcW w:type="dxa" w:w="1344"/>
          </w:tcPr>
          <w:p>
            <w:r>
              <w:rPr>
                <w:b w:val="0"/>
                <w:sz w:val="17"/>
              </w:rPr>
              <w:t>55.6%</w:t>
            </w:r>
          </w:p>
        </w:tc>
        <w:tc>
          <w:tcPr>
            <w:tcW w:type="dxa" w:w="1344"/>
          </w:tcPr>
          <w:p>
            <w:r>
              <w:rPr>
                <w:b w:val="0"/>
                <w:color w:val="16A34A"/>
                <w:sz w:val="17"/>
              </w:rPr>
              <w:t>+6.26%</w:t>
            </w:r>
          </w:p>
        </w:tc>
        <w:tc>
          <w:tcPr>
            <w:tcW w:type="dxa" w:w="1344"/>
          </w:tcPr>
          <w:p>
            <w:r>
              <w:rPr>
                <w:b w:val="0"/>
                <w:color w:val="16A34A"/>
                <w:sz w:val="17"/>
              </w:rPr>
              <w:t>+50.87%</w:t>
            </w:r>
          </w:p>
        </w:tc>
      </w:tr>
      <w:tr>
        <w:tc>
          <w:tcPr>
            <w:tcW w:type="dxa" w:w="1344"/>
          </w:tcPr>
          <w:p>
            <w:r>
              <w:rPr>
                <w:b w:val="0"/>
                <w:sz w:val="17"/>
              </w:rPr>
              <w:t>65%</w:t>
            </w:r>
          </w:p>
        </w:tc>
        <w:tc>
          <w:tcPr>
            <w:tcW w:type="dxa" w:w="1344"/>
          </w:tcPr>
          <w:p>
            <w:r>
              <w:rPr>
                <w:b w:val="0"/>
                <w:sz w:val="17"/>
              </w:rPr>
              <w:t>5%</w:t>
            </w:r>
          </w:p>
        </w:tc>
        <w:tc>
          <w:tcPr>
            <w:tcW w:type="dxa" w:w="1344"/>
          </w:tcPr>
          <w:p>
            <w:r>
              <w:rPr>
                <w:b w:val="0"/>
                <w:sz w:val="17"/>
              </w:rPr>
              <w:t>142</w:t>
            </w:r>
          </w:p>
        </w:tc>
        <w:tc>
          <w:tcPr>
            <w:tcW w:type="dxa" w:w="1344"/>
          </w:tcPr>
          <w:p>
            <w:r>
              <w:rPr>
                <w:b w:val="0"/>
                <w:sz w:val="17"/>
              </w:rPr>
              <w:t>7.9%</w:t>
            </w:r>
          </w:p>
        </w:tc>
        <w:tc>
          <w:tcPr>
            <w:tcW w:type="dxa" w:w="1344"/>
          </w:tcPr>
          <w:p>
            <w:r>
              <w:rPr>
                <w:b w:val="0"/>
                <w:sz w:val="17"/>
              </w:rPr>
              <w:t>64.1%</w:t>
            </w:r>
          </w:p>
        </w:tc>
        <w:tc>
          <w:tcPr>
            <w:tcW w:type="dxa" w:w="1344"/>
          </w:tcPr>
          <w:p>
            <w:r>
              <w:rPr>
                <w:b w:val="0"/>
                <w:color w:val="16A34A"/>
                <w:sz w:val="17"/>
              </w:rPr>
              <w:t>+5.68%</w:t>
            </w:r>
          </w:p>
        </w:tc>
        <w:tc>
          <w:tcPr>
            <w:tcW w:type="dxa" w:w="1344"/>
          </w:tcPr>
          <w:p>
            <w:r>
              <w:rPr>
                <w:b w:val="0"/>
                <w:color w:val="16A34A"/>
                <w:sz w:val="17"/>
              </w:rPr>
              <w:t>+38.39%</w:t>
            </w:r>
          </w:p>
        </w:tc>
      </w:tr>
      <w:tr>
        <w:tc>
          <w:tcPr>
            <w:tcW w:type="dxa" w:w="1344"/>
          </w:tcPr>
          <w:p>
            <w:r>
              <w:rPr>
                <w:b w:val="0"/>
                <w:sz w:val="17"/>
              </w:rPr>
              <w:t>65%</w:t>
            </w:r>
          </w:p>
        </w:tc>
        <w:tc>
          <w:tcPr>
            <w:tcW w:type="dxa" w:w="1344"/>
          </w:tcPr>
          <w:p>
            <w:r>
              <w:rPr>
                <w:b w:val="0"/>
                <w:sz w:val="17"/>
              </w:rPr>
              <w:t>10%</w:t>
            </w:r>
          </w:p>
        </w:tc>
        <w:tc>
          <w:tcPr>
            <w:tcW w:type="dxa" w:w="1344"/>
          </w:tcPr>
          <w:p>
            <w:r>
              <w:rPr>
                <w:b w:val="0"/>
                <w:sz w:val="17"/>
              </w:rPr>
              <w:t>104</w:t>
            </w:r>
          </w:p>
        </w:tc>
        <w:tc>
          <w:tcPr>
            <w:tcW w:type="dxa" w:w="1344"/>
          </w:tcPr>
          <w:p>
            <w:r>
              <w:rPr>
                <w:b w:val="0"/>
                <w:sz w:val="17"/>
              </w:rPr>
              <w:t>5.8%</w:t>
            </w:r>
          </w:p>
        </w:tc>
        <w:tc>
          <w:tcPr>
            <w:tcW w:type="dxa" w:w="1344"/>
          </w:tcPr>
          <w:p>
            <w:r>
              <w:rPr>
                <w:b w:val="0"/>
                <w:sz w:val="17"/>
              </w:rPr>
              <w:t>62.5%</w:t>
            </w:r>
          </w:p>
        </w:tc>
        <w:tc>
          <w:tcPr>
            <w:tcW w:type="dxa" w:w="1344"/>
          </w:tcPr>
          <w:p>
            <w:r>
              <w:rPr>
                <w:b w:val="0"/>
                <w:color w:val="16A34A"/>
                <w:sz w:val="17"/>
              </w:rPr>
              <w:t>+8.49%</w:t>
            </w:r>
          </w:p>
        </w:tc>
        <w:tc>
          <w:tcPr>
            <w:tcW w:type="dxa" w:w="1344"/>
          </w:tcPr>
          <w:p>
            <w:r>
              <w:rPr>
                <w:b w:val="0"/>
                <w:color w:val="16A34A"/>
                <w:sz w:val="17"/>
              </w:rPr>
              <w:t>+44.82%</w:t>
            </w:r>
          </w:p>
        </w:tc>
      </w:tr>
      <w:tr>
        <w:tc>
          <w:tcPr>
            <w:tcW w:type="dxa" w:w="1344"/>
          </w:tcPr>
          <w:p>
            <w:r>
              <w:rPr>
                <w:b w:val="0"/>
                <w:sz w:val="17"/>
              </w:rPr>
              <w:t>70%</w:t>
            </w:r>
          </w:p>
        </w:tc>
        <w:tc>
          <w:tcPr>
            <w:tcW w:type="dxa" w:w="1344"/>
          </w:tcPr>
          <w:p>
            <w:r>
              <w:rPr>
                <w:b w:val="0"/>
                <w:sz w:val="17"/>
              </w:rPr>
              <w:t>3%</w:t>
            </w:r>
          </w:p>
        </w:tc>
        <w:tc>
          <w:tcPr>
            <w:tcW w:type="dxa" w:w="1344"/>
          </w:tcPr>
          <w:p>
            <w:r>
              <w:rPr>
                <w:b w:val="0"/>
                <w:sz w:val="17"/>
              </w:rPr>
              <w:t>96</w:t>
            </w:r>
          </w:p>
        </w:tc>
        <w:tc>
          <w:tcPr>
            <w:tcW w:type="dxa" w:w="1344"/>
          </w:tcPr>
          <w:p>
            <w:r>
              <w:rPr>
                <w:b w:val="0"/>
                <w:sz w:val="17"/>
              </w:rPr>
              <w:t>5.4%</w:t>
            </w:r>
          </w:p>
        </w:tc>
        <w:tc>
          <w:tcPr>
            <w:tcW w:type="dxa" w:w="1344"/>
          </w:tcPr>
          <w:p>
            <w:r>
              <w:rPr>
                <w:b w:val="0"/>
                <w:sz w:val="17"/>
              </w:rPr>
              <w:t>69.8%</w:t>
            </w:r>
          </w:p>
        </w:tc>
        <w:tc>
          <w:tcPr>
            <w:tcW w:type="dxa" w:w="1344"/>
          </w:tcPr>
          <w:p>
            <w:r>
              <w:rPr>
                <w:b w:val="0"/>
                <w:color w:val="16A34A"/>
                <w:sz w:val="17"/>
              </w:rPr>
              <w:t>+6.84%</w:t>
            </w:r>
          </w:p>
        </w:tc>
        <w:tc>
          <w:tcPr>
            <w:tcW w:type="dxa" w:w="1344"/>
          </w:tcPr>
          <w:p>
            <w:r>
              <w:rPr>
                <w:b w:val="0"/>
                <w:color w:val="16A34A"/>
                <w:sz w:val="17"/>
              </w:rPr>
              <w:t>+24.98%</w:t>
            </w:r>
          </w:p>
        </w:tc>
      </w:tr>
      <w:tr>
        <w:tc>
          <w:tcPr>
            <w:tcW w:type="dxa" w:w="1344"/>
            <w:shd w:val="clear" w:color="auto" w:fill="DCFCE7"/>
          </w:tcPr>
          <w:p>
            <w:r>
              <w:rPr>
                <w:b/>
                <w:sz w:val="17"/>
              </w:rPr>
              <w:t>70% ★</w:t>
            </w:r>
          </w:p>
        </w:tc>
        <w:tc>
          <w:tcPr>
            <w:tcW w:type="dxa" w:w="1344"/>
            <w:shd w:val="clear" w:color="auto" w:fill="DCFCE7"/>
          </w:tcPr>
          <w:p>
            <w:r>
              <w:rPr>
                <w:b/>
                <w:sz w:val="17"/>
              </w:rPr>
              <w:t>10% ★</w:t>
            </w:r>
          </w:p>
        </w:tc>
        <w:tc>
          <w:tcPr>
            <w:tcW w:type="dxa" w:w="1344"/>
            <w:shd w:val="clear" w:color="auto" w:fill="DCFCE7"/>
          </w:tcPr>
          <w:p>
            <w:r>
              <w:rPr>
                <w:b/>
                <w:sz w:val="17"/>
              </w:rPr>
              <w:t>61</w:t>
            </w:r>
          </w:p>
        </w:tc>
        <w:tc>
          <w:tcPr>
            <w:tcW w:type="dxa" w:w="1344"/>
            <w:shd w:val="clear" w:color="auto" w:fill="DCFCE7"/>
          </w:tcPr>
          <w:p>
            <w:r>
              <w:rPr>
                <w:b/>
                <w:sz w:val="17"/>
              </w:rPr>
              <w:t>3.4%</w:t>
            </w:r>
          </w:p>
        </w:tc>
        <w:tc>
          <w:tcPr>
            <w:tcW w:type="dxa" w:w="1344"/>
            <w:shd w:val="clear" w:color="auto" w:fill="DCFCE7"/>
          </w:tcPr>
          <w:p>
            <w:r>
              <w:rPr>
                <w:b/>
                <w:sz w:val="17"/>
              </w:rPr>
              <w:t>67.2%</w:t>
            </w:r>
          </w:p>
        </w:tc>
        <w:tc>
          <w:tcPr>
            <w:tcW w:type="dxa" w:w="1344"/>
            <w:shd w:val="clear" w:color="auto" w:fill="DCFCE7"/>
          </w:tcPr>
          <w:p>
            <w:r>
              <w:rPr>
                <w:b/>
                <w:color w:val="16A34A"/>
                <w:sz w:val="17"/>
              </w:rPr>
              <w:t>+10.11%</w:t>
            </w:r>
          </w:p>
        </w:tc>
        <w:tc>
          <w:tcPr>
            <w:tcW w:type="dxa" w:w="1344"/>
            <w:shd w:val="clear" w:color="auto" w:fill="DCFCE7"/>
          </w:tcPr>
          <w:p>
            <w:r>
              <w:rPr>
                <w:b/>
                <w:color w:val="16A34A"/>
                <w:sz w:val="17"/>
              </w:rPr>
              <w:t>+31.60%</w:t>
            </w:r>
          </w:p>
        </w:tc>
      </w:tr>
      <w:tr>
        <w:tc>
          <w:tcPr>
            <w:tcW w:type="dxa" w:w="1344"/>
          </w:tcPr>
          <w:p>
            <w:r>
              <w:rPr>
                <w:b w:val="0"/>
                <w:sz w:val="17"/>
              </w:rPr>
              <w:t>75%</w:t>
            </w:r>
          </w:p>
        </w:tc>
        <w:tc>
          <w:tcPr>
            <w:tcW w:type="dxa" w:w="1344"/>
          </w:tcPr>
          <w:p>
            <w:r>
              <w:rPr>
                <w:b w:val="0"/>
                <w:sz w:val="17"/>
              </w:rPr>
              <w:t>3%</w:t>
            </w:r>
          </w:p>
        </w:tc>
        <w:tc>
          <w:tcPr>
            <w:tcW w:type="dxa" w:w="1344"/>
          </w:tcPr>
          <w:p>
            <w:r>
              <w:rPr>
                <w:b w:val="0"/>
                <w:sz w:val="17"/>
              </w:rPr>
              <w:t>57</w:t>
            </w:r>
          </w:p>
        </w:tc>
        <w:tc>
          <w:tcPr>
            <w:tcW w:type="dxa" w:w="1344"/>
          </w:tcPr>
          <w:p>
            <w:r>
              <w:rPr>
                <w:b w:val="0"/>
                <w:sz w:val="17"/>
              </w:rPr>
              <w:t>3.2%</w:t>
            </w:r>
          </w:p>
        </w:tc>
        <w:tc>
          <w:tcPr>
            <w:tcW w:type="dxa" w:w="1344"/>
          </w:tcPr>
          <w:p>
            <w:r>
              <w:rPr>
                <w:b w:val="0"/>
                <w:sz w:val="17"/>
              </w:rPr>
              <w:t>66.7%</w:t>
            </w:r>
          </w:p>
        </w:tc>
        <w:tc>
          <w:tcPr>
            <w:tcW w:type="dxa" w:w="1344"/>
          </w:tcPr>
          <w:p>
            <w:r>
              <w:rPr>
                <w:b w:val="0"/>
                <w:color w:val="EF4444"/>
                <w:sz w:val="17"/>
              </w:rPr>
              <w:t>-4.60%</w:t>
            </w:r>
          </w:p>
        </w:tc>
        <w:tc>
          <w:tcPr>
            <w:tcW w:type="dxa" w:w="1344"/>
          </w:tcPr>
          <w:p>
            <w:r>
              <w:rPr>
                <w:b w:val="0"/>
                <w:color w:val="EF4444"/>
                <w:sz w:val="17"/>
              </w:rPr>
              <w:t>-15.16%</w:t>
            </w:r>
          </w:p>
        </w:tc>
      </w:tr>
      <w:tr>
        <w:tc>
          <w:tcPr>
            <w:tcW w:type="dxa" w:w="1344"/>
          </w:tcPr>
          <w:p>
            <w:r>
              <w:rPr>
                <w:b w:val="0"/>
                <w:sz w:val="17"/>
              </w:rPr>
              <w:t>75%</w:t>
            </w:r>
          </w:p>
        </w:tc>
        <w:tc>
          <w:tcPr>
            <w:tcW w:type="dxa" w:w="1344"/>
          </w:tcPr>
          <w:p>
            <w:r>
              <w:rPr>
                <w:b w:val="0"/>
                <w:sz w:val="17"/>
              </w:rPr>
              <w:t>10%</w:t>
            </w:r>
          </w:p>
        </w:tc>
        <w:tc>
          <w:tcPr>
            <w:tcW w:type="dxa" w:w="1344"/>
          </w:tcPr>
          <w:p>
            <w:r>
              <w:rPr>
                <w:b w:val="0"/>
                <w:sz w:val="17"/>
              </w:rPr>
              <w:t>35</w:t>
            </w:r>
          </w:p>
        </w:tc>
        <w:tc>
          <w:tcPr>
            <w:tcW w:type="dxa" w:w="1344"/>
          </w:tcPr>
          <w:p>
            <w:r>
              <w:rPr>
                <w:b w:val="0"/>
                <w:sz w:val="17"/>
              </w:rPr>
              <w:t>2.0%</w:t>
            </w:r>
          </w:p>
        </w:tc>
        <w:tc>
          <w:tcPr>
            <w:tcW w:type="dxa" w:w="1344"/>
          </w:tcPr>
          <w:p>
            <w:r>
              <w:rPr>
                <w:b w:val="0"/>
                <w:sz w:val="17"/>
              </w:rPr>
              <w:t>65.7%</w:t>
            </w:r>
          </w:p>
        </w:tc>
        <w:tc>
          <w:tcPr>
            <w:tcW w:type="dxa" w:w="1344"/>
          </w:tcPr>
          <w:p>
            <w:r>
              <w:rPr>
                <w:b w:val="0"/>
                <w:color w:val="EF4444"/>
                <w:sz w:val="17"/>
              </w:rPr>
              <w:t>-0.51%</w:t>
            </w:r>
          </w:p>
        </w:tc>
        <w:tc>
          <w:tcPr>
            <w:tcW w:type="dxa" w:w="1344"/>
          </w:tcPr>
          <w:p>
            <w:r>
              <w:rPr>
                <w:b w:val="0"/>
                <w:color w:val="EF4444"/>
                <w:sz w:val="17"/>
              </w:rPr>
              <w:t>-5.98%</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E8F9EE"/>
            <w:tcBorders>
              <w:left w:val="single" w:sz="18" w:space="0" w:color="22C55E"/>
            </w:tcBorders>
          </w:tcPr>
          <w:p>
            <w:pPr>
              <w:spacing w:after="0"/>
              <w:ind w:left="170"/>
            </w:pPr>
            <w:r>
              <w:rPr>
                <w:color w:val="0F172A"/>
                <w:sz w:val="19"/>
              </w:rPr>
              <w:t>★  ★ Mejor combinación: Confianza ≥70% + Value ≥10% → Solo apostamos en el 3.4% más prometedor de los partidos. En esos 61 casos del backtesting, el modelo ganó dinero con ROI flat +10.11%. Con los fixes de xG y Transfermarkt, el ROI de Serie A específicamente subió a +31.65%.</w:t>
            </w:r>
          </w:p>
        </w:tc>
      </w:tr>
    </w:tbl>
    <w:p>
      <w:pPr>
        <w:spacing w:after="80"/>
      </w:pPr>
    </w:p>
    <w:p>
      <w:pPr>
        <w:pStyle w:val="Heading1"/>
        <w:spacing w:before="280" w:after="120"/>
      </w:pPr>
      <w:r>
        <w:rPr>
          <w:color w:val="22C55E"/>
        </w:rPr>
        <w:t>4. Rendimiento por Liga</w:t>
      </w:r>
    </w:p>
    <w:p>
      <w:pPr>
        <w:spacing w:after="120"/>
      </w:pPr>
      <w:r>
        <w:rPr>
          <w:i w:val="0"/>
          <w:sz w:val="20"/>
        </w:rPr>
        <w:t>No todas las ligas funcionan igual. Rendimiento con la combinación óptima (conf ≥70%, value ≥10%):</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E293B"/>
          </w:tcPr>
          <w:p>
            <w:r>
              <w:rPr>
                <w:b/>
                <w:color w:val="FFFFFF"/>
                <w:sz w:val="17"/>
              </w:rPr>
              <w:t>Liga</w:t>
            </w:r>
          </w:p>
        </w:tc>
        <w:tc>
          <w:tcPr>
            <w:tcW w:type="dxa" w:w="1568"/>
            <w:shd w:val="clear" w:color="auto" w:fill="1E293B"/>
          </w:tcPr>
          <w:p>
            <w:r>
              <w:rPr>
                <w:b/>
                <w:color w:val="FFFFFF"/>
                <w:sz w:val="17"/>
              </w:rPr>
              <w:t>Partidos Test</w:t>
            </w:r>
          </w:p>
        </w:tc>
        <w:tc>
          <w:tcPr>
            <w:tcW w:type="dxa" w:w="1568"/>
            <w:shd w:val="clear" w:color="auto" w:fill="1E293B"/>
          </w:tcPr>
          <w:p>
            <w:r>
              <w:rPr>
                <w:b/>
                <w:color w:val="FFFFFF"/>
                <w:sz w:val="17"/>
              </w:rPr>
              <w:t>Apuestas</w:t>
            </w:r>
          </w:p>
        </w:tc>
        <w:tc>
          <w:tcPr>
            <w:tcW w:type="dxa" w:w="1568"/>
            <w:shd w:val="clear" w:color="auto" w:fill="1E293B"/>
          </w:tcPr>
          <w:p>
            <w:r>
              <w:rPr>
                <w:b/>
                <w:color w:val="FFFFFF"/>
                <w:sz w:val="17"/>
              </w:rPr>
              <w:t>Accuracy</w:t>
            </w:r>
          </w:p>
        </w:tc>
        <w:tc>
          <w:tcPr>
            <w:tcW w:type="dxa" w:w="1568"/>
            <w:shd w:val="clear" w:color="auto" w:fill="1E293B"/>
          </w:tcPr>
          <w:p>
            <w:r>
              <w:rPr>
                <w:b/>
                <w:color w:val="FFFFFF"/>
                <w:sz w:val="17"/>
              </w:rPr>
              <w:t>ROI Flat</w:t>
            </w:r>
          </w:p>
        </w:tc>
        <w:tc>
          <w:tcPr>
            <w:tcW w:type="dxa" w:w="1568"/>
            <w:shd w:val="clear" w:color="auto" w:fill="1E293B"/>
          </w:tcPr>
          <w:p>
            <w:r>
              <w:rPr>
                <w:b/>
                <w:color w:val="FFFFFF"/>
                <w:sz w:val="17"/>
              </w:rPr>
              <w:t>Estado</w:t>
            </w:r>
          </w:p>
        </w:tc>
      </w:tr>
      <w:tr>
        <w:tc>
          <w:tcPr>
            <w:tcW w:type="dxa" w:w="1568"/>
            <w:shd w:val="clear" w:color="auto" w:fill="DCFCE7"/>
          </w:tcPr>
          <w:p>
            <w:r>
              <w:rPr>
                <w:b/>
                <w:sz w:val="18"/>
              </w:rPr>
              <w:t>🇮🇹 Serie A</w:t>
            </w:r>
          </w:p>
        </w:tc>
        <w:tc>
          <w:tcPr>
            <w:tcW w:type="dxa" w:w="1568"/>
            <w:shd w:val="clear" w:color="auto" w:fill="DCFCE7"/>
          </w:tcPr>
          <w:p>
            <w:r>
              <w:rPr>
                <w:b/>
                <w:sz w:val="18"/>
              </w:rPr>
              <w:t>358</w:t>
            </w:r>
          </w:p>
        </w:tc>
        <w:tc>
          <w:tcPr>
            <w:tcW w:type="dxa" w:w="1568"/>
            <w:shd w:val="clear" w:color="auto" w:fill="DCFCE7"/>
          </w:tcPr>
          <w:p>
            <w:r>
              <w:rPr>
                <w:b/>
                <w:sz w:val="18"/>
              </w:rPr>
              <w:t>24</w:t>
            </w:r>
          </w:p>
        </w:tc>
        <w:tc>
          <w:tcPr>
            <w:tcW w:type="dxa" w:w="1568"/>
            <w:shd w:val="clear" w:color="auto" w:fill="DCFCE7"/>
          </w:tcPr>
          <w:p>
            <w:r>
              <w:rPr>
                <w:b/>
                <w:sz w:val="18"/>
              </w:rPr>
              <w:t>66.7%</w:t>
            </w:r>
          </w:p>
        </w:tc>
        <w:tc>
          <w:tcPr>
            <w:tcW w:type="dxa" w:w="1568"/>
            <w:shd w:val="clear" w:color="auto" w:fill="DCFCE7"/>
          </w:tcPr>
          <w:p>
            <w:r>
              <w:rPr>
                <w:b/>
                <w:color w:val="16A34A"/>
                <w:sz w:val="18"/>
              </w:rPr>
              <w:t>+31.65%</w:t>
            </w:r>
          </w:p>
        </w:tc>
        <w:tc>
          <w:tcPr>
            <w:tcW w:type="dxa" w:w="1568"/>
            <w:shd w:val="clear" w:color="auto" w:fill="DCFCE7"/>
          </w:tcPr>
          <w:p>
            <w:r>
              <w:rPr>
                <w:b/>
                <w:color w:val="22C55E"/>
                <w:sz w:val="18"/>
              </w:rPr>
              <w:t>✓ ACTIVA</w:t>
            </w:r>
          </w:p>
        </w:tc>
      </w:tr>
      <w:tr>
        <w:tc>
          <w:tcPr>
            <w:tcW w:type="dxa" w:w="1568"/>
          </w:tcPr>
          <w:p>
            <w:r>
              <w:rPr>
                <w:b w:val="0"/>
                <w:sz w:val="18"/>
              </w:rPr>
              <w:t>🇪🇸 La Liga</w:t>
            </w:r>
          </w:p>
        </w:tc>
        <w:tc>
          <w:tcPr>
            <w:tcW w:type="dxa" w:w="1568"/>
          </w:tcPr>
          <w:p>
            <w:r>
              <w:rPr>
                <w:b w:val="0"/>
                <w:sz w:val="18"/>
              </w:rPr>
              <w:t>358</w:t>
            </w:r>
          </w:p>
        </w:tc>
        <w:tc>
          <w:tcPr>
            <w:tcW w:type="dxa" w:w="1568"/>
          </w:tcPr>
          <w:p>
            <w:r>
              <w:rPr>
                <w:b w:val="0"/>
                <w:sz w:val="18"/>
              </w:rPr>
              <w:t>14</w:t>
            </w:r>
          </w:p>
        </w:tc>
        <w:tc>
          <w:tcPr>
            <w:tcW w:type="dxa" w:w="1568"/>
          </w:tcPr>
          <w:p>
            <w:r>
              <w:rPr>
                <w:b w:val="0"/>
                <w:sz w:val="18"/>
              </w:rPr>
              <w:t>64.3%</w:t>
            </w:r>
          </w:p>
        </w:tc>
        <w:tc>
          <w:tcPr>
            <w:tcW w:type="dxa" w:w="1568"/>
          </w:tcPr>
          <w:p>
            <w:r>
              <w:rPr>
                <w:b w:val="0"/>
                <w:color w:val="16A34A"/>
                <w:sz w:val="18"/>
              </w:rPr>
              <w:t>+10.86%</w:t>
            </w:r>
          </w:p>
        </w:tc>
        <w:tc>
          <w:tcPr>
            <w:tcW w:type="dxa" w:w="1568"/>
          </w:tcPr>
          <w:p>
            <w:r>
              <w:rPr>
                <w:b w:val="0"/>
                <w:sz w:val="18"/>
              </w:rPr>
              <w:t>Pocas apuestas</w:t>
            </w:r>
          </w:p>
        </w:tc>
      </w:tr>
      <w:tr>
        <w:tc>
          <w:tcPr>
            <w:tcW w:type="dxa" w:w="1568"/>
          </w:tcPr>
          <w:p>
            <w:r>
              <w:rPr>
                <w:b w:val="0"/>
                <w:sz w:val="18"/>
              </w:rPr>
              <w:t>🇩🇪 Bundesliga</w:t>
            </w:r>
          </w:p>
        </w:tc>
        <w:tc>
          <w:tcPr>
            <w:tcW w:type="dxa" w:w="1568"/>
          </w:tcPr>
          <w:p>
            <w:r>
              <w:rPr>
                <w:b w:val="0"/>
                <w:sz w:val="18"/>
              </w:rPr>
              <w:t>306</w:t>
            </w:r>
          </w:p>
        </w:tc>
        <w:tc>
          <w:tcPr>
            <w:tcW w:type="dxa" w:w="1568"/>
          </w:tcPr>
          <w:p>
            <w:r>
              <w:rPr>
                <w:b w:val="0"/>
                <w:sz w:val="18"/>
              </w:rPr>
              <w:t>6</w:t>
            </w:r>
          </w:p>
        </w:tc>
        <w:tc>
          <w:tcPr>
            <w:tcW w:type="dxa" w:w="1568"/>
          </w:tcPr>
          <w:p>
            <w:r>
              <w:rPr>
                <w:b w:val="0"/>
                <w:sz w:val="18"/>
              </w:rPr>
              <w:t>100%</w:t>
            </w:r>
          </w:p>
        </w:tc>
        <w:tc>
          <w:tcPr>
            <w:tcW w:type="dxa" w:w="1568"/>
          </w:tcPr>
          <w:p>
            <w:r>
              <w:rPr>
                <w:b w:val="0"/>
                <w:color w:val="16A34A"/>
                <w:sz w:val="18"/>
              </w:rPr>
              <w:t>+63.00%</w:t>
            </w:r>
          </w:p>
        </w:tc>
        <w:tc>
          <w:tcPr>
            <w:tcW w:type="dxa" w:w="1568"/>
          </w:tcPr>
          <w:p>
            <w:r>
              <w:rPr>
                <w:b w:val="0"/>
                <w:sz w:val="18"/>
              </w:rPr>
              <w:t>Muestra pequeña</w:t>
            </w:r>
          </w:p>
        </w:tc>
      </w:tr>
      <w:tr>
        <w:tc>
          <w:tcPr>
            <w:tcW w:type="dxa" w:w="1568"/>
          </w:tcPr>
          <w:p>
            <w:r>
              <w:rPr>
                <w:b w:val="0"/>
                <w:sz w:val="18"/>
              </w:rPr>
              <w:t>🇬🇧 Premier Lge.</w:t>
            </w:r>
          </w:p>
        </w:tc>
        <w:tc>
          <w:tcPr>
            <w:tcW w:type="dxa" w:w="1568"/>
          </w:tcPr>
          <w:p>
            <w:r>
              <w:rPr>
                <w:b w:val="0"/>
                <w:sz w:val="18"/>
              </w:rPr>
              <w:t>380</w:t>
            </w:r>
          </w:p>
        </w:tc>
        <w:tc>
          <w:tcPr>
            <w:tcW w:type="dxa" w:w="1568"/>
          </w:tcPr>
          <w:p>
            <w:r>
              <w:rPr>
                <w:b w:val="0"/>
                <w:sz w:val="18"/>
              </w:rPr>
              <w:t>9</w:t>
            </w:r>
          </w:p>
        </w:tc>
        <w:tc>
          <w:tcPr>
            <w:tcW w:type="dxa" w:w="1568"/>
          </w:tcPr>
          <w:p>
            <w:r>
              <w:rPr>
                <w:b w:val="0"/>
                <w:sz w:val="18"/>
              </w:rPr>
              <w:t>55.6%</w:t>
            </w:r>
          </w:p>
        </w:tc>
        <w:tc>
          <w:tcPr>
            <w:tcW w:type="dxa" w:w="1568"/>
          </w:tcPr>
          <w:p>
            <w:r>
              <w:rPr>
                <w:b w:val="0"/>
                <w:color w:val="EF4444"/>
                <w:sz w:val="18"/>
              </w:rPr>
              <w:t>-18.67%</w:t>
            </w:r>
          </w:p>
        </w:tc>
        <w:tc>
          <w:tcPr>
            <w:tcW w:type="dxa" w:w="1568"/>
          </w:tcPr>
          <w:p>
            <w:r>
              <w:rPr>
                <w:b w:val="0"/>
                <w:sz w:val="18"/>
              </w:rPr>
              <w:t>Suspendida</w:t>
            </w:r>
          </w:p>
        </w:tc>
      </w:tr>
      <w:tr>
        <w:tc>
          <w:tcPr>
            <w:tcW w:type="dxa" w:w="1568"/>
          </w:tcPr>
          <w:p>
            <w:r>
              <w:rPr>
                <w:b w:val="0"/>
                <w:sz w:val="18"/>
              </w:rPr>
              <w:t>🇫🇷 Ligue 1</w:t>
            </w:r>
          </w:p>
        </w:tc>
        <w:tc>
          <w:tcPr>
            <w:tcW w:type="dxa" w:w="1568"/>
          </w:tcPr>
          <w:p>
            <w:r>
              <w:rPr>
                <w:b w:val="0"/>
                <w:sz w:val="18"/>
              </w:rPr>
              <w:t>306</w:t>
            </w:r>
          </w:p>
        </w:tc>
        <w:tc>
          <w:tcPr>
            <w:tcW w:type="dxa" w:w="1568"/>
          </w:tcPr>
          <w:p>
            <w:r>
              <w:rPr>
                <w:b w:val="0"/>
                <w:sz w:val="18"/>
              </w:rPr>
              <w:t>8</w:t>
            </w:r>
          </w:p>
        </w:tc>
        <w:tc>
          <w:tcPr>
            <w:tcW w:type="dxa" w:w="1568"/>
          </w:tcPr>
          <w:p>
            <w:r>
              <w:rPr>
                <w:b w:val="0"/>
                <w:sz w:val="18"/>
              </w:rPr>
              <w:t>62.5%</w:t>
            </w:r>
          </w:p>
        </w:tc>
        <w:tc>
          <w:tcPr>
            <w:tcW w:type="dxa" w:w="1568"/>
          </w:tcPr>
          <w:p>
            <w:r>
              <w:rPr>
                <w:b w:val="0"/>
                <w:color w:val="EF4444"/>
                <w:sz w:val="18"/>
              </w:rPr>
              <w:t>-0.50%</w:t>
            </w:r>
          </w:p>
        </w:tc>
        <w:tc>
          <w:tcPr>
            <w:tcW w:type="dxa" w:w="1568"/>
          </w:tcPr>
          <w:p>
            <w:r>
              <w:rPr>
                <w:b w:val="0"/>
                <w:sz w:val="18"/>
              </w:rPr>
              <w:t>Suspendida</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E8F9EE"/>
            <w:tcBorders>
              <w:left w:val="single" w:sz="18" w:space="0" w:color="22C55E"/>
            </w:tcBorders>
          </w:tcPr>
          <w:p>
            <w:pPr>
              <w:spacing w:after="0"/>
              <w:ind w:left="170"/>
            </w:pPr>
            <w:r>
              <w:rPr>
                <w:color w:val="0F172A"/>
                <w:sz w:val="19"/>
              </w:rPr>
              <w:t>🇮🇹  Serie A es la única liga activa con n ≥ 20 apuestas y ROI positivo. La Liga tiene mejor ROI (+10.86%) pero con solo 14 apuestas — necesitamos más datos. Bundesliga con 100% de accuracy en 6 apuestas es un caso claro de muestra demasiado pequeña.</w:t>
            </w:r>
          </w:p>
        </w:tc>
      </w:tr>
    </w:tbl>
    <w:p>
      <w:pPr>
        <w:spacing w:after="80"/>
      </w:pPr>
    </w:p>
    <w:p>
      <w:pPr>
        <w:pStyle w:val="Heading1"/>
        <w:spacing w:before="280" w:after="120"/>
      </w:pPr>
      <w:r>
        <w:rPr>
          <w:color w:val="22C55E"/>
        </w:rPr>
        <w:t>5. ¿Cómo usar el modelo? — Guía paso a paso</w:t>
      </w:r>
    </w:p>
    <w:p>
      <w:pPr>
        <w:spacing w:after="160"/>
        <w:ind w:left="0"/>
      </w:pPr>
      <w:r>
        <w:rPr>
          <w:b/>
          <w:color w:val="22C55E"/>
          <w:sz w:val="22"/>
        </w:rPr>
        <w:t xml:space="preserve">  1.  </w:t>
      </w:r>
      <w:r>
        <w:rPr>
          <w:b/>
          <w:sz w:val="20"/>
        </w:rPr>
        <w:t>El agente corre automáticamente cada mañana (08:00)</w:t>
        <w:br/>
      </w:r>
      <w:r>
        <w:rPr>
          <w:color w:val="64748B"/>
          <w:sz w:val="19"/>
        </w:rPr>
        <w:t xml:space="preserve">      Task Scheduler ejecuta run_agent.py que descarga partidos del día, calcula Pi-Ratings actualizados y genera probabilidades para cada encuentro Serie A.</w:t>
      </w:r>
    </w:p>
    <w:p>
      <w:pPr>
        <w:spacing w:after="160"/>
        <w:ind w:left="0"/>
      </w:pPr>
      <w:r>
        <w:rPr>
          <w:b/>
          <w:color w:val="22C55E"/>
          <w:sz w:val="22"/>
        </w:rPr>
        <w:t xml:space="preserve">  2.  </w:t>
      </w:r>
      <w:r>
        <w:rPr>
          <w:b/>
          <w:sz w:val="20"/>
        </w:rPr>
        <w:t>Revisar las recomendaciones en Telegram</w:t>
        <w:br/>
      </w:r>
      <w:r>
        <w:rPr>
          <w:color w:val="64748B"/>
          <w:sz w:val="19"/>
        </w:rPr>
        <w:t xml:space="preserve">      Solo aparecen partidos donde la confianza del modelo es ≥70% Y existe value ≥10% respecto a las cuotas disponibles. Las notificaciones incluyen fuente: 🤖 PREDICCION ML (XGBoost).</w:t>
      </w:r>
    </w:p>
    <w:p>
      <w:pPr>
        <w:spacing w:after="160"/>
        <w:ind w:left="0"/>
      </w:pPr>
      <w:r>
        <w:rPr>
          <w:b/>
          <w:color w:val="22C55E"/>
          <w:sz w:val="22"/>
        </w:rPr>
        <w:t xml:space="preserve">  3.  </w:t>
      </w:r>
      <w:r>
        <w:rPr>
          <w:b/>
          <w:sz w:val="20"/>
        </w:rPr>
        <w:t>Verificar la liga</w:t>
        <w:br/>
      </w:r>
      <w:r>
        <w:rPr>
          <w:color w:val="64748B"/>
          <w:sz w:val="19"/>
        </w:rPr>
        <w:t xml:space="preserve">      Actualmente solo se recomiendan apuestas en Serie A. Las demás ligas están en modo observación hasta acumular más datos (umbral: 20 apuestas con ROI positivo).</w:t>
      </w:r>
    </w:p>
    <w:p>
      <w:pPr>
        <w:spacing w:after="160"/>
        <w:ind w:left="0"/>
      </w:pPr>
      <w:r>
        <w:rPr>
          <w:b/>
          <w:color w:val="22C55E"/>
          <w:sz w:val="22"/>
        </w:rPr>
        <w:t xml:space="preserve">  4.  </w:t>
      </w:r>
      <w:r>
        <w:rPr>
          <w:b/>
          <w:sz w:val="20"/>
        </w:rPr>
        <w:t>Revisar el Value %</w:t>
        <w:br/>
      </w:r>
      <w:r>
        <w:rPr>
          <w:color w:val="64748B"/>
          <w:sz w:val="19"/>
        </w:rPr>
        <w:t xml:space="preserve">      Value = (prob_modelo × cuota) - 1. Value 10% significa que por cada $100 apostados, el valor esperado es $110. Solo apostamos cuando Value ≥ 10%.</w:t>
      </w:r>
    </w:p>
    <w:p>
      <w:pPr>
        <w:spacing w:after="160"/>
        <w:ind w:left="0"/>
      </w:pPr>
      <w:r>
        <w:rPr>
          <w:b/>
          <w:color w:val="22C55E"/>
          <w:sz w:val="22"/>
        </w:rPr>
        <w:t xml:space="preserve">  5.  </w:t>
      </w:r>
      <w:r>
        <w:rPr>
          <w:b/>
          <w:sz w:val="20"/>
        </w:rPr>
        <w:t>Decidir el monto a apostar</w:t>
        <w:br/>
      </w:r>
      <w:r>
        <w:rPr>
          <w:color w:val="64748B"/>
          <w:sz w:val="19"/>
        </w:rPr>
        <w:t xml:space="preserve">      Flat betting: mismo monto siempre (ej: $5.000 por apuesta). Kelly ×¼: monto proporcional a la ventaja — mayor confianza = mayor apuesta. Para comenzar, se recomienda flat betting.</w:t>
      </w:r>
    </w:p>
    <w:p>
      <w:pPr>
        <w:spacing w:after="160"/>
        <w:ind w:left="0"/>
      </w:pPr>
      <w:r>
        <w:rPr>
          <w:b/>
          <w:color w:val="22C55E"/>
          <w:sz w:val="22"/>
        </w:rPr>
        <w:t xml:space="preserve">  6.  </w:t>
      </w:r>
      <w:r>
        <w:rPr>
          <w:b/>
          <w:sz w:val="20"/>
        </w:rPr>
        <w:t>Registrar resultado y aprender</w:t>
        <w:br/>
      </w:r>
      <w:r>
        <w:rPr>
          <w:color w:val="64748B"/>
          <w:sz w:val="19"/>
        </w:rPr>
        <w:t xml:space="preserve">      El modelo registra automáticamente si la apuesta fue ganadora o perdedora en historico_apuestas.json. El backtesting nocturno (22:00) verifica resultados reales.</w:t>
      </w:r>
    </w:p>
    <w:p>
      <w:pPr>
        <w:pStyle w:val="Heading1"/>
        <w:spacing w:before="280" w:after="120"/>
      </w:pPr>
      <w:r>
        <w:rPr>
          <w:color w:val="3B82F6"/>
        </w:rPr>
        <w:t>6. Ejemplo Real: Así se ve una recomendación</w:t>
      </w:r>
    </w:p>
    <w:p>
      <w:pPr>
        <w:spacing w:after="120"/>
      </w:pPr>
      <w:r>
        <w:rPr>
          <w:i w:val="0"/>
          <w:sz w:val="20"/>
        </w:rPr>
        <w:t>Supón que el modelo analiza este partido de Serie A:</w:t>
      </w:r>
    </w:p>
    <w:tbl>
      <w:tblPr>
        <w:tblStyle w:val="TableGrid"/>
        <w:tblW w:type="auto" w:w="0"/>
        <w:tblLook w:firstColumn="1" w:firstRow="1" w:lastColumn="0" w:lastRow="0" w:noHBand="0" w:noVBand="1" w:val="04A0"/>
      </w:tblPr>
      <w:tblGrid>
        <w:gridCol w:w="4703"/>
        <w:gridCol w:w="4703"/>
      </w:tblGrid>
      <w:tr>
        <w:tc>
          <w:tcPr>
            <w:tcW w:type="dxa" w:w="4703"/>
            <w:shd w:val="clear" w:color="auto" w:fill="1E293B"/>
          </w:tcPr>
          <w:p>
            <w:r>
              <w:rPr>
                <w:b/>
                <w:color w:val="FFFFFF"/>
                <w:sz w:val="18"/>
              </w:rPr>
              <w:t>🇮🇹 Serie A · Jornada 28</w:t>
            </w:r>
          </w:p>
        </w:tc>
        <w:tc>
          <w:tcPr>
            <w:tcW w:type="dxa" w:w="4703"/>
          </w:tcPr>
          <w:p>
            <w:r>
              <w:rPr>
                <w:sz w:val="18"/>
              </w:rPr>
              <w:t>Inter Milan vs Napoli</w:t>
            </w:r>
          </w:p>
        </w:tc>
      </w:tr>
      <w:tr>
        <w:tc>
          <w:tcPr>
            <w:tcW w:type="dxa" w:w="4703"/>
            <w:shd w:val="clear" w:color="auto" w:fill="1E293B"/>
          </w:tcPr>
          <w:p>
            <w:r>
              <w:rPr>
                <w:b/>
                <w:color w:val="FFFFFF"/>
                <w:sz w:val="18"/>
              </w:rPr>
              <w:t>Pi-Rating</w:t>
            </w:r>
          </w:p>
        </w:tc>
        <w:tc>
          <w:tcPr>
            <w:tcW w:type="dxa" w:w="4703"/>
          </w:tcPr>
          <w:p>
            <w:r>
              <w:rPr>
                <w:sz w:val="18"/>
              </w:rPr>
              <w:t>Inter: 1.43 · Napoli: 1.28 · Diferencia: +0.15</w:t>
            </w:r>
          </w:p>
        </w:tc>
      </w:tr>
      <w:tr>
        <w:tc>
          <w:tcPr>
            <w:tcW w:type="dxa" w:w="4703"/>
            <w:shd w:val="clear" w:color="auto" w:fill="1E293B"/>
          </w:tcPr>
          <w:p>
            <w:r>
              <w:rPr>
                <w:b/>
                <w:color w:val="FFFFFF"/>
                <w:sz w:val="18"/>
              </w:rPr>
              <w:t>Probabilidades modelo</w:t>
            </w:r>
          </w:p>
        </w:tc>
        <w:tc>
          <w:tcPr>
            <w:tcW w:type="dxa" w:w="4703"/>
          </w:tcPr>
          <w:p>
            <w:r>
              <w:rPr>
                <w:sz w:val="18"/>
              </w:rPr>
              <w:t>Inter gana: 62%  |  Empate: 20%  |  Napoli: 18%</w:t>
            </w:r>
          </w:p>
        </w:tc>
      </w:tr>
      <w:tr>
        <w:tc>
          <w:tcPr>
            <w:tcW w:type="dxa" w:w="4703"/>
            <w:shd w:val="clear" w:color="auto" w:fill="1E293B"/>
          </w:tcPr>
          <w:p>
            <w:r>
              <w:rPr>
                <w:b/>
                <w:color w:val="FFFFFF"/>
                <w:sz w:val="18"/>
              </w:rPr>
              <w:t>Cuota bookmaker</w:t>
            </w:r>
          </w:p>
        </w:tc>
        <w:tc>
          <w:tcPr>
            <w:tcW w:type="dxa" w:w="4703"/>
          </w:tcPr>
          <w:p>
            <w:r>
              <w:rPr>
                <w:sz w:val="18"/>
              </w:rPr>
              <w:t>Inter gana: 1.75</w:t>
            </w:r>
          </w:p>
        </w:tc>
      </w:tr>
    </w:tbl>
    <w:p/>
    <w:tbl>
      <w:tblPr>
        <w:tblW w:type="auto" w:w="0"/>
        <w:jc w:val="left"/>
        <w:tblLook w:firstColumn="1" w:firstRow="1" w:lastColumn="0" w:lastRow="0" w:noHBand="0" w:noVBand="1" w:val="04A0"/>
      </w:tblPr>
      <w:tblGrid>
        <w:gridCol w:w="9406"/>
      </w:tblGrid>
      <w:tr>
        <w:tc>
          <w:tcPr>
            <w:tcW w:type="dxa" w:w="9406"/>
            <w:shd w:val="clear" w:color="auto" w:fill="EBF2FE"/>
            <w:tcBorders>
              <w:left w:val="single" w:sz="18" w:space="0" w:color="3B82F6"/>
            </w:tcBorders>
          </w:tcPr>
          <w:p>
            <w:pPr>
              <w:spacing w:after="0"/>
              <w:ind w:left="170"/>
            </w:pPr>
            <w:r>
              <w:rPr>
                <w:color w:val="0F172A"/>
                <w:sz w:val="19"/>
              </w:rPr>
              <w:t>📊  La fórmula del Value:  Value = (Prob. modelo × Cuota bookmaker) − 1</w:t>
              <w:br/>
              <w:br/>
              <w:t>Si Inter tiene 62% según el modelo y la cuota es 1.75:</w:t>
              <w:br/>
              <w:t>Value = 0.62 × 1.75 − 1 = 1.085 − 1 = +0.085 = +8.5%</w:t>
              <w:br/>
              <w:br/>
              <w:t>Eso significa que por cada $100 apostados, el valor esperado es $108.50. ✓ Apuesta recomendada.</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FDECEC"/>
            <w:tcBorders>
              <w:left w:val="single" w:sz="18" w:space="0" w:color="EF4444"/>
            </w:tcBorders>
          </w:tcPr>
          <w:p>
            <w:pPr>
              <w:spacing w:after="0"/>
              <w:ind w:left="170"/>
            </w:pPr>
            <w:r>
              <w:rPr>
                <w:color w:val="0F172A"/>
                <w:sz w:val="19"/>
              </w:rPr>
              <w:t>❌  Contra-ejemplo: Si la misma cuota fuera 1.50:</w:t>
              <w:br/>
              <w:t>Value = 0.62 × 1.50 − 1 = 0.93 − 1 = −0.07 = −7%</w:t>
              <w:br/>
              <w:t>El bookmaker cobra 7% de comisión implícita. No se apuesta.</w:t>
            </w:r>
          </w:p>
        </w:tc>
      </w:tr>
    </w:tbl>
    <w:p>
      <w:pPr>
        <w:spacing w:after="80"/>
      </w:pPr>
    </w:p>
    <w:p>
      <w:pPr>
        <w:pStyle w:val="Heading1"/>
        <w:spacing w:before="280" w:after="120"/>
      </w:pPr>
      <w:r>
        <w:rPr>
          <w:color w:val="3B82F6"/>
        </w:rPr>
        <w:t>7. Estadística del Modelo: Bajo el Capó</w:t>
      </w:r>
    </w:p>
    <w:p>
      <w:pPr>
        <w:spacing w:after="120"/>
      </w:pPr>
      <w:r>
        <w:rPr>
          <w:i/>
          <w:sz w:val="20"/>
        </w:rPr>
        <w:t>Esta sección explica cómo el modelo genera sus probabilidades. Para un ingeniero industrial, estos son los mismos conceptos de distribuciones de probabilidad, optimización y control estadístico de proceso — aplicados al fútbol.</w:t>
      </w:r>
    </w:p>
    <w:p>
      <w:pPr>
        <w:spacing w:before="240"/>
      </w:pPr>
      <w:r>
        <w:rPr>
          <w:b/>
          <w:color w:val="3B82F6"/>
          <w:sz w:val="22"/>
        </w:rPr>
        <w:t>A.  XGBoost: Cómo convierte variables en probabilidades</w:t>
      </w:r>
    </w:p>
    <w:p>
      <w:pPr>
        <w:spacing w:after="120"/>
      </w:pPr>
      <w:r>
        <w:rPr>
          <w:i w:val="0"/>
          <w:sz w:val="20"/>
        </w:rPr>
        <w:t>XGBoost es un ensemble de árboles de decisión construidos secuencialmente. Cada árbol nuevo aprende a corregir los errores del anterior — por eso se llama Gradient Boosting (mejora por gradiente). El modelo activo tiene ~300 árboles.</w:t>
      </w:r>
    </w:p>
    <w:tbl>
      <w:tblPr>
        <w:tblW w:type="auto" w:w="0"/>
        <w:jc w:val="left"/>
        <w:tblLook w:firstColumn="1" w:firstRow="1" w:lastColumn="0" w:lastRow="0" w:noHBand="0" w:noVBand="1" w:val="04A0"/>
      </w:tblPr>
      <w:tblGrid>
        <w:gridCol w:w="9406"/>
      </w:tblGrid>
      <w:tr>
        <w:tc>
          <w:tcPr>
            <w:tcW w:type="dxa" w:w="9406"/>
            <w:shd w:val="clear" w:color="auto" w:fill="EBF2FE"/>
            <w:tcBorders>
              <w:left w:val="single" w:sz="18" w:space="0" w:color="3B82F6"/>
            </w:tcBorders>
          </w:tcPr>
          <w:p>
            <w:pPr>
              <w:spacing w:after="0"/>
              <w:ind w:left="170"/>
            </w:pPr>
            <w:r>
              <w:rPr>
                <w:color w:val="0F172A"/>
                <w:sz w:val="19"/>
              </w:rPr>
              <w:t>🌲  Intuición: Si el árbol #1 predice 'Inter gana' pero falla en partidos con alta rivalidad histórica, el árbol #2 se especializa en esos errores. El árbol #300 ya está refinando detalles muy específicos. El modelo final es el voto ponderado de los 300 árboles.</w:t>
            </w:r>
          </w:p>
        </w:tc>
      </w:tr>
    </w:tbl>
    <w:p>
      <w:pPr>
        <w:spacing w:after="80"/>
      </w:pPr>
    </w:p>
    <w:p>
      <w:pPr>
        <w:spacing w:after="120"/>
      </w:pPr>
      <w:r>
        <w:rPr>
          <w:i w:val="0"/>
          <w:sz w:val="20"/>
        </w:rPr>
        <w:t>Para clasificación multiclase (3 resultados posibles), XGBoost produce 3 valores 'crudos' (logits) por partido — uno para cada clase. Estos logits se convierten en probabilidades mediante la función softmax:</w:t>
      </w:r>
    </w:p>
    <w:p>
      <w:pPr>
        <w:spacing w:before="160" w:after="160"/>
        <w:jc w:val="center"/>
      </w:pPr>
      <w:r>
        <w:rPr>
          <w:rFonts w:ascii="Courier New" w:hAnsi="Courier New"/>
          <w:b/>
          <w:color w:val="22C55E"/>
          <w:sz w:val="22"/>
        </w:rPr>
        <w:t>P(k) = e^(z_k)  /  ( e^(z_0) + e^(z_1) + e^(z_2) )</w:t>
      </w:r>
    </w:p>
    <w:p>
      <w:pPr>
        <w:spacing w:after="120"/>
      </w:pPr>
      <w:r>
        <w:rPr>
          <w:i w:val="0"/>
          <w:color w:val="64748B"/>
          <w:sz w:val="18"/>
        </w:rPr>
        <w:t>donde z_0, z_1, z_2 son los logits para Home / Empate / Away respectivamente.</w:t>
      </w:r>
    </w:p>
    <w:tbl>
      <w:tblPr>
        <w:tblW w:type="auto" w:w="0"/>
        <w:jc w:val="left"/>
        <w:tblLook w:firstColumn="1" w:firstRow="1" w:lastColumn="0" w:lastRow="0" w:noHBand="0" w:noVBand="1" w:val="04A0"/>
      </w:tblPr>
      <w:tblGrid>
        <w:gridCol w:w="9406"/>
      </w:tblGrid>
      <w:tr>
        <w:tc>
          <w:tcPr>
            <w:tcW w:type="dxa" w:w="9406"/>
            <w:shd w:val="clear" w:color="auto" w:fill="E8F9EE"/>
            <w:tcBorders>
              <w:left w:val="single" w:sz="18" w:space="0" w:color="22C55E"/>
            </w:tcBorders>
          </w:tcPr>
          <w:p>
            <w:pPr>
              <w:spacing w:after="0"/>
              <w:ind w:left="170"/>
            </w:pPr>
            <w:r>
              <w:rPr>
                <w:color w:val="0F172A"/>
                <w:sz w:val="19"/>
              </w:rPr>
              <w:t>🔢  Ejemplo numérico — Inter vs Napoli:</w:t>
              <w:br/>
              <w:t>XGBoost genera logits: [z₀=1.8, z₁=0.3, z₂=−0.6]</w:t>
              <w:br/>
              <w:t>e^1.8 = 6.05  ·  e^0.3 = 1.35  ·  e^−0.6 = 0.55  ·  Suma = 7.95</w:t>
              <w:br/>
              <w:br/>
              <w:t>P(Home) = 6.05/7.95 = 76.1%   P(Empate) = 1.35/7.95 = 17.0%   P(Away) = 0.55/7.95 = 6.9%</w:t>
              <w:br/>
              <w:br/>
              <w:t>✓ Suma = 100%   ✓ Ninguna es negativa (garantizado por softmax)</w:t>
              <w:br/>
              <w:br/>
              <w:t>La clase con mayor probabilidad es la predicción. Si supera el umbral de confianza (70%), el modelo evalúa si hay value para apostar.</w:t>
            </w:r>
          </w:p>
        </w:tc>
      </w:tr>
    </w:tbl>
    <w:p>
      <w:pPr>
        <w:spacing w:after="80"/>
      </w:pPr>
    </w:p>
    <w:p>
      <w:pPr>
        <w:spacing w:before="240"/>
      </w:pPr>
      <w:r>
        <w:rPr>
          <w:b/>
          <w:color w:val="3B82F6"/>
          <w:sz w:val="22"/>
        </w:rPr>
        <w:t>B.  Pi-Rating: La fuerza real de cada equipo</w:t>
      </w:r>
    </w:p>
    <w:p>
      <w:pPr>
        <w:spacing w:after="120"/>
      </w:pPr>
      <w:r>
        <w:rPr>
          <w:i w:val="0"/>
          <w:sz w:val="20"/>
        </w:rPr>
        <w:t>El Pi-Rating (Constantinou &amp; Fenton, 2012) es un sistema de rating inspirado en el ELO del ajedrez, pero mejorado para fútbol: actualiza los ratings con goles, no solo con el resultado binario ganar/perder. Esto captura la magnitud del rendimiento.</w:t>
      </w:r>
    </w:p>
    <w:p>
      <w:pPr>
        <w:spacing w:before="160" w:after="160"/>
        <w:jc w:val="center"/>
      </w:pPr>
      <w:r>
        <w:rPr>
          <w:rFonts w:ascii="Courier New" w:hAnsi="Courier New"/>
          <w:b/>
          <w:color w:val="22C55E"/>
          <w:sz w:val="22"/>
        </w:rPr>
        <w:t>r_nuevo = r_anterior  +  K × (P_real − P_esperado)</w:t>
      </w:r>
    </w:p>
    <w:p>
      <w:pPr>
        <w:spacing w:after="120"/>
      </w:pPr>
      <w:r>
        <w:rPr>
          <w:i w:val="0"/>
          <w:color w:val="64748B"/>
          <w:sz w:val="18"/>
        </w:rPr>
        <w:t>Parámetros del modelo: K = 0.5 (tasa de aprendizaje) · Decay = 0.98 (decaimiento inter-temporada)</w:t>
        <w:br/>
        <w:t>P_real = función de goles marcados vs recibidos (rango 0-1)</w:t>
        <w:br/>
        <w:t>P_esperado = función logística de la diferencia de ratings actuales</w:t>
      </w:r>
    </w:p>
    <w:tbl>
      <w:tblPr>
        <w:tblW w:type="auto" w:w="0"/>
        <w:jc w:val="left"/>
        <w:tblLook w:firstColumn="1" w:firstRow="1" w:lastColumn="0" w:lastRow="0" w:noHBand="0" w:noVBand="1" w:val="04A0"/>
      </w:tblPr>
      <w:tblGrid>
        <w:gridCol w:w="9406"/>
      </w:tblGrid>
      <w:tr>
        <w:tc>
          <w:tcPr>
            <w:tcW w:type="dxa" w:w="9406"/>
            <w:shd w:val="clear" w:color="auto" w:fill="EBF2FE"/>
            <w:tcBorders>
              <w:left w:val="single" w:sz="18" w:space="0" w:color="3B82F6"/>
            </w:tcBorders>
          </w:tcPr>
          <w:p>
            <w:pPr>
              <w:spacing w:after="0"/>
              <w:ind w:left="170"/>
            </w:pPr>
            <w:r>
              <w:rPr>
                <w:color w:val="0F172A"/>
                <w:sz w:val="19"/>
              </w:rPr>
              <w:t>📐  Ejemplo numérico:</w:t>
              <w:br/>
              <w:t>Inter (r=1.43) vs Napoli (r=1.28). Diferencia = 0.15.</w:t>
              <w:br/>
              <w:t>P_esperado (Inter) ≈ 0.62  (la función logística transforma la diferencia de ratings)</w:t>
              <w:br/>
              <w:t>Si el partido termina 3-0 para Inter: P_real ≈ 0.85 (goleada)</w:t>
              <w:br/>
              <w:t>Δr = 0.5 × (0.85 − 0.62) = +0.115  →  Inter sube de 1.43 a 1.545</w:t>
              <w:br/>
              <w:t>Napoli baja simétricamente.</w:t>
              <w:br/>
              <w:br/>
              <w:t>Al inicio de cada temporada: r_nuevo = r × 0.98 (decaimiento)</w:t>
              <w:br/>
              <w:t>Esto evita que equipos del pasado dominen el modelo para siempre.</w:t>
            </w:r>
          </w:p>
        </w:tc>
      </w:tr>
    </w:tbl>
    <w:p>
      <w:pPr>
        <w:spacing w:after="80"/>
      </w:pPr>
    </w:p>
    <w:p>
      <w:pPr>
        <w:spacing w:after="120"/>
      </w:pPr>
      <w:r>
        <w:rPr>
          <w:i w:val="0"/>
          <w:sz w:val="20"/>
        </w:rPr>
        <w:t>La variable pi_diff (diferencia de Pi-Ratings) es la feature más importante del modelo, con ~25% de importancia relativa según el árbol de ganancia. No sorprende: cuánto mejor es un equipo que el otro históricamente predice mejor el resultado que cualquier otra variable.</w:t>
      </w:r>
    </w:p>
    <w:p>
      <w:pPr>
        <w:spacing w:before="240"/>
      </w:pPr>
      <w:r>
        <w:rPr>
          <w:b/>
          <w:color w:val="3B82F6"/>
          <w:sz w:val="22"/>
        </w:rPr>
        <w:t>C.  Value Betting: Matemática del Valor Esperado (EV)</w:t>
      </w:r>
    </w:p>
    <w:p>
      <w:pPr>
        <w:spacing w:after="120"/>
      </w:pPr>
      <w:r>
        <w:rPr>
          <w:i w:val="0"/>
          <w:sz w:val="20"/>
        </w:rPr>
        <w:t>Una apuesta es rentable a largo plazo solo si su Valor Esperado (EV) es positivo. La fórmula es la misma que en cualquier proceso estocástico de ingeniería:</w:t>
      </w:r>
    </w:p>
    <w:p>
      <w:pPr>
        <w:spacing w:before="160" w:after="160"/>
        <w:jc w:val="center"/>
      </w:pPr>
      <w:r>
        <w:rPr>
          <w:rFonts w:ascii="Courier New" w:hAnsi="Courier New"/>
          <w:b/>
          <w:color w:val="22C55E"/>
          <w:sz w:val="22"/>
        </w:rPr>
        <w:t>EV = P(ganar) × ganancia_neta  −  P(perder) × apuesta</w:t>
        <w:br/>
        <w:t xml:space="preserve">   = p × (cuota − 1) − (1 − p) × 1</w:t>
        <w:br/>
        <w:t xml:space="preserve">   = p × cuota − 1</w:t>
      </w:r>
    </w:p>
    <w:tbl>
      <w:tblPr>
        <w:tblW w:type="auto" w:w="0"/>
        <w:jc w:val="left"/>
        <w:tblLook w:firstColumn="1" w:firstRow="1" w:lastColumn="0" w:lastRow="0" w:noHBand="0" w:noVBand="1" w:val="04A0"/>
      </w:tblPr>
      <w:tblGrid>
        <w:gridCol w:w="9406"/>
      </w:tblGrid>
      <w:tr>
        <w:tc>
          <w:tcPr>
            <w:tcW w:type="dxa" w:w="9406"/>
            <w:shd w:val="clear" w:color="auto" w:fill="E8F9EE"/>
            <w:tcBorders>
              <w:left w:val="single" w:sz="18" w:space="0" w:color="22C55E"/>
            </w:tcBorders>
          </w:tcPr>
          <w:p>
            <w:pPr>
              <w:spacing w:after="0"/>
              <w:ind w:left="170"/>
            </w:pPr>
            <w:r>
              <w:rPr>
                <w:color w:val="0F172A"/>
                <w:sz w:val="19"/>
              </w:rPr>
              <w:t>💰  Ejemplo numérico:</w:t>
              <w:br/>
              <w:t>Modelo: P(Inter gana) = 0.62   ·   Cuota bookmaker: 1.75</w:t>
              <w:br/>
              <w:t>EV = 0.62 × 1.75 − 1 = 1.085 − 1 = +0.085  (+8.5%)</w:t>
              <w:br/>
              <w:br/>
              <w:t>Interpretación: por cada $10.000 apostados, el valor esperado es ganar $850 adicionales. En 100 apuestas similares, el resultado promedio converge a +$850 por apuesta.</w:t>
              <w:br/>
              <w:br/>
              <w:t>Contra-ejemplo — misma probabilidad, cuota 1.55:</w:t>
              <w:br/>
              <w:t>EV = 0.62 × 1.55 − 1 = 0.961 − 1 = −0.039  (−3.9%)  → No se apuesta.</w:t>
            </w:r>
          </w:p>
        </w:tc>
      </w:tr>
    </w:tbl>
    <w:p>
      <w:pPr>
        <w:spacing w:after="80"/>
      </w:pPr>
    </w:p>
    <w:p>
      <w:pPr>
        <w:spacing w:after="120"/>
      </w:pPr>
      <w:r>
        <w:rPr>
          <w:i w:val="0"/>
          <w:sz w:val="20"/>
        </w:rPr>
        <w:t>El umbral value ≥ 10% significa que solo apostamos cuando p × cuota ≥ 1.10. Esto filtra apuestas marginales y se queda con las que tienen ventaja estadística clara.</w:t>
      </w:r>
    </w:p>
    <w:p>
      <w:pPr>
        <w:spacing w:before="240"/>
      </w:pPr>
      <w:r>
        <w:rPr>
          <w:b/>
          <w:color w:val="3B82F6"/>
          <w:sz w:val="22"/>
        </w:rPr>
        <w:t>D.  Criterio de Kelly: Dimensionamiento Óptimo de Capital</w:t>
      </w:r>
    </w:p>
    <w:p>
      <w:pPr>
        <w:spacing w:after="120"/>
      </w:pPr>
      <w:r>
        <w:rPr>
          <w:i w:val="0"/>
          <w:sz w:val="20"/>
        </w:rPr>
        <w:t>Una vez que sabemos que una apuesta tiene EV positivo, ¿cuánto del bankroll apostar? El Criterio de Kelly (Bell Labs, 1956) es la fórmula óptima que maximiza el crecimiento logarítmico del capital a largo plazo:</w:t>
      </w:r>
    </w:p>
    <w:p>
      <w:pPr>
        <w:spacing w:before="160" w:after="160"/>
        <w:jc w:val="center"/>
      </w:pPr>
      <w:r>
        <w:rPr>
          <w:rFonts w:ascii="Courier New" w:hAnsi="Courier New"/>
          <w:b/>
          <w:color w:val="22C55E"/>
          <w:sz w:val="22"/>
        </w:rPr>
        <w:t>f* = (p × cuota − 1) / (cuota − 1)</w:t>
      </w:r>
    </w:p>
    <w:p>
      <w:pPr>
        <w:spacing w:after="120"/>
      </w:pPr>
      <w:r>
        <w:rPr>
          <w:i w:val="0"/>
          <w:color w:val="64748B"/>
          <w:sz w:val="18"/>
        </w:rPr>
        <w:t>donde f* es la fracción del bankroll a apostar.</w:t>
      </w:r>
    </w:p>
    <w:tbl>
      <w:tblPr>
        <w:tblW w:type="auto" w:w="0"/>
        <w:jc w:val="left"/>
        <w:tblLook w:firstColumn="1" w:firstRow="1" w:lastColumn="0" w:lastRow="0" w:noHBand="0" w:noVBand="1" w:val="04A0"/>
      </w:tblPr>
      <w:tblGrid>
        <w:gridCol w:w="9406"/>
      </w:tblGrid>
      <w:tr>
        <w:tc>
          <w:tcPr>
            <w:tcW w:type="dxa" w:w="9406"/>
            <w:shd w:val="clear" w:color="auto" w:fill="E8F9EE"/>
            <w:tcBorders>
              <w:left w:val="single" w:sz="18" w:space="0" w:color="22C55E"/>
            </w:tcBorders>
          </w:tcPr>
          <w:p>
            <w:pPr>
              <w:spacing w:after="0"/>
              <w:ind w:left="170"/>
            </w:pPr>
            <w:r>
              <w:rPr>
                <w:color w:val="0F172A"/>
                <w:sz w:val="19"/>
              </w:rPr>
              <w:t>📐  Ejemplo:</w:t>
              <w:br/>
              <w:t>P = 0.62   ·   cuota = 1.75   ·   bankroll = $100.000 CLP</w:t>
              <w:br/>
              <w:t>f* = (0.62 × 1.75 − 1) / (1.75 − 1) = 0.085 / 0.75 = 11.3% del bankroll</w:t>
              <w:br/>
              <w:t>Monto Kelly pleno = $11.300</w:t>
              <w:br/>
              <w:br/>
              <w:t>El modelo usa Quarter Kelly (×0.25): $11.300 × 0.25 = $2.825 CLP</w:t>
              <w:br/>
              <w:br/>
              <w:t>¿Por qué ¼? Kelly asume que la probabilidad es perfectamente conocida. En la práctica, el modelo puede estar equivocado, así que apostar menos del óptimo teórico reduce la volatilidad sin sacrificar demasiado crecimiento.</w:t>
            </w:r>
          </w:p>
        </w:tc>
      </w:tr>
    </w:tbl>
    <w:p>
      <w:pPr>
        <w:spacing w:after="80"/>
      </w:pPr>
    </w:p>
    <w:p>
      <w:pPr>
        <w:spacing w:before="240"/>
      </w:pPr>
      <w:r>
        <w:rPr>
          <w:b/>
          <w:color w:val="3B82F6"/>
          <w:sz w:val="22"/>
        </w:rPr>
        <w:t>E.  Validación Temporal: ¿Son Reales las Métricas?</w:t>
      </w:r>
    </w:p>
    <w:p>
      <w:pPr>
        <w:spacing w:after="120"/>
      </w:pPr>
      <w:r>
        <w:rPr>
          <w:i w:val="0"/>
          <w:sz w:val="20"/>
        </w:rPr>
        <w:t>El mayor error en ML deportivo es el data leakage: si el modelo entrena con datos del futuro, sus métricas son artificialmente buenas. El modelo usa TimeSeriesSplit con 5 folds — el estándar para series temporales:</w:t>
      </w:r>
    </w:p>
    <w:tbl>
      <w:tblPr>
        <w:tblStyle w:val="TableGrid"/>
        <w:tblW w:type="auto" w:w="0"/>
        <w:tblLook w:firstColumn="1" w:firstRow="1" w:lastColumn="0" w:lastRow="0" w:noHBand="0" w:noVBand="1" w:val="04A0"/>
      </w:tblPr>
      <w:tblGrid>
        <w:gridCol w:w="4703"/>
        <w:gridCol w:w="4703"/>
      </w:tblGrid>
      <w:tr>
        <w:tc>
          <w:tcPr>
            <w:tcW w:type="dxa" w:w="4703"/>
            <w:shd w:val="clear" w:color="auto" w:fill="1E293B"/>
          </w:tcPr>
          <w:p>
            <w:r>
              <w:rPr>
                <w:b/>
                <w:color w:val="FFFFFF"/>
                <w:sz w:val="18"/>
              </w:rPr>
              <w:t>Fold 1</w:t>
            </w:r>
          </w:p>
        </w:tc>
        <w:tc>
          <w:tcPr>
            <w:tcW w:type="dxa" w:w="4703"/>
          </w:tcPr>
          <w:p>
            <w:r>
              <w:rPr>
                <w:sz w:val="18"/>
              </w:rPr>
              <w:t>Entrena 2019-2020  →  Evalúa 2021</w:t>
            </w:r>
          </w:p>
        </w:tc>
      </w:tr>
      <w:tr>
        <w:tc>
          <w:tcPr>
            <w:tcW w:type="dxa" w:w="4703"/>
            <w:shd w:val="clear" w:color="auto" w:fill="1E293B"/>
          </w:tcPr>
          <w:p>
            <w:r>
              <w:rPr>
                <w:b/>
                <w:color w:val="FFFFFF"/>
                <w:sz w:val="18"/>
              </w:rPr>
              <w:t>Fold 2</w:t>
            </w:r>
          </w:p>
        </w:tc>
        <w:tc>
          <w:tcPr>
            <w:tcW w:type="dxa" w:w="4703"/>
          </w:tcPr>
          <w:p>
            <w:r>
              <w:rPr>
                <w:sz w:val="18"/>
              </w:rPr>
              <w:t>Entrena 2019-2021  →  Evalúa 2022</w:t>
            </w:r>
          </w:p>
        </w:tc>
      </w:tr>
      <w:tr>
        <w:tc>
          <w:tcPr>
            <w:tcW w:type="dxa" w:w="4703"/>
            <w:shd w:val="clear" w:color="auto" w:fill="1E293B"/>
          </w:tcPr>
          <w:p>
            <w:r>
              <w:rPr>
                <w:b/>
                <w:color w:val="FFFFFF"/>
                <w:sz w:val="18"/>
              </w:rPr>
              <w:t>Fold 3</w:t>
            </w:r>
          </w:p>
        </w:tc>
        <w:tc>
          <w:tcPr>
            <w:tcW w:type="dxa" w:w="4703"/>
          </w:tcPr>
          <w:p>
            <w:r>
              <w:rPr>
                <w:sz w:val="18"/>
              </w:rPr>
              <w:t>Entrena 2019-2022  →  Evalúa 2023</w:t>
            </w:r>
          </w:p>
        </w:tc>
      </w:tr>
      <w:tr>
        <w:tc>
          <w:tcPr>
            <w:tcW w:type="dxa" w:w="4703"/>
            <w:shd w:val="clear" w:color="auto" w:fill="1E293B"/>
          </w:tcPr>
          <w:p>
            <w:r>
              <w:rPr>
                <w:b/>
                <w:color w:val="FFFFFF"/>
                <w:sz w:val="18"/>
              </w:rPr>
              <w:t>Fold 4</w:t>
            </w:r>
          </w:p>
        </w:tc>
        <w:tc>
          <w:tcPr>
            <w:tcW w:type="dxa" w:w="4703"/>
          </w:tcPr>
          <w:p>
            <w:r>
              <w:rPr>
                <w:sz w:val="18"/>
              </w:rPr>
              <w:t>Entrena 2019-2023  →  Evalúa 2024</w:t>
            </w:r>
          </w:p>
        </w:tc>
      </w:tr>
      <w:tr>
        <w:tc>
          <w:tcPr>
            <w:tcW w:type="dxa" w:w="4703"/>
            <w:shd w:val="clear" w:color="auto" w:fill="16A34A"/>
          </w:tcPr>
          <w:p>
            <w:r>
              <w:rPr>
                <w:b/>
                <w:color w:val="FFFFFF"/>
                <w:sz w:val="18"/>
              </w:rPr>
              <w:t>TEST SET</w:t>
            </w:r>
          </w:p>
        </w:tc>
        <w:tc>
          <w:tcPr>
            <w:tcW w:type="dxa" w:w="4703"/>
          </w:tcPr>
          <w:p>
            <w:r>
              <w:rPr>
                <w:b/>
                <w:color w:val="22C55E"/>
                <w:sz w:val="18"/>
              </w:rPr>
              <w:t>Último 20%  —  El modelo nunca lo vio durante el entrenamiento</w:t>
            </w:r>
          </w:p>
        </w:tc>
      </w:tr>
    </w:tbl>
    <w:p/>
    <w:tbl>
      <w:tblPr>
        <w:tblW w:type="auto" w:w="0"/>
        <w:jc w:val="left"/>
        <w:tblLook w:firstColumn="1" w:firstRow="1" w:lastColumn="0" w:lastRow="0" w:noHBand="0" w:noVBand="1" w:val="04A0"/>
      </w:tblPr>
      <w:tblGrid>
        <w:gridCol w:w="9406"/>
      </w:tblGrid>
      <w:tr>
        <w:tc>
          <w:tcPr>
            <w:tcW w:type="dxa" w:w="9406"/>
            <w:shd w:val="clear" w:color="auto" w:fill="EBF2FE"/>
            <w:tcBorders>
              <w:left w:val="single" w:sz="18" w:space="0" w:color="3B82F6"/>
            </w:tcBorders>
          </w:tcPr>
          <w:p>
            <w:pPr>
              <w:spacing w:after="0"/>
              <w:ind w:left="170"/>
            </w:pPr>
            <w:r>
              <w:rPr>
                <w:color w:val="0F172A"/>
                <w:sz w:val="19"/>
              </w:rPr>
              <w:t>📊  Resultados del modelo:</w:t>
              <w:br/>
              <w:t>CV accuracy: 0.4888 ± 0.0248  (media ± desv. estándar entre los 5 folds)</w:t>
              <w:br/>
              <w:t>Test accuracy: 0.5226  (datos completamente nuevos — nunca vistos)</w:t>
              <w:br/>
              <w:br/>
              <w:t>Regla de oro: Si test accuracy &gt;&gt; CV accuracy → overfitting (el modelo memorizó).</w:t>
              <w:br/>
              <w:t>Si test accuracy ≈ CV accuracy → el modelo generaliza bien.</w:t>
              <w:br/>
              <w:t>Aquí la diferencia es 0.034 (&lt;5%)  →  Sin overfitting. ✅</w:t>
              <w:br/>
              <w:br/>
              <w:t>La desviación estándar de 0.0248 entre folds indica que el modelo es consistente: no hay folds donde rinda muy bien y otros donde falle. Un modelo inestable tendría std &gt; 0.05.</w:t>
            </w:r>
          </w:p>
        </w:tc>
      </w:tr>
    </w:tbl>
    <w:p>
      <w:pPr>
        <w:spacing w:after="80"/>
      </w:pPr>
    </w:p>
    <w:p>
      <w:pPr>
        <w:spacing w:before="240"/>
      </w:pPr>
      <w:r>
        <w:rPr>
          <w:b/>
          <w:color w:val="3B82F6"/>
          <w:sz w:val="22"/>
        </w:rPr>
        <w:t>F.  La Distribución de Resultados: No es Normal</w:t>
      </w:r>
    </w:p>
    <w:p>
      <w:pPr>
        <w:spacing w:after="120"/>
      </w:pPr>
      <w:r>
        <w:rPr>
          <w:i w:val="0"/>
          <w:sz w:val="20"/>
        </w:rPr>
        <w:t>Un error conceptual frecuente es asumir que la incertidumbre del modelo sigue una distribución normal (Gaussiana). En realidad, el output de XGBoost para 3 clases sigue una distribución multinomial:</w:t>
      </w:r>
    </w:p>
    <w:p>
      <w:pPr>
        <w:pStyle w:val="ListBullet"/>
      </w:pPr>
      <w:r>
        <w:rPr>
          <w:sz w:val="19"/>
        </w:rPr>
        <w:t>Tiene 3 parámetros: p₀ (local), p₁ (empate), p₂ (visitante)</w:t>
      </w:r>
    </w:p>
    <w:p>
      <w:pPr>
        <w:pStyle w:val="ListBullet"/>
      </w:pPr>
      <w:r>
        <w:rPr>
          <w:sz w:val="19"/>
        </w:rPr>
        <w:t>Restricciones: p₀ + p₁ + p₂ = 1, y cada pᵢ ∈ [0, 1]</w:t>
      </w:r>
    </w:p>
    <w:p>
      <w:pPr>
        <w:pStyle w:val="ListBullet"/>
      </w:pPr>
      <w:r>
        <w:rPr>
          <w:sz w:val="19"/>
        </w:rPr>
        <w:t>El espacio de probabilidad está en un simplex 2D (triángulo), no en la recta real ℝ</w:t>
      </w:r>
    </w:p>
    <w:p>
      <w:pPr>
        <w:pStyle w:val="ListBullet"/>
      </w:pPr>
      <w:r>
        <w:rPr>
          <w:sz w:val="19"/>
        </w:rPr>
        <w:t>No puede ser Gaussiana porque está acotada entre 0 y 1, y las 3 clases son dependientes</w:t>
      </w:r>
    </w:p>
    <w:tbl>
      <w:tblPr>
        <w:tblW w:type="auto" w:w="0"/>
        <w:jc w:val="left"/>
        <w:tblLook w:firstColumn="1" w:firstRow="1" w:lastColumn="0" w:lastRow="0" w:noHBand="0" w:noVBand="1" w:val="04A0"/>
      </w:tblPr>
      <w:tblGrid>
        <w:gridCol w:w="9406"/>
      </w:tblGrid>
      <w:tr>
        <w:tc>
          <w:tcPr>
            <w:tcW w:type="dxa" w:w="9406"/>
            <w:shd w:val="clear" w:color="auto" w:fill="EBF2FE"/>
            <w:tcBorders>
              <w:left w:val="single" w:sz="18" w:space="0" w:color="3B82F6"/>
            </w:tcBorders>
          </w:tcPr>
          <w:p>
            <w:pPr>
              <w:spacing w:after="0"/>
              <w:ind w:left="170"/>
            </w:pPr>
            <w:r>
              <w:rPr>
                <w:color w:val="0F172A"/>
                <w:sz w:val="19"/>
              </w:rPr>
              <w:t>🎯  ¿Qué significa p = 0.70 para 'Inter gana'?</w:t>
              <w:br/>
              <w:t>Calibración del modelo: en el conjunto histórico, cuando el modelo asignó ~70% de probabilidad a una victoria local, ese equipo ganó realmente en ~67-68% de los casos (accuracy al apostar). La diferencia del 2-3% es el error de calibración — aceptable y dentro del margen de ruido estadístico con n=61 apuestas.</w:t>
            </w:r>
          </w:p>
        </w:tc>
      </w:tr>
    </w:tbl>
    <w:p>
      <w:pPr>
        <w:spacing w:after="80"/>
      </w:pPr>
    </w:p>
    <w:p>
      <w:pPr>
        <w:spacing w:after="120"/>
      </w:pPr>
      <w:r>
        <w:rPr>
          <w:i w:val="0"/>
          <w:sz w:val="20"/>
        </w:rPr>
        <w:t>Los intervalos de confianza para predicciones individuales no están calculados directamente (XGBoost puntual no tiene incertidumbre explícita como los modelos bayesianos). Sin embargo, el umbral de confianza del 70% actúa como filtro que selecciona predicciones donde el modelo tiene suficiente separación entre las 3 probabilidades — reduciendo el riesgo de apostar en partidos 'dudosos' donde las probabilidades están cerca de 33% / 33% / 33% (máxima incertidumbre).</w:t>
      </w:r>
    </w:p>
    <w:p>
      <w:pPr>
        <w:pStyle w:val="Heading1"/>
        <w:spacing w:before="280" w:after="120"/>
      </w:pPr>
      <w:r>
        <w:rPr>
          <w:color w:val="3B82F6"/>
        </w:rPr>
        <w:t>8. Glosario de Términos</w:t>
      </w:r>
    </w:p>
    <w:tbl>
      <w:tblPr>
        <w:tblStyle w:val="TableGrid"/>
        <w:tblW w:type="auto" w:w="0"/>
        <w:tblLook w:firstColumn="1" w:firstRow="1" w:lastColumn="0" w:lastRow="0" w:noHBand="0" w:noVBand="1" w:val="04A0"/>
      </w:tblPr>
      <w:tblGrid>
        <w:gridCol w:w="4703"/>
        <w:gridCol w:w="4703"/>
      </w:tblGrid>
      <w:tr>
        <w:tc>
          <w:tcPr>
            <w:tcW w:type="dxa" w:w="4703"/>
            <w:shd w:val="clear" w:color="auto" w:fill="1E293B"/>
          </w:tcPr>
          <w:p>
            <w:r>
              <w:rPr>
                <w:b/>
                <w:color w:val="22C55E"/>
                <w:sz w:val="18"/>
              </w:rPr>
              <w:t>Pi-Rating</w:t>
            </w:r>
          </w:p>
        </w:tc>
        <w:tc>
          <w:tcPr>
            <w:tcW w:type="dxa" w:w="4703"/>
          </w:tcPr>
          <w:p>
            <w:r>
              <w:rPr>
                <w:sz w:val="18"/>
              </w:rPr>
              <w:t>Número que mide la fortaleza de un equipo, como el ELO en ajedrez pero mejorado para fútbol. Considera los goles, no solo el resultado.</w:t>
            </w:r>
          </w:p>
        </w:tc>
      </w:tr>
      <w:tr>
        <w:tc>
          <w:tcPr>
            <w:tcW w:type="dxa" w:w="4703"/>
            <w:shd w:val="clear" w:color="auto" w:fill="1E293B"/>
          </w:tcPr>
          <w:p>
            <w:r>
              <w:rPr>
                <w:b/>
                <w:color w:val="22C55E"/>
                <w:sz w:val="18"/>
              </w:rPr>
              <w:t>XGBoost</w:t>
            </w:r>
          </w:p>
        </w:tc>
        <w:tc>
          <w:tcPr>
            <w:tcW w:type="dxa" w:w="4703"/>
          </w:tcPr>
          <w:p>
            <w:r>
              <w:rPr>
                <w:sz w:val="18"/>
              </w:rPr>
              <w:t>Algoritmo de machine learning que combina cientos de árboles de decisión secuenciales. Es el motor principal del agente.</w:t>
            </w:r>
          </w:p>
        </w:tc>
      </w:tr>
      <w:tr>
        <w:tc>
          <w:tcPr>
            <w:tcW w:type="dxa" w:w="4703"/>
            <w:shd w:val="clear" w:color="auto" w:fill="1E293B"/>
          </w:tcPr>
          <w:p>
            <w:r>
              <w:rPr>
                <w:b/>
                <w:color w:val="22C55E"/>
                <w:sz w:val="18"/>
              </w:rPr>
              <w:t>Softmax</w:t>
            </w:r>
          </w:p>
        </w:tc>
        <w:tc>
          <w:tcPr>
            <w:tcW w:type="dxa" w:w="4703"/>
          </w:tcPr>
          <w:p>
            <w:r>
              <w:rPr>
                <w:sz w:val="18"/>
              </w:rPr>
              <w:t>Función matemática que convierte logits (valores crudos) en probabilidades que suman 100%. Garantiza que ninguna probabilidad sea negativa.</w:t>
            </w:r>
          </w:p>
        </w:tc>
      </w:tr>
      <w:tr>
        <w:tc>
          <w:tcPr>
            <w:tcW w:type="dxa" w:w="4703"/>
            <w:shd w:val="clear" w:color="auto" w:fill="1E293B"/>
          </w:tcPr>
          <w:p>
            <w:r>
              <w:rPr>
                <w:b/>
                <w:color w:val="22C55E"/>
                <w:sz w:val="18"/>
              </w:rPr>
              <w:t>Accuracy</w:t>
            </w:r>
          </w:p>
        </w:tc>
        <w:tc>
          <w:tcPr>
            <w:tcW w:type="dxa" w:w="4703"/>
          </w:tcPr>
          <w:p>
            <w:r>
              <w:rPr>
                <w:sz w:val="18"/>
              </w:rPr>
              <w:t>Porcentaje de partidos que el modelo predice correctamente. 52.3% global. Al aplicar filtros de confianza, sube hasta 67.2%.</w:t>
            </w:r>
          </w:p>
        </w:tc>
      </w:tr>
      <w:tr>
        <w:tc>
          <w:tcPr>
            <w:tcW w:type="dxa" w:w="4703"/>
            <w:shd w:val="clear" w:color="auto" w:fill="1E293B"/>
          </w:tcPr>
          <w:p>
            <w:r>
              <w:rPr>
                <w:b/>
                <w:color w:val="22C55E"/>
                <w:sz w:val="18"/>
              </w:rPr>
              <w:t>ROI</w:t>
            </w:r>
          </w:p>
        </w:tc>
        <w:tc>
          <w:tcPr>
            <w:tcW w:type="dxa" w:w="4703"/>
          </w:tcPr>
          <w:p>
            <w:r>
              <w:rPr>
                <w:sz w:val="18"/>
              </w:rPr>
              <w:t>Return on Investment. Ganancia neta / total apostado. ROI +31.7% significa que por cada $100 apostados, ganaste $31.70 en promedio.</w:t>
            </w:r>
          </w:p>
        </w:tc>
      </w:tr>
      <w:tr>
        <w:tc>
          <w:tcPr>
            <w:tcW w:type="dxa" w:w="4703"/>
            <w:shd w:val="clear" w:color="auto" w:fill="1E293B"/>
          </w:tcPr>
          <w:p>
            <w:r>
              <w:rPr>
                <w:b/>
                <w:color w:val="22C55E"/>
                <w:sz w:val="18"/>
              </w:rPr>
              <w:t>Value Bet</w:t>
            </w:r>
          </w:p>
        </w:tc>
        <w:tc>
          <w:tcPr>
            <w:tcW w:type="dxa" w:w="4703"/>
          </w:tcPr>
          <w:p>
            <w:r>
              <w:rPr>
                <w:sz w:val="18"/>
              </w:rPr>
              <w:t>Apuesta donde la probabilidad real es mayor que la que implica la cuota del bookmaker. EV = p × cuota − 1 &gt; 0.</w:t>
            </w:r>
          </w:p>
        </w:tc>
      </w:tr>
      <w:tr>
        <w:tc>
          <w:tcPr>
            <w:tcW w:type="dxa" w:w="4703"/>
            <w:shd w:val="clear" w:color="auto" w:fill="1E293B"/>
          </w:tcPr>
          <w:p>
            <w:r>
              <w:rPr>
                <w:b/>
                <w:color w:val="22C55E"/>
                <w:sz w:val="18"/>
              </w:rPr>
              <w:t>Criterio de Kelly</w:t>
            </w:r>
          </w:p>
        </w:tc>
        <w:tc>
          <w:tcPr>
            <w:tcW w:type="dxa" w:w="4703"/>
          </w:tcPr>
          <w:p>
            <w:r>
              <w:rPr>
                <w:sz w:val="18"/>
              </w:rPr>
              <w:t>Fórmula óptima para dimensionar apuestas: f* = (p×cuota−1)/(cuota−1). El modelo usa Quarter Kelly (×0.25) para seguridad.</w:t>
            </w:r>
          </w:p>
        </w:tc>
      </w:tr>
      <w:tr>
        <w:tc>
          <w:tcPr>
            <w:tcW w:type="dxa" w:w="4703"/>
            <w:shd w:val="clear" w:color="auto" w:fill="1E293B"/>
          </w:tcPr>
          <w:p>
            <w:r>
              <w:rPr>
                <w:b/>
                <w:color w:val="22C55E"/>
                <w:sz w:val="18"/>
              </w:rPr>
              <w:t>TimeSeriesSplit</w:t>
            </w:r>
          </w:p>
        </w:tc>
        <w:tc>
          <w:tcPr>
            <w:tcW w:type="dxa" w:w="4703"/>
          </w:tcPr>
          <w:p>
            <w:r>
              <w:rPr>
                <w:sz w:val="18"/>
              </w:rPr>
              <w:t>Técnica de validación que siempre entrena con datos pasados y evalúa con datos futuros. Evita data leakage.</w:t>
            </w:r>
          </w:p>
        </w:tc>
      </w:tr>
      <w:tr>
        <w:tc>
          <w:tcPr>
            <w:tcW w:type="dxa" w:w="4703"/>
            <w:shd w:val="clear" w:color="auto" w:fill="1E293B"/>
          </w:tcPr>
          <w:p>
            <w:r>
              <w:rPr>
                <w:b/>
                <w:color w:val="22C55E"/>
                <w:sz w:val="18"/>
              </w:rPr>
              <w:t>Data Leakage</w:t>
            </w:r>
          </w:p>
        </w:tc>
        <w:tc>
          <w:tcPr>
            <w:tcW w:type="dxa" w:w="4703"/>
          </w:tcPr>
          <w:p>
            <w:r>
              <w:rPr>
                <w:sz w:val="18"/>
              </w:rPr>
              <w:t>Error grave en ML: cuando el modelo 've el futuro' durante el entrenamiento. Sus métricas serían falsamente altas.</w:t>
            </w:r>
          </w:p>
        </w:tc>
      </w:tr>
      <w:tr>
        <w:tc>
          <w:tcPr>
            <w:tcW w:type="dxa" w:w="4703"/>
            <w:shd w:val="clear" w:color="auto" w:fill="1E293B"/>
          </w:tcPr>
          <w:p>
            <w:r>
              <w:rPr>
                <w:b/>
                <w:color w:val="22C55E"/>
                <w:sz w:val="18"/>
              </w:rPr>
              <w:t>xG (Expected Goals)</w:t>
            </w:r>
          </w:p>
        </w:tc>
        <w:tc>
          <w:tcPr>
            <w:tcW w:type="dxa" w:w="4703"/>
          </w:tcPr>
          <w:p>
            <w:r>
              <w:rPr>
                <w:sz w:val="18"/>
              </w:rPr>
              <w:t>Cuántos goles 'deberían haber' marcado los equipos según la calidad de sus ocasiones. Fuente: Understat (2019-2024).</w:t>
            </w:r>
          </w:p>
        </w:tc>
      </w:tr>
      <w:tr>
        <w:tc>
          <w:tcPr>
            <w:tcW w:type="dxa" w:w="4703"/>
            <w:shd w:val="clear" w:color="auto" w:fill="1E293B"/>
          </w:tcPr>
          <w:p>
            <w:r>
              <w:rPr>
                <w:b/>
                <w:color w:val="22C55E"/>
                <w:sz w:val="18"/>
              </w:rPr>
              <w:t>Distribución multinomial</w:t>
            </w:r>
          </w:p>
        </w:tc>
        <w:tc>
          <w:tcPr>
            <w:tcW w:type="dxa" w:w="4703"/>
          </w:tcPr>
          <w:p>
            <w:r>
              <w:rPr>
                <w:sz w:val="18"/>
              </w:rPr>
              <w:t>Distribución de probabilidad para 3+ categorías excluyentes. Aquí: p(Home) + p(Empate) + p(Away) = 1.</w:t>
            </w:r>
          </w:p>
        </w:tc>
      </w:tr>
      <w:tr>
        <w:tc>
          <w:tcPr>
            <w:tcW w:type="dxa" w:w="4703"/>
            <w:shd w:val="clear" w:color="auto" w:fill="1E293B"/>
          </w:tcPr>
          <w:p>
            <w:r>
              <w:rPr>
                <w:b/>
                <w:color w:val="22C55E"/>
                <w:sz w:val="18"/>
              </w:rPr>
              <w:t>Gradient Boosting</w:t>
            </w:r>
          </w:p>
        </w:tc>
        <w:tc>
          <w:tcPr>
            <w:tcW w:type="dxa" w:w="4703"/>
          </w:tcPr>
          <w:p>
            <w:r>
              <w:rPr>
                <w:sz w:val="18"/>
              </w:rPr>
              <w:t>Técnica ML que construye modelos secuenciales donde cada modelo nuevo corrige los errores del anterior.</w:t>
            </w:r>
          </w:p>
        </w:tc>
      </w:tr>
    </w:tbl>
    <w:p/>
    <w:p>
      <w:pPr>
        <w:pStyle w:val="Heading1"/>
        <w:spacing w:before="280" w:after="120"/>
      </w:pPr>
      <w:r>
        <w:rPr>
          <w:color w:val="EF4444"/>
        </w:rPr>
        <w:t>9. Limitaciones Actuales del Modelo</w:t>
      </w:r>
    </w:p>
    <w:p>
      <w:pPr>
        <w:spacing w:after="200"/>
      </w:pPr>
      <w:r>
        <w:rPr>
          <w:b/>
          <w:sz w:val="20"/>
        </w:rPr>
        <w:t xml:space="preserve">🔴  Serie A solamente.  </w:t>
      </w:r>
      <w:r>
        <w:rPr>
          <w:color w:val="64748B"/>
          <w:sz w:val="19"/>
        </w:rPr>
        <w:t>Solo la Serie A tiene suficientes apuestas con ROI positivo confirmado. La Liga está a 6 apuestas del umbral de activación (20 apuestas con ROI &gt; 0).</w:t>
      </w:r>
    </w:p>
    <w:p>
      <w:pPr>
        <w:spacing w:after="200"/>
      </w:pPr>
      <w:r>
        <w:rPr>
          <w:b/>
          <w:sz w:val="20"/>
        </w:rPr>
        <w:t xml:space="preserve">✅  xG 2019-2024 integrado.  </w:t>
      </w:r>
      <w:r>
        <w:rPr>
          <w:color w:val="64748B"/>
          <w:sz w:val="19"/>
        </w:rPr>
        <w:t>Fix A Sprint 10: datos de Expected Goals de Understat ahora cubren 2019-2024 (10.707 partidos vs 1.752 antes). xg_temporada_home/away ya son top-5 features.</w:t>
      </w:r>
    </w:p>
    <w:p>
      <w:pPr>
        <w:spacing w:after="200"/>
      </w:pPr>
      <w:r>
        <w:rPr>
          <w:b/>
          <w:sz w:val="20"/>
        </w:rPr>
        <w:t xml:space="preserve">✅  Transfermarkt integrado.  </w:t>
      </w:r>
      <w:r>
        <w:rPr>
          <w:color w:val="64748B"/>
          <w:sz w:val="19"/>
        </w:rPr>
        <w:t>Fix B Sprint 10: valor de mercado de plantillas ahora integrado en el modelo. Cache 30 días, pre-carga única por run. Nuevas features: valor_home_mill, ratio_valor, log_ratio_valor.</w:t>
      </w:r>
    </w:p>
    <w:p>
      <w:pPr>
        <w:spacing w:after="200"/>
      </w:pPr>
      <w:r>
        <w:rPr>
          <w:b/>
          <w:sz w:val="20"/>
        </w:rPr>
        <w:t xml:space="preserve">🔴  ROI simulado ≠ ROI real.  </w:t>
      </w:r>
      <w:r>
        <w:rPr>
          <w:color w:val="64748B"/>
          <w:sz w:val="19"/>
        </w:rPr>
        <w:t>El +31.7% es backtesting histórico. El rendimiento real puede variar. Las cuotas cambian, los bookmakers se adaptan, y factores imprevisibles ocurren.</w:t>
      </w:r>
    </w:p>
    <w:p>
      <w:pPr>
        <w:spacing w:after="200"/>
      </w:pPr>
      <w:r>
        <w:rPr>
          <w:b/>
          <w:sz w:val="20"/>
        </w:rPr>
        <w:t xml:space="preserve">🟡  Sin lesiones ni sanciones en tiempo real.  </w:t>
      </w:r>
      <w:r>
        <w:rPr>
          <w:color w:val="64748B"/>
          <w:sz w:val="19"/>
        </w:rPr>
        <w:t>El modelo usa datos históricos, no noticias del día. Una baja de último minuto de un jugador clave no es capturada automáticamente.</w:t>
      </w:r>
    </w:p>
    <w:tbl>
      <w:tblPr>
        <w:tblW w:type="auto" w:w="0"/>
        <w:jc w:val="left"/>
        <w:tblLook w:firstColumn="1" w:firstRow="1" w:lastColumn="0" w:lastRow="0" w:noHBand="0" w:noVBand="1" w:val="04A0"/>
      </w:tblPr>
      <w:tblGrid>
        <w:gridCol w:w="9406"/>
      </w:tblGrid>
      <w:tr>
        <w:tc>
          <w:tcPr>
            <w:tcW w:type="dxa" w:w="9406"/>
            <w:shd w:val="clear" w:color="auto" w:fill="FEF5E6"/>
            <w:tcBorders>
              <w:left w:val="single" w:sz="18" w:space="0" w:color="F59E0B"/>
            </w:tcBorders>
          </w:tcPr>
          <w:p>
            <w:pPr>
              <w:spacing w:after="0"/>
              <w:ind w:left="170"/>
            </w:pPr>
            <w:r>
              <w:rPr>
                <w:color w:val="0F172A"/>
                <w:sz w:val="19"/>
              </w:rPr>
              <w:t>⚠️ APUESTA RESPONSABLEMENTE</w:t>
              <w:br/>
              <w:br/>
              <w:t>Este modelo es una herramienta de análisis estadístico, no una garantía de ganancias. Las apuestas deportivas conllevan riesgo de pérdida de dinero real. Nunca apuestes más de lo que puedas permitirte perder. El ROI positivo en simulación histórica no garantiza rentabilidad futura. Si las apuestas afectan negativamente tu vida, busca ayuda.</w:t>
            </w:r>
          </w:p>
        </w:tc>
      </w:tr>
    </w:tbl>
    <w:p>
      <w:pPr>
        <w:spacing w:after="80"/>
      </w:pPr>
    </w:p>
    <w:p/>
    <w:p>
      <w:pPr>
        <w:jc w:val="center"/>
      </w:pPr>
      <w:r>
        <w:rPr>
          <w:i/>
          <w:color w:val="64748B"/>
          <w:sz w:val="16"/>
        </w:rPr>
        <w:t>Agente de Apuestas Deportivas · Sprint 10 · 24/03/2026</w:t>
        <w:br/>
        <w:t>Modelo: XGBoost · Features: Pi-Rating + xG (2019-2024) + Transfermarkt + Forma reciente</w:t>
        <w:br/>
        <w:t>Datos: football-data.co.uk + Understat + Transfermarkt · Predicción: predictor_tiempo_real.py</w:t>
        <w:br/>
        <w:t>Desarrollado con Claude Code (Anthropic) · Sócrates Cabral</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