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Recovery Test Heading</w:t>
      </w:r>
    </w:p>
    <w:p>
      <w:pPr>
        <w:pStyle w:val="BodyText"/>
        <w:bidi w:val="0"/>
        <w:jc w:val="left"/>
        <w:rPr/>
      </w:pPr>
      <w:r>
        <w:rPr/>
        <w:t>The quick brown fox jumps over the lazy dog. Ünïcödé — “smart quotes” and Ελληνικά and Кириллица.</w:t>
      </w:r>
    </w:p>
    <w:p>
      <w:pPr>
        <w:pStyle w:val="BodyText"/>
        <w:bidi w:val="0"/>
        <w:jc w:val="left"/>
        <w:rPr/>
      </w:pPr>
      <w:r>
        <w:rPr/>
        <w:t xml:space="preserve">Second paragraph with </w:t>
      </w:r>
      <w:r>
        <w:rPr>
          <w:b/>
        </w:rPr>
        <w:t>bold</w:t>
      </w:r>
      <w:r>
        <w:rPr/>
        <w:t xml:space="preserve"> and </w:t>
      </w:r>
      <w:r>
        <w:rPr>
          <w:i/>
        </w:rPr>
        <w:t>italic</w:t>
      </w:r>
      <w:r>
        <w:rPr/>
        <w:t xml:space="preserve"> text for the recovery engine.</w:t>
      </w:r>
    </w:p>
    <w:tbl>
      <w:tblPr>
        <w:tblW w:w="153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1"/>
        <w:gridCol w:w="661"/>
      </w:tblGrid>
      <w:tr>
        <w:trPr/>
        <w:tc>
          <w:tcPr>
            <w:tcW w:w="8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Alpha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Beta</w:t>
            </w:r>
          </w:p>
        </w:tc>
      </w:tr>
      <w:tr>
        <w:trPr/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Gamma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Delta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Final paragraph after the table. Genealogy note: born 1843 in Wythe County, Virginia.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