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>Sales grew in every region.</w:t>
      </w:r>
    </w:p>
    <w:tbl>
      <w:tblPr>
        <w:tblW w:w="2356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1"/>
        <w:gridCol w:w="634"/>
        <w:gridCol w:w="811"/>
      </w:tblGrid>
      <w:tr>
        <w:trPr/>
        <w:tc>
          <w:tcPr>
            <w:tcW w:w="9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Region</w:t>
            </w:r>
          </w:p>
        </w:tc>
        <w:tc>
          <w:tcPr>
            <w:tcW w:w="6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Q1</w:t>
            </w:r>
          </w:p>
        </w:tc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Q2</w:t>
            </w:r>
          </w:p>
        </w:tc>
      </w:tr>
      <w:tr>
        <w:trPr/>
        <w:tc>
          <w:tcPr>
            <w:tcW w:w="9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1200</w:t>
            </w:r>
          </w:p>
        </w:tc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1350.5</w:t>
            </w:r>
          </w:p>
        </w:tc>
      </w:tr>
      <w:tr>
        <w:trPr/>
        <w:tc>
          <w:tcPr>
            <w:tcW w:w="1545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 and East</w:t>
            </w:r>
          </w:p>
        </w:tc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</w:t>
            </w:r>
          </w:p>
        </w:tc>
      </w:tr>
    </w:tbl>
    <w:p>
      <w:pPr>
        <w:pStyle w:val="BodyText"/>
        <w:bidi w:val="0"/>
        <w:jc w:val="left"/>
        <w:rPr/>
      </w:pPr>
      <w:r>
        <w:rPr/>
        <w:t>Second table follows.</w:t>
      </w:r>
    </w:p>
    <w:tbl>
      <w:tblPr>
        <w:tblW w:w="49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271"/>
      </w:tblGrid>
      <w:tr>
        <w:trPr/>
        <w:tc>
          <w:tcPr>
            <w:tcW w:w="2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2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2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2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The end.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