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D95B" w14:textId="77777777" w:rsidR="00C83B26" w:rsidRPr="00C83B26" w:rsidRDefault="00C83B26" w:rsidP="00C83B26">
      <w:r w:rsidRPr="00C83B26">
        <w:t xml:space="preserve">Perfecto: con lo que ya tenemos en la nota, </w:t>
      </w:r>
      <w:r w:rsidRPr="00C83B26">
        <w:rPr>
          <w:i/>
          <w:iCs/>
        </w:rPr>
        <w:t>sí</w:t>
      </w:r>
      <w:r w:rsidRPr="00C83B26">
        <w:t xml:space="preserve"> sale un capítulo muy sólido (sin meter todavía “la parte didáctica”), y además tu segunda idea de “equivalentes funcionales” puede ser </w:t>
      </w:r>
      <w:r w:rsidRPr="00C83B26">
        <w:rPr>
          <w:b/>
          <w:bCs/>
        </w:rPr>
        <w:t>otro capítulo</w:t>
      </w:r>
      <w:r w:rsidRPr="00C83B26">
        <w:t xml:space="preserve"> más macro-sociológico. Te propongo ambos diseños.</w:t>
      </w:r>
    </w:p>
    <w:p w14:paraId="08241DAD" w14:textId="77777777" w:rsidR="00C83B26" w:rsidRPr="00C83B26" w:rsidRDefault="00AE23EC" w:rsidP="00C83B26">
      <w:r>
        <w:rPr>
          <w:noProof/>
        </w:rPr>
        <w:pict w14:anchorId="6BEB7104">
          <v:rect id="_x0000_i1027" alt="" style="width:468pt;height:.05pt;mso-width-percent:0;mso-height-percent:0;mso-width-percent:0;mso-height-percent:0" o:hralign="center" o:hrstd="t" o:hr="t" fillcolor="#a0a0a0" stroked="f"/>
        </w:pict>
      </w:r>
    </w:p>
    <w:p w14:paraId="6C93305D" w14:textId="77777777" w:rsidR="00C83B26" w:rsidRPr="00C83B26" w:rsidRDefault="00C83B26" w:rsidP="00C83B26">
      <w:pPr>
        <w:rPr>
          <w:b/>
          <w:bCs/>
        </w:rPr>
      </w:pPr>
      <w:r w:rsidRPr="00C83B26">
        <w:rPr>
          <w:b/>
          <w:bCs/>
        </w:rPr>
        <w:t>A) Capítulo 1 (solo con lo que ya tenemos): Dadá → valor de exposición → perfil</w:t>
      </w:r>
    </w:p>
    <w:p w14:paraId="65B35AAA" w14:textId="77777777" w:rsidR="00C83B26" w:rsidRPr="00C83B26" w:rsidRDefault="00C83B26" w:rsidP="00C83B26"/>
    <w:p w14:paraId="2CAA27C4" w14:textId="77777777" w:rsidR="00C83B26" w:rsidRPr="00C83B26" w:rsidRDefault="00C83B26" w:rsidP="00C83B26">
      <w:pPr>
        <w:rPr>
          <w:b/>
          <w:bCs/>
        </w:rPr>
      </w:pPr>
      <w:r w:rsidRPr="00C83B26">
        <w:rPr>
          <w:b/>
          <w:bCs/>
        </w:rPr>
        <w:t>Núcleo (lo que ya está, sin inventar de más)</w:t>
      </w:r>
    </w:p>
    <w:p w14:paraId="16C45549" w14:textId="77777777" w:rsidR="00C83B26" w:rsidRPr="00C83B26" w:rsidRDefault="00C83B26" w:rsidP="00C83B26"/>
    <w:p w14:paraId="05088526" w14:textId="77777777" w:rsidR="00C83B26" w:rsidRPr="00C83B26" w:rsidRDefault="00C83B26" w:rsidP="00C83B26">
      <w:r w:rsidRPr="00C83B26">
        <w:t xml:space="preserve">Tu nota ya trae una tesis muy clara: la cultura influencer amplificada por IA funciona como </w:t>
      </w:r>
      <w:r w:rsidRPr="00C83B26">
        <w:rPr>
          <w:b/>
          <w:bCs/>
        </w:rPr>
        <w:t>dispositivo de conversión</w:t>
      </w:r>
      <w:r w:rsidRPr="00C83B26">
        <w:t xml:space="preserve"> que transforma capital simbólico específico en capital de visibilidad, empujando hacia banalización; y ahí aparece tu frase-faro sobre Dadá y el valor de exposición.    </w:t>
      </w:r>
    </w:p>
    <w:p w14:paraId="32E8BC0D" w14:textId="77777777" w:rsidR="00C83B26" w:rsidRPr="00C83B26" w:rsidRDefault="00C83B26" w:rsidP="00C83B26"/>
    <w:p w14:paraId="25830FDF" w14:textId="77777777" w:rsidR="00C83B26" w:rsidRPr="00C83B26" w:rsidRDefault="00C83B26" w:rsidP="00C83B26">
      <w:pPr>
        <w:rPr>
          <w:b/>
          <w:bCs/>
        </w:rPr>
      </w:pPr>
      <w:r w:rsidRPr="00C83B26">
        <w:rPr>
          <w:b/>
          <w:bCs/>
        </w:rPr>
        <w:t>Giro conceptual que propones (muy compatible): “profilability / profilicity”</w:t>
      </w:r>
    </w:p>
    <w:p w14:paraId="3004ACFD" w14:textId="77777777" w:rsidR="00C83B26" w:rsidRPr="00C83B26" w:rsidRDefault="00C83B26" w:rsidP="00C83B26"/>
    <w:p w14:paraId="3E6D2A9F" w14:textId="77777777" w:rsidR="00C83B26" w:rsidRPr="00C83B26" w:rsidRDefault="00C83B26" w:rsidP="00C83B26">
      <w:r w:rsidRPr="00C83B26">
        <w:t xml:space="preserve">Moeller lo formula como paso de autenticidad a </w:t>
      </w:r>
      <w:r w:rsidRPr="00C83B26">
        <w:rPr>
          <w:b/>
          <w:bCs/>
        </w:rPr>
        <w:t>“profilicity”</w:t>
      </w:r>
      <w:r w:rsidRPr="00C83B26">
        <w:t xml:space="preserve">: identidad como curaduría, despliegue y validación de perfiles.  </w:t>
      </w:r>
    </w:p>
    <w:p w14:paraId="7D08DEE3" w14:textId="77777777" w:rsidR="00C83B26" w:rsidRPr="00C83B26" w:rsidRDefault="00C83B26" w:rsidP="00C83B26">
      <w:r w:rsidRPr="00C83B26">
        <w:t xml:space="preserve">(Ojo: en Moeller suele aparecer como </w:t>
      </w:r>
      <w:r w:rsidRPr="00C83B26">
        <w:rPr>
          <w:i/>
          <w:iCs/>
        </w:rPr>
        <w:t>profilicity</w:t>
      </w:r>
      <w:r w:rsidRPr="00C83B26">
        <w:t xml:space="preserve">; tu “profilability” puede funcionar como el </w:t>
      </w:r>
      <w:r w:rsidRPr="00C83B26">
        <w:rPr>
          <w:b/>
          <w:bCs/>
        </w:rPr>
        <w:t>lado operativo</w:t>
      </w:r>
      <w:r w:rsidRPr="00C83B26">
        <w:t>: “ser perfilable / gobernable por perfil”.)</w:t>
      </w:r>
    </w:p>
    <w:p w14:paraId="585BB575" w14:textId="77777777" w:rsidR="00C83B26" w:rsidRPr="00C83B26" w:rsidRDefault="00C83B26" w:rsidP="00C83B26"/>
    <w:p w14:paraId="514D213F" w14:textId="77777777" w:rsidR="00C83B26" w:rsidRPr="00C83B26" w:rsidRDefault="00C83B26" w:rsidP="00C83B26">
      <w:pPr>
        <w:rPr>
          <w:b/>
          <w:bCs/>
        </w:rPr>
      </w:pPr>
      <w:r w:rsidRPr="00C83B26">
        <w:rPr>
          <w:b/>
          <w:bCs/>
        </w:rPr>
        <w:t>Puente con Luhmann + Goffman (tu recordatorio clave)</w:t>
      </w:r>
    </w:p>
    <w:p w14:paraId="17013C44" w14:textId="77777777" w:rsidR="00C83B26" w:rsidRPr="00C83B26" w:rsidRDefault="00C83B26" w:rsidP="00C83B26"/>
    <w:p w14:paraId="2571B008" w14:textId="77777777" w:rsidR="00C83B26" w:rsidRPr="00C83B26" w:rsidRDefault="00C83B26" w:rsidP="00C83B26">
      <w:r w:rsidRPr="00C83B26">
        <w:t xml:space="preserve">Luhmann literalmente usa a Goffman: “las instituciones (…) solo proveen el </w:t>
      </w:r>
      <w:r w:rsidRPr="00C83B26">
        <w:rPr>
          <w:i/>
          <w:iCs/>
        </w:rPr>
        <w:t>frame</w:t>
      </w:r>
      <w:r w:rsidRPr="00C83B26">
        <w:t xml:space="preserve"> para expectativas condensadas”.  </w:t>
      </w:r>
    </w:p>
    <w:p w14:paraId="157AE6A5" w14:textId="77777777" w:rsidR="00C83B26" w:rsidRPr="00C83B26" w:rsidRDefault="00C83B26" w:rsidP="00C83B26">
      <w:r w:rsidRPr="00C83B26">
        <w:t xml:space="preserve">Eso te deja armar una línea elegante: </w:t>
      </w:r>
      <w:r w:rsidRPr="00C83B26">
        <w:rPr>
          <w:b/>
          <w:bCs/>
        </w:rPr>
        <w:t>instituciones-marco → obra/gesto → circulación como contenido → perfil</w:t>
      </w:r>
      <w:r w:rsidRPr="00C83B26">
        <w:t>.</w:t>
      </w:r>
    </w:p>
    <w:p w14:paraId="26EF0336" w14:textId="77777777" w:rsidR="00C83B26" w:rsidRPr="00C83B26" w:rsidRDefault="00C83B26" w:rsidP="00C83B26"/>
    <w:p w14:paraId="3A5AFC18" w14:textId="77777777" w:rsidR="00C83B26" w:rsidRPr="00C83B26" w:rsidRDefault="00C83B26" w:rsidP="00C83B26">
      <w:pPr>
        <w:rPr>
          <w:b/>
          <w:bCs/>
        </w:rPr>
      </w:pPr>
      <w:r w:rsidRPr="00C83B26">
        <w:rPr>
          <w:b/>
          <w:bCs/>
        </w:rPr>
        <w:t>Título (opciones)</w:t>
      </w:r>
    </w:p>
    <w:p w14:paraId="4F85F784" w14:textId="77777777" w:rsidR="00C83B26" w:rsidRPr="00C83B26" w:rsidRDefault="00C83B26" w:rsidP="00C83B26">
      <w:pPr>
        <w:numPr>
          <w:ilvl w:val="0"/>
          <w:numId w:val="1"/>
        </w:numPr>
      </w:pPr>
      <w:r w:rsidRPr="00C83B26">
        <w:rPr>
          <w:b/>
          <w:bCs/>
        </w:rPr>
        <w:lastRenderedPageBreak/>
        <w:t>El triunfo de Dadá como cancelación por exposición: IA, cultura influencer y profilicidad</w:t>
      </w:r>
    </w:p>
    <w:p w14:paraId="617551C7" w14:textId="77777777" w:rsidR="00C83B26" w:rsidRPr="00C83B26" w:rsidRDefault="00C83B26" w:rsidP="00C83B26">
      <w:pPr>
        <w:numPr>
          <w:ilvl w:val="0"/>
          <w:numId w:val="1"/>
        </w:numPr>
      </w:pPr>
      <w:r w:rsidRPr="00C83B26">
        <w:rPr>
          <w:b/>
          <w:bCs/>
        </w:rPr>
        <w:t>Del gesto al formato: cuando la vanguardia se vuelve “skin”</w:t>
      </w:r>
      <w:r w:rsidRPr="00C83B26">
        <w:t xml:space="preserve">  </w:t>
      </w:r>
    </w:p>
    <w:p w14:paraId="6CCF1C6D" w14:textId="77777777" w:rsidR="00C83B26" w:rsidRPr="00C83B26" w:rsidRDefault="00C83B26" w:rsidP="00C83B26">
      <w:pPr>
        <w:numPr>
          <w:ilvl w:val="0"/>
          <w:numId w:val="1"/>
        </w:numPr>
      </w:pPr>
      <w:r w:rsidRPr="00C83B26">
        <w:rPr>
          <w:b/>
          <w:bCs/>
        </w:rPr>
        <w:t>Marcos, métricas y perfiles: estética de la conversión en la educación económico-administrativa</w:t>
      </w:r>
    </w:p>
    <w:p w14:paraId="60827955" w14:textId="77777777" w:rsidR="00C83B26" w:rsidRPr="00C83B26" w:rsidRDefault="00C83B26" w:rsidP="00C83B26"/>
    <w:p w14:paraId="087595C3" w14:textId="77777777" w:rsidR="00C83B26" w:rsidRPr="00C83B26" w:rsidRDefault="00C83B26" w:rsidP="00C83B26">
      <w:pPr>
        <w:rPr>
          <w:b/>
          <w:bCs/>
        </w:rPr>
      </w:pPr>
      <w:r w:rsidRPr="00C83B26">
        <w:rPr>
          <w:b/>
          <w:bCs/>
        </w:rPr>
        <w:t>Resumen tentativo (120–160 palabras)</w:t>
      </w:r>
    </w:p>
    <w:p w14:paraId="21FF1230" w14:textId="77777777" w:rsidR="00C83B26" w:rsidRPr="00C83B26" w:rsidRDefault="00C83B26" w:rsidP="00C83B26"/>
    <w:p w14:paraId="516985B1" w14:textId="77777777" w:rsidR="00C83B26" w:rsidRPr="00C83B26" w:rsidRDefault="00C83B26" w:rsidP="00C83B26">
      <w:r w:rsidRPr="00C83B26">
        <w:t>En la cultura influencer contemporánea —acelerada por IA— prácticas antes sostenidas por capital simbólico específico se traducen a formatos y métricas de visibilidad.  En ese tránsito, el gesto histórico de Dadá “gana como valor de exposición” pero pierde su negatividad crítica efectiva, convirtiéndose en estilo replicable.  El capítulo propone leer esta neutralización como una dinámica de encuadre: siguiendo a Luhmann (en diálogo con Goffman), las instituciones y plataformas proveen marcos receptivos que predisponen la percepción; sin embargo, la lógica algorítmica reorienta dichos marcos hacia la perfilación y la validación pública.  Con Moeller, se interpreta el pasaje desde autenticidad a profilicidad: identidad como curaduría de perfiles.  Se concluye con implicaciones para la formación en áreas económico-administrativas: gestión, empleabilidad y reputación se reconfiguran bajo regímenes estéticos de exposición y perfil.</w:t>
      </w:r>
    </w:p>
    <w:p w14:paraId="583AB15D" w14:textId="77777777" w:rsidR="00C83B26" w:rsidRPr="00C83B26" w:rsidRDefault="00C83B26" w:rsidP="00C83B26"/>
    <w:p w14:paraId="5EB3235C" w14:textId="77777777" w:rsidR="00C83B26" w:rsidRPr="00C83B26" w:rsidRDefault="00C83B26" w:rsidP="00C83B26">
      <w:pPr>
        <w:rPr>
          <w:b/>
          <w:bCs/>
        </w:rPr>
      </w:pPr>
      <w:r w:rsidRPr="00C83B26">
        <w:rPr>
          <w:b/>
          <w:bCs/>
        </w:rPr>
        <w:t>Esqueleto de sección (7 apartados cortos)</w:t>
      </w:r>
    </w:p>
    <w:p w14:paraId="196073D0" w14:textId="77777777" w:rsidR="00C83B26" w:rsidRPr="00C83B26" w:rsidRDefault="00C83B26" w:rsidP="00C83B26">
      <w:pPr>
        <w:numPr>
          <w:ilvl w:val="0"/>
          <w:numId w:val="2"/>
        </w:numPr>
      </w:pPr>
      <w:r w:rsidRPr="00C83B26">
        <w:rPr>
          <w:b/>
          <w:bCs/>
        </w:rPr>
        <w:t>Frase-faro + problema</w:t>
      </w:r>
      <w:r w:rsidRPr="00C83B26">
        <w:t xml:space="preserve">: “triunfo/cancelación” de Dadá  </w:t>
      </w:r>
    </w:p>
    <w:p w14:paraId="2447C1EA" w14:textId="77777777" w:rsidR="00C83B26" w:rsidRPr="00C83B26" w:rsidRDefault="00C83B26" w:rsidP="00C83B26">
      <w:pPr>
        <w:numPr>
          <w:ilvl w:val="0"/>
          <w:numId w:val="2"/>
        </w:numPr>
      </w:pPr>
      <w:r w:rsidRPr="00C83B26">
        <w:rPr>
          <w:b/>
          <w:bCs/>
        </w:rPr>
        <w:t>Traducción a contenido</w:t>
      </w:r>
      <w:r w:rsidRPr="00C83B26">
        <w:t xml:space="preserve"> (formatos tipo hilo/tutorial/top 5…)  </w:t>
      </w:r>
    </w:p>
    <w:p w14:paraId="6FE6EF31" w14:textId="77777777" w:rsidR="00C83B26" w:rsidRPr="00C83B26" w:rsidRDefault="00C83B26" w:rsidP="00C83B26">
      <w:pPr>
        <w:numPr>
          <w:ilvl w:val="0"/>
          <w:numId w:val="2"/>
        </w:numPr>
      </w:pPr>
      <w:r w:rsidRPr="00C83B26">
        <w:rPr>
          <w:b/>
          <w:bCs/>
        </w:rPr>
        <w:t>IA como industrialización del remix</w:t>
      </w:r>
      <w:r w:rsidRPr="00C83B26">
        <w:t xml:space="preserve"> (skin intercambiable)  </w:t>
      </w:r>
    </w:p>
    <w:p w14:paraId="09732C0E" w14:textId="77777777" w:rsidR="00C83B26" w:rsidRPr="00C83B26" w:rsidRDefault="00C83B26" w:rsidP="00C83B26">
      <w:pPr>
        <w:numPr>
          <w:ilvl w:val="0"/>
          <w:numId w:val="2"/>
        </w:numPr>
      </w:pPr>
      <w:r w:rsidRPr="00C83B26">
        <w:rPr>
          <w:b/>
          <w:bCs/>
        </w:rPr>
        <w:t>Gesto vs exposición</w:t>
      </w:r>
      <w:r w:rsidRPr="00C83B26">
        <w:t xml:space="preserve"> (desacople de conflicto y forma)  </w:t>
      </w:r>
    </w:p>
    <w:p w14:paraId="226DD54D" w14:textId="77777777" w:rsidR="00C83B26" w:rsidRPr="00C83B26" w:rsidRDefault="00C83B26" w:rsidP="00C83B26">
      <w:pPr>
        <w:numPr>
          <w:ilvl w:val="0"/>
          <w:numId w:val="2"/>
        </w:numPr>
      </w:pPr>
      <w:r w:rsidRPr="00C83B26">
        <w:rPr>
          <w:b/>
          <w:bCs/>
        </w:rPr>
        <w:t>Frame / instituciones / receptividad</w:t>
      </w:r>
      <w:r w:rsidRPr="00C83B26">
        <w:t xml:space="preserve"> (Luhmann↔Goffman)  </w:t>
      </w:r>
    </w:p>
    <w:p w14:paraId="6A9CB7FF" w14:textId="77777777" w:rsidR="00C83B26" w:rsidRPr="00C83B26" w:rsidRDefault="00C83B26" w:rsidP="00C83B26">
      <w:pPr>
        <w:numPr>
          <w:ilvl w:val="0"/>
          <w:numId w:val="2"/>
        </w:numPr>
      </w:pPr>
      <w:r w:rsidRPr="00C83B26">
        <w:rPr>
          <w:b/>
          <w:bCs/>
        </w:rPr>
        <w:t>De la exposición al perfil</w:t>
      </w:r>
      <w:r w:rsidRPr="00C83B26">
        <w:t xml:space="preserve"> (profilicity / profilability)  </w:t>
      </w:r>
    </w:p>
    <w:p w14:paraId="194BA75A" w14:textId="77777777" w:rsidR="00C83B26" w:rsidRPr="00C83B26" w:rsidRDefault="00C83B26" w:rsidP="00C83B26">
      <w:pPr>
        <w:numPr>
          <w:ilvl w:val="0"/>
          <w:numId w:val="2"/>
        </w:numPr>
      </w:pPr>
      <w:r w:rsidRPr="00C83B26">
        <w:rPr>
          <w:b/>
          <w:bCs/>
        </w:rPr>
        <w:t>Cierre hacia administración</w:t>
      </w:r>
      <w:r w:rsidRPr="00C83B26">
        <w:t>: visibilidad como activo, gestión de reputación, “perfil” como unidad de evaluación (sin hacerlo “didáctico”; solo implicación analítica).</w:t>
      </w:r>
    </w:p>
    <w:p w14:paraId="065FE8E3" w14:textId="77777777" w:rsidR="00C83B26" w:rsidRPr="00C83B26" w:rsidRDefault="00AE23EC" w:rsidP="00C83B26">
      <w:r>
        <w:rPr>
          <w:noProof/>
        </w:rPr>
        <w:lastRenderedPageBreak/>
        <w:pict w14:anchorId="03E0C474">
          <v:rect id="_x0000_i1026" alt="" style="width:468pt;height:.05pt;mso-width-percent:0;mso-height-percent:0;mso-width-percent:0;mso-height-percent:0" o:hralign="center" o:hrstd="t" o:hr="t" fillcolor="#a0a0a0" stroked="f"/>
        </w:pict>
      </w:r>
    </w:p>
    <w:p w14:paraId="287600FE" w14:textId="77777777" w:rsidR="00C83B26" w:rsidRPr="00C83B26" w:rsidRDefault="00C83B26" w:rsidP="00C83B26">
      <w:pPr>
        <w:rPr>
          <w:b/>
          <w:bCs/>
        </w:rPr>
      </w:pPr>
      <w:r w:rsidRPr="00C83B26">
        <w:rPr>
          <w:b/>
          <w:bCs/>
        </w:rPr>
        <w:t>B) Capítulo 2 (distinto, macro): Equivalentes funcionales entre Arte, Educación y Administración</w:t>
      </w:r>
    </w:p>
    <w:p w14:paraId="5210D069" w14:textId="77777777" w:rsidR="00C83B26" w:rsidRPr="00C83B26" w:rsidRDefault="00C83B26" w:rsidP="00C83B26"/>
    <w:p w14:paraId="6A183890" w14:textId="77777777" w:rsidR="00C83B26" w:rsidRPr="00C83B26" w:rsidRDefault="00C83B26" w:rsidP="00C83B26">
      <w:r w:rsidRPr="00C83B26">
        <w:t xml:space="preserve">Aquí la jugada es: </w:t>
      </w:r>
      <w:r w:rsidRPr="00C83B26">
        <w:rPr>
          <w:b/>
          <w:bCs/>
        </w:rPr>
        <w:t>no comparar “contenidos”</w:t>
      </w:r>
      <w:r w:rsidRPr="00C83B26">
        <w:t xml:space="preserve">, sino </w:t>
      </w:r>
      <w:r w:rsidRPr="00C83B26">
        <w:rPr>
          <w:b/>
          <w:bCs/>
        </w:rPr>
        <w:t>problemas</w:t>
      </w:r>
      <w:r w:rsidRPr="00C83B26">
        <w:t xml:space="preserve"> que cada subsistema/ámbito resuelve con soluciones distintas (equivalentes funcionales).</w:t>
      </w:r>
    </w:p>
    <w:p w14:paraId="3E3EE625" w14:textId="77777777" w:rsidR="00C83B26" w:rsidRPr="00C83B26" w:rsidRDefault="00C83B26" w:rsidP="00C83B26"/>
    <w:p w14:paraId="0E10009F" w14:textId="77777777" w:rsidR="00C83B26" w:rsidRPr="00C83B26" w:rsidRDefault="00C83B26" w:rsidP="00C83B26">
      <w:pPr>
        <w:rPr>
          <w:b/>
          <w:bCs/>
        </w:rPr>
      </w:pPr>
      <w:r w:rsidRPr="00C83B26">
        <w:rPr>
          <w:b/>
          <w:bCs/>
        </w:rPr>
        <w:t>Problema guía (uno, bien escogido)</w:t>
      </w:r>
    </w:p>
    <w:p w14:paraId="16F48BD0" w14:textId="77777777" w:rsidR="00C83B26" w:rsidRPr="00C83B26" w:rsidRDefault="00C83B26" w:rsidP="00C83B26"/>
    <w:p w14:paraId="3EA458F2" w14:textId="77777777" w:rsidR="00C83B26" w:rsidRPr="00C83B26" w:rsidRDefault="00C83B26" w:rsidP="00C83B26">
      <w:r w:rsidRPr="00C83B26">
        <w:rPr>
          <w:b/>
          <w:bCs/>
        </w:rPr>
        <w:t>¿Cómo se produce orientación bajo complejidad y riesgo?</w:t>
      </w:r>
    </w:p>
    <w:p w14:paraId="41F50019" w14:textId="77777777" w:rsidR="00C83B26" w:rsidRPr="00C83B26" w:rsidRDefault="00C83B26" w:rsidP="00C83B26">
      <w:r w:rsidRPr="00C83B26">
        <w:t xml:space="preserve">Y luego: en arte, educación y administración aparecen </w:t>
      </w:r>
      <w:r w:rsidRPr="00C83B26">
        <w:rPr>
          <w:i/>
          <w:iCs/>
        </w:rPr>
        <w:t>soluciones distintas</w:t>
      </w:r>
      <w:r w:rsidRPr="00C83B26">
        <w:t xml:space="preserve"> para: atención, selección, legitimidad, innovación, memoria, crítica, etc.</w:t>
      </w:r>
    </w:p>
    <w:p w14:paraId="6F11A428" w14:textId="77777777" w:rsidR="00C83B26" w:rsidRPr="00C83B26" w:rsidRDefault="00C83B26" w:rsidP="00C83B26"/>
    <w:p w14:paraId="12D39403" w14:textId="77777777" w:rsidR="00C83B26" w:rsidRPr="00C83B26" w:rsidRDefault="00C83B26" w:rsidP="00C83B26">
      <w:pPr>
        <w:rPr>
          <w:b/>
          <w:bCs/>
        </w:rPr>
      </w:pPr>
      <w:r w:rsidRPr="00C83B26">
        <w:rPr>
          <w:b/>
          <w:bCs/>
        </w:rPr>
        <w:t>Equivalentes funcionales sugeridos (para trabajar con Luhmann/Goffman/STS/Deleuze)</w:t>
      </w:r>
    </w:p>
    <w:p w14:paraId="59E1E5C5" w14:textId="77777777" w:rsidR="00C83B26" w:rsidRPr="00C83B26" w:rsidRDefault="00C83B26" w:rsidP="00C83B26">
      <w:pPr>
        <w:numPr>
          <w:ilvl w:val="0"/>
          <w:numId w:val="3"/>
        </w:numPr>
      </w:pPr>
      <w:r w:rsidRPr="00C83B26">
        <w:rPr>
          <w:b/>
          <w:bCs/>
        </w:rPr>
        <w:t>Selección / decisión</w:t>
      </w:r>
    </w:p>
    <w:p w14:paraId="4A3896A0" w14:textId="77777777" w:rsidR="00C83B26" w:rsidRPr="00C83B26" w:rsidRDefault="00C83B26" w:rsidP="00C83B26">
      <w:pPr>
        <w:numPr>
          <w:ilvl w:val="1"/>
          <w:numId w:val="3"/>
        </w:numPr>
      </w:pPr>
      <w:r w:rsidRPr="00C83B26">
        <w:t>Arte: selección de forma (qué “cuenta” como obra).</w:t>
      </w:r>
    </w:p>
    <w:p w14:paraId="77F74CB7" w14:textId="77777777" w:rsidR="00C83B26" w:rsidRPr="00C83B26" w:rsidRDefault="00C83B26" w:rsidP="00C83B26">
      <w:pPr>
        <w:numPr>
          <w:ilvl w:val="1"/>
          <w:numId w:val="3"/>
        </w:numPr>
      </w:pPr>
      <w:r w:rsidRPr="00C83B26">
        <w:t>Educación: selección de currículo/evaluación.</w:t>
      </w:r>
    </w:p>
    <w:p w14:paraId="65470B74" w14:textId="77777777" w:rsidR="00C83B26" w:rsidRPr="00C83B26" w:rsidRDefault="00C83B26" w:rsidP="00C83B26">
      <w:pPr>
        <w:numPr>
          <w:ilvl w:val="1"/>
          <w:numId w:val="3"/>
        </w:numPr>
      </w:pPr>
      <w:r w:rsidRPr="00C83B26">
        <w:t>Administración: selección estratégica/KPI.</w:t>
      </w:r>
    </w:p>
    <w:p w14:paraId="718F4E75" w14:textId="77777777" w:rsidR="00C83B26" w:rsidRPr="00C83B26" w:rsidRDefault="00C83B26" w:rsidP="00C83B26">
      <w:pPr>
        <w:numPr>
          <w:ilvl w:val="0"/>
          <w:numId w:val="3"/>
        </w:numPr>
      </w:pPr>
      <w:r w:rsidRPr="00C83B26">
        <w:rPr>
          <w:b/>
          <w:bCs/>
        </w:rPr>
        <w:t>Reducción de incertidumbre</w:t>
      </w:r>
    </w:p>
    <w:p w14:paraId="21C1DF3C" w14:textId="77777777" w:rsidR="00C83B26" w:rsidRPr="00C83B26" w:rsidRDefault="00C83B26" w:rsidP="00C83B26">
      <w:pPr>
        <w:numPr>
          <w:ilvl w:val="1"/>
          <w:numId w:val="3"/>
        </w:numPr>
      </w:pPr>
      <w:r w:rsidRPr="00C83B26">
        <w:t xml:space="preserve">Arte: marco institucional + obra como sorpresa redundante (Luhmann).  </w:t>
      </w:r>
    </w:p>
    <w:p w14:paraId="259DB686" w14:textId="77777777" w:rsidR="00C83B26" w:rsidRPr="00C83B26" w:rsidRDefault="00C83B26" w:rsidP="00C83B26">
      <w:pPr>
        <w:numPr>
          <w:ilvl w:val="1"/>
          <w:numId w:val="3"/>
        </w:numPr>
      </w:pPr>
      <w:r w:rsidRPr="00C83B26">
        <w:t>Educación: marcos de aprendizaje (tareas, criterios).</w:t>
      </w:r>
    </w:p>
    <w:p w14:paraId="2E6FEF39" w14:textId="77777777" w:rsidR="00C83B26" w:rsidRPr="00C83B26" w:rsidRDefault="00C83B26" w:rsidP="00C83B26">
      <w:pPr>
        <w:numPr>
          <w:ilvl w:val="1"/>
          <w:numId w:val="3"/>
        </w:numPr>
      </w:pPr>
      <w:r w:rsidRPr="00C83B26">
        <w:t>Administración: procedimientos, presupuestos, métricas.</w:t>
      </w:r>
    </w:p>
    <w:p w14:paraId="17392E8F" w14:textId="77777777" w:rsidR="00C83B26" w:rsidRPr="00C83B26" w:rsidRDefault="00C83B26" w:rsidP="00C83B26">
      <w:pPr>
        <w:numPr>
          <w:ilvl w:val="0"/>
          <w:numId w:val="3"/>
        </w:numPr>
      </w:pPr>
      <w:r w:rsidRPr="00C83B26">
        <w:rPr>
          <w:b/>
          <w:bCs/>
        </w:rPr>
        <w:t>Producción de atención</w:t>
      </w:r>
    </w:p>
    <w:p w14:paraId="07BBD70E" w14:textId="77777777" w:rsidR="00C83B26" w:rsidRPr="00C83B26" w:rsidRDefault="00C83B26" w:rsidP="00C83B26">
      <w:pPr>
        <w:numPr>
          <w:ilvl w:val="1"/>
          <w:numId w:val="3"/>
        </w:numPr>
      </w:pPr>
      <w:r w:rsidRPr="00C83B26">
        <w:t>Arte: “diferencia que atrae” (extrañamiento).</w:t>
      </w:r>
    </w:p>
    <w:p w14:paraId="4C35E2EA" w14:textId="77777777" w:rsidR="00C83B26" w:rsidRPr="00C83B26" w:rsidRDefault="00C83B26" w:rsidP="00C83B26">
      <w:pPr>
        <w:numPr>
          <w:ilvl w:val="1"/>
          <w:numId w:val="3"/>
        </w:numPr>
      </w:pPr>
      <w:r w:rsidRPr="00C83B26">
        <w:t>Educación: captación didáctica / relevancia.</w:t>
      </w:r>
    </w:p>
    <w:p w14:paraId="4A4F1901" w14:textId="77777777" w:rsidR="00C83B26" w:rsidRPr="00C83B26" w:rsidRDefault="00C83B26" w:rsidP="00C83B26">
      <w:pPr>
        <w:numPr>
          <w:ilvl w:val="1"/>
          <w:numId w:val="3"/>
        </w:numPr>
      </w:pPr>
      <w:r w:rsidRPr="00C83B26">
        <w:t>Administración: marketing, branding, agenda.</w:t>
      </w:r>
    </w:p>
    <w:p w14:paraId="577F07B7" w14:textId="77777777" w:rsidR="00C83B26" w:rsidRPr="00C83B26" w:rsidRDefault="00C83B26" w:rsidP="00C83B26">
      <w:pPr>
        <w:numPr>
          <w:ilvl w:val="0"/>
          <w:numId w:val="3"/>
        </w:numPr>
      </w:pPr>
      <w:r w:rsidRPr="00C83B26">
        <w:rPr>
          <w:b/>
          <w:bCs/>
        </w:rPr>
        <w:lastRenderedPageBreak/>
        <w:t>Legitimidad / validación</w:t>
      </w:r>
    </w:p>
    <w:p w14:paraId="3F57D4D7" w14:textId="77777777" w:rsidR="00C83B26" w:rsidRPr="00C83B26" w:rsidRDefault="00C83B26" w:rsidP="00C83B26">
      <w:pPr>
        <w:numPr>
          <w:ilvl w:val="1"/>
          <w:numId w:val="3"/>
        </w:numPr>
      </w:pPr>
      <w:r w:rsidRPr="00C83B26">
        <w:t>Arte: crítica, curaduría, canon.</w:t>
      </w:r>
    </w:p>
    <w:p w14:paraId="278D2262" w14:textId="77777777" w:rsidR="00C83B26" w:rsidRPr="00C83B26" w:rsidRDefault="00C83B26" w:rsidP="00C83B26">
      <w:pPr>
        <w:numPr>
          <w:ilvl w:val="1"/>
          <w:numId w:val="3"/>
        </w:numPr>
      </w:pPr>
      <w:r w:rsidRPr="00C83B26">
        <w:t>Educación: acreditación, títulos.</w:t>
      </w:r>
    </w:p>
    <w:p w14:paraId="6C6CE11E" w14:textId="77777777" w:rsidR="00C83B26" w:rsidRPr="00C83B26" w:rsidRDefault="00C83B26" w:rsidP="00C83B26">
      <w:pPr>
        <w:numPr>
          <w:ilvl w:val="1"/>
          <w:numId w:val="3"/>
        </w:numPr>
      </w:pPr>
      <w:r w:rsidRPr="00C83B26">
        <w:t>Administración: certificaciones, auditoría, compliance.</w:t>
      </w:r>
    </w:p>
    <w:p w14:paraId="28051BBC" w14:textId="77777777" w:rsidR="00C83B26" w:rsidRPr="00C83B26" w:rsidRDefault="00C83B26" w:rsidP="00C83B26">
      <w:pPr>
        <w:numPr>
          <w:ilvl w:val="0"/>
          <w:numId w:val="3"/>
        </w:numPr>
      </w:pPr>
      <w:r w:rsidRPr="00C83B26">
        <w:rPr>
          <w:b/>
          <w:bCs/>
        </w:rPr>
        <w:t>Identidad</w:t>
      </w:r>
    </w:p>
    <w:p w14:paraId="6705BB0F" w14:textId="77777777" w:rsidR="00C83B26" w:rsidRPr="00C83B26" w:rsidRDefault="00C83B26" w:rsidP="00C83B26">
      <w:pPr>
        <w:numPr>
          <w:ilvl w:val="1"/>
          <w:numId w:val="3"/>
        </w:numPr>
      </w:pPr>
      <w:r w:rsidRPr="00C83B26">
        <w:t>Arte: autoría/estilo, escena.</w:t>
      </w:r>
    </w:p>
    <w:p w14:paraId="61E61E64" w14:textId="77777777" w:rsidR="00C83B26" w:rsidRPr="00C83B26" w:rsidRDefault="00C83B26" w:rsidP="00C83B26">
      <w:pPr>
        <w:numPr>
          <w:ilvl w:val="1"/>
          <w:numId w:val="3"/>
        </w:numPr>
      </w:pPr>
      <w:r w:rsidRPr="00C83B26">
        <w:t>Educación: trayectoria, expediente.</w:t>
      </w:r>
    </w:p>
    <w:p w14:paraId="5428CA67" w14:textId="77777777" w:rsidR="00C83B26" w:rsidRPr="00C83B26" w:rsidRDefault="00C83B26" w:rsidP="00C83B26">
      <w:pPr>
        <w:numPr>
          <w:ilvl w:val="1"/>
          <w:numId w:val="3"/>
        </w:numPr>
      </w:pPr>
      <w:r w:rsidRPr="00C83B26">
        <w:t xml:space="preserve">Administración: perfil profesional (aquí encaja Moeller).  </w:t>
      </w:r>
    </w:p>
    <w:p w14:paraId="3BE9B6B9" w14:textId="77777777" w:rsidR="00C83B26" w:rsidRPr="00C83B26" w:rsidRDefault="00C83B26" w:rsidP="00C83B26">
      <w:pPr>
        <w:numPr>
          <w:ilvl w:val="0"/>
          <w:numId w:val="3"/>
        </w:numPr>
      </w:pPr>
      <w:r w:rsidRPr="00C83B26">
        <w:rPr>
          <w:b/>
          <w:bCs/>
        </w:rPr>
        <w:t>Crítica e intempestividad</w:t>
      </w:r>
    </w:p>
    <w:p w14:paraId="1013A0DD" w14:textId="77777777" w:rsidR="00C83B26" w:rsidRPr="00C83B26" w:rsidRDefault="00C83B26" w:rsidP="00C83B26">
      <w:pPr>
        <w:numPr>
          <w:ilvl w:val="1"/>
          <w:numId w:val="3"/>
        </w:numPr>
      </w:pPr>
      <w:r w:rsidRPr="00C83B26">
        <w:t>Arte: negatividad (romper marco).</w:t>
      </w:r>
    </w:p>
    <w:p w14:paraId="5C0F06F7" w14:textId="77777777" w:rsidR="00C83B26" w:rsidRPr="00C83B26" w:rsidRDefault="00C83B26" w:rsidP="00C83B26">
      <w:pPr>
        <w:numPr>
          <w:ilvl w:val="1"/>
          <w:numId w:val="3"/>
        </w:numPr>
      </w:pPr>
      <w:r w:rsidRPr="00C83B26">
        <w:t>Educación: pensamiento crítico (pero también domesticación).</w:t>
      </w:r>
    </w:p>
    <w:p w14:paraId="478B12EA" w14:textId="77777777" w:rsidR="00C83B26" w:rsidRPr="00C83B26" w:rsidRDefault="00C83B26" w:rsidP="00C83B26">
      <w:pPr>
        <w:numPr>
          <w:ilvl w:val="1"/>
          <w:numId w:val="3"/>
        </w:numPr>
      </w:pPr>
      <w:r w:rsidRPr="00C83B26">
        <w:t>Administración: “innovación” como crítica neutralizada (muy conectable con tu Dadá→contenido).</w:t>
      </w:r>
    </w:p>
    <w:p w14:paraId="3D61650A" w14:textId="77777777" w:rsidR="00C83B26" w:rsidRPr="00C83B26" w:rsidRDefault="00C83B26" w:rsidP="00C83B26"/>
    <w:p w14:paraId="5C6DF5CA" w14:textId="77777777" w:rsidR="00C83B26" w:rsidRPr="00C83B26" w:rsidRDefault="00C83B26" w:rsidP="00C83B26">
      <w:pPr>
        <w:rPr>
          <w:b/>
          <w:bCs/>
        </w:rPr>
      </w:pPr>
      <w:r w:rsidRPr="00C83B26">
        <w:rPr>
          <w:b/>
          <w:bCs/>
        </w:rPr>
        <w:t>Nota sobre “intuiciones estructurales”</w:t>
      </w:r>
    </w:p>
    <w:p w14:paraId="017B3954" w14:textId="77777777" w:rsidR="00C83B26" w:rsidRPr="00C83B26" w:rsidRDefault="00C83B26" w:rsidP="00C83B26"/>
    <w:p w14:paraId="6F52F10D" w14:textId="77777777" w:rsidR="00C83B26" w:rsidRPr="00C83B26" w:rsidRDefault="00C83B26" w:rsidP="00C83B26">
      <w:r w:rsidRPr="00C83B26">
        <w:t xml:space="preserve">El rótulo “structural intuitions” aparece muy asociado a </w:t>
      </w:r>
      <w:r w:rsidRPr="00C83B26">
        <w:rPr>
          <w:b/>
          <w:bCs/>
        </w:rPr>
        <w:t>Martin Kemp</w:t>
      </w:r>
      <w:r w:rsidRPr="00C83B26">
        <w:t xml:space="preserve"> (no tanto a Gombrich), como intuiciones sobre estructuras compartidas entre arte y ciencia.  </w:t>
      </w:r>
    </w:p>
    <w:p w14:paraId="5BF68000" w14:textId="77777777" w:rsidR="00C83B26" w:rsidRPr="00C83B26" w:rsidRDefault="00C83B26" w:rsidP="00C83B26">
      <w:r w:rsidRPr="00C83B26">
        <w:t xml:space="preserve">Con Gombrich puedes traer más bien </w:t>
      </w:r>
      <w:r w:rsidRPr="00C83B26">
        <w:rPr>
          <w:i/>
          <w:iCs/>
        </w:rPr>
        <w:t>schema/corrección</w:t>
      </w:r>
      <w:r w:rsidRPr="00C83B26">
        <w:t xml:space="preserve"> (hipótesis y ajuste), y usarlo como equivalente funcional de “iteración” en management (prueba-error / learning loops).</w:t>
      </w:r>
    </w:p>
    <w:p w14:paraId="1A99642F" w14:textId="77777777" w:rsidR="00C83B26" w:rsidRPr="00C83B26" w:rsidRDefault="00C83B26" w:rsidP="00C83B26"/>
    <w:p w14:paraId="09A50CEF" w14:textId="77777777" w:rsidR="00C83B26" w:rsidRPr="00C83B26" w:rsidRDefault="00C83B26" w:rsidP="00C83B26">
      <w:pPr>
        <w:rPr>
          <w:b/>
          <w:bCs/>
        </w:rPr>
      </w:pPr>
      <w:r w:rsidRPr="00C83B26">
        <w:rPr>
          <w:b/>
          <w:bCs/>
        </w:rPr>
        <w:t>Título (opciones)</w:t>
      </w:r>
    </w:p>
    <w:p w14:paraId="1BEDE699" w14:textId="77777777" w:rsidR="00C83B26" w:rsidRPr="00C83B26" w:rsidRDefault="00C83B26" w:rsidP="00C83B26">
      <w:pPr>
        <w:numPr>
          <w:ilvl w:val="0"/>
          <w:numId w:val="4"/>
        </w:numPr>
      </w:pPr>
      <w:r w:rsidRPr="00C83B26">
        <w:rPr>
          <w:b/>
          <w:bCs/>
        </w:rPr>
        <w:t>Equivalentes funcionales entre Arte, Educación y Administración: marcos, decisiones y crítica</w:t>
      </w:r>
    </w:p>
    <w:p w14:paraId="10B430C9" w14:textId="77777777" w:rsidR="00C83B26" w:rsidRPr="00C83B26" w:rsidRDefault="00C83B26" w:rsidP="00C83B26">
      <w:pPr>
        <w:numPr>
          <w:ilvl w:val="0"/>
          <w:numId w:val="4"/>
        </w:numPr>
      </w:pPr>
      <w:r w:rsidRPr="00C83B26">
        <w:rPr>
          <w:b/>
          <w:bCs/>
        </w:rPr>
        <w:t>Tres máquinas de orientación: estética, pedagogía y gestión bajo complejidad</w:t>
      </w:r>
    </w:p>
    <w:p w14:paraId="6BC04125" w14:textId="77777777" w:rsidR="00C83B26" w:rsidRPr="00C83B26" w:rsidRDefault="00C83B26" w:rsidP="00C83B26">
      <w:pPr>
        <w:numPr>
          <w:ilvl w:val="0"/>
          <w:numId w:val="4"/>
        </w:numPr>
      </w:pPr>
      <w:r w:rsidRPr="00C83B26">
        <w:rPr>
          <w:b/>
          <w:bCs/>
        </w:rPr>
        <w:t>De marcos a conceptos: Goffman, Luhmann y Deleuze en la comparativa Arte-Educación-Negocios</w:t>
      </w:r>
    </w:p>
    <w:p w14:paraId="49901623" w14:textId="77777777" w:rsidR="00C83B26" w:rsidRPr="00C83B26" w:rsidRDefault="00C83B26" w:rsidP="00C83B26"/>
    <w:p w14:paraId="37AE138F" w14:textId="77777777" w:rsidR="00C83B26" w:rsidRPr="00C83B26" w:rsidRDefault="00C83B26" w:rsidP="00C83B26">
      <w:pPr>
        <w:rPr>
          <w:b/>
          <w:bCs/>
        </w:rPr>
      </w:pPr>
      <w:r w:rsidRPr="00C83B26">
        <w:rPr>
          <w:b/>
          <w:bCs/>
        </w:rPr>
        <w:t>Estructura mínima (para que no se vuelva enciclopedia)</w:t>
      </w:r>
    </w:p>
    <w:p w14:paraId="2C311C6F" w14:textId="77777777" w:rsidR="00C83B26" w:rsidRPr="00C83B26" w:rsidRDefault="00C83B26" w:rsidP="00C83B26">
      <w:pPr>
        <w:numPr>
          <w:ilvl w:val="0"/>
          <w:numId w:val="5"/>
        </w:numPr>
      </w:pPr>
      <w:r w:rsidRPr="00C83B26">
        <w:t>Planteamiento: “equivalencia funcional” (qué es y por qué sirve aquí)</w:t>
      </w:r>
    </w:p>
    <w:p w14:paraId="731C8CBD" w14:textId="77777777" w:rsidR="00C83B26" w:rsidRPr="00C83B26" w:rsidRDefault="00C83B26" w:rsidP="00C83B26">
      <w:pPr>
        <w:numPr>
          <w:ilvl w:val="0"/>
          <w:numId w:val="5"/>
        </w:numPr>
      </w:pPr>
      <w:r w:rsidRPr="00C83B26">
        <w:t>Tres ámbitos, un problema (orientación bajo complejidad)</w:t>
      </w:r>
    </w:p>
    <w:p w14:paraId="29501444" w14:textId="77777777" w:rsidR="00C83B26" w:rsidRPr="00C83B26" w:rsidRDefault="00C83B26" w:rsidP="00C83B26">
      <w:pPr>
        <w:numPr>
          <w:ilvl w:val="0"/>
          <w:numId w:val="5"/>
        </w:numPr>
      </w:pPr>
      <w:r w:rsidRPr="00C83B26">
        <w:t>Matriz de equivalentes (6–8 funciones, como arriba)</w:t>
      </w:r>
    </w:p>
    <w:p w14:paraId="002633DF" w14:textId="77777777" w:rsidR="00C83B26" w:rsidRPr="00C83B26" w:rsidRDefault="00C83B26" w:rsidP="00C83B26">
      <w:pPr>
        <w:numPr>
          <w:ilvl w:val="0"/>
          <w:numId w:val="5"/>
        </w:numPr>
      </w:pPr>
      <w:r w:rsidRPr="00C83B26">
        <w:t xml:space="preserve">Caso breve (uno): p.ej., </w:t>
      </w:r>
      <w:r w:rsidRPr="00C83B26">
        <w:rPr>
          <w:b/>
          <w:bCs/>
        </w:rPr>
        <w:t>innovación</w:t>
      </w:r>
      <w:r w:rsidRPr="00C83B26">
        <w:t xml:space="preserve"> (arte) / </w:t>
      </w:r>
      <w:r w:rsidRPr="00C83B26">
        <w:rPr>
          <w:b/>
          <w:bCs/>
        </w:rPr>
        <w:t>aprendizaje</w:t>
      </w:r>
      <w:r w:rsidRPr="00C83B26">
        <w:t xml:space="preserve"> (educación) / </w:t>
      </w:r>
      <w:r w:rsidRPr="00C83B26">
        <w:rPr>
          <w:b/>
          <w:bCs/>
        </w:rPr>
        <w:t>disrupción</w:t>
      </w:r>
      <w:r w:rsidRPr="00C83B26">
        <w:t xml:space="preserve"> (negocios)</w:t>
      </w:r>
    </w:p>
    <w:p w14:paraId="54A0AA35" w14:textId="77777777" w:rsidR="00C83B26" w:rsidRPr="00C83B26" w:rsidRDefault="00C83B26" w:rsidP="00C83B26">
      <w:pPr>
        <w:numPr>
          <w:ilvl w:val="0"/>
          <w:numId w:val="5"/>
        </w:numPr>
      </w:pPr>
      <w:r w:rsidRPr="00C83B26">
        <w:t xml:space="preserve">Cierre: qué gana una formación económico-administrativa al </w:t>
      </w:r>
      <w:r w:rsidRPr="00C83B26">
        <w:rPr>
          <w:i/>
          <w:iCs/>
        </w:rPr>
        <w:t>mirarse</w:t>
      </w:r>
      <w:r w:rsidRPr="00C83B26">
        <w:t xml:space="preserve"> desde esta comparativa (sin recetario didáctico).</w:t>
      </w:r>
    </w:p>
    <w:p w14:paraId="32AE95F0" w14:textId="77777777" w:rsidR="00C83B26" w:rsidRPr="00C83B26" w:rsidRDefault="00AE23EC" w:rsidP="00C83B26">
      <w:r>
        <w:rPr>
          <w:noProof/>
        </w:rPr>
        <w:pict w14:anchorId="5D886874">
          <v:rect id="_x0000_i1025" alt="" style="width:468pt;height:.05pt;mso-width-percent:0;mso-height-percent:0;mso-width-percent:0;mso-height-percent:0" o:hralign="center" o:hrstd="t" o:hr="t" fillcolor="#a0a0a0" stroked="f"/>
        </w:pict>
      </w:r>
    </w:p>
    <w:p w14:paraId="6EBAE284" w14:textId="77777777" w:rsidR="00C83B26" w:rsidRPr="00C83B26" w:rsidRDefault="00C83B26" w:rsidP="00C83B26">
      <w:r w:rsidRPr="00C83B26">
        <w:t xml:space="preserve">Si quieres, en el siguiente paso yo te armo </w:t>
      </w:r>
      <w:r w:rsidRPr="00C83B26">
        <w:rPr>
          <w:b/>
          <w:bCs/>
        </w:rPr>
        <w:t>dos resúmenes listos para “entrega de título + resumen tentativo”</w:t>
      </w:r>
      <w:r w:rsidRPr="00C83B26">
        <w:t xml:space="preserve"> (septiembre 2025): uno para A y otro para B, con 5–7 palabras clave cada uno y una mini-bibliografía base (Benjamin/Bourdieu/Debord + Luhmann/Goffman + Moeller).</w:t>
      </w:r>
    </w:p>
    <w:p w14:paraId="50EC4856" w14:textId="77777777" w:rsidR="009A3034" w:rsidRDefault="009A3034"/>
    <w:sectPr w:rsidR="009A30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8A8"/>
    <w:multiLevelType w:val="multilevel"/>
    <w:tmpl w:val="6A047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BE3528"/>
    <w:multiLevelType w:val="multilevel"/>
    <w:tmpl w:val="EA4A9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7B210B"/>
    <w:multiLevelType w:val="multilevel"/>
    <w:tmpl w:val="DB222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40676"/>
    <w:multiLevelType w:val="multilevel"/>
    <w:tmpl w:val="FBF6A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E270C3"/>
    <w:multiLevelType w:val="multilevel"/>
    <w:tmpl w:val="7748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8822328">
    <w:abstractNumId w:val="3"/>
  </w:num>
  <w:num w:numId="2" w16cid:durableId="1664427695">
    <w:abstractNumId w:val="1"/>
  </w:num>
  <w:num w:numId="3" w16cid:durableId="617227709">
    <w:abstractNumId w:val="2"/>
  </w:num>
  <w:num w:numId="4" w16cid:durableId="1577739993">
    <w:abstractNumId w:val="0"/>
  </w:num>
  <w:num w:numId="5" w16cid:durableId="11639381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B26"/>
    <w:rsid w:val="002D6839"/>
    <w:rsid w:val="00304C1A"/>
    <w:rsid w:val="004900C8"/>
    <w:rsid w:val="007E05B0"/>
    <w:rsid w:val="008643C5"/>
    <w:rsid w:val="00901545"/>
    <w:rsid w:val="009A3034"/>
    <w:rsid w:val="00AE23EC"/>
    <w:rsid w:val="00AE7ABB"/>
    <w:rsid w:val="00C83B26"/>
    <w:rsid w:val="00E52FD1"/>
    <w:rsid w:val="00FA24E9"/>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5C9A3"/>
  <w15:chartTrackingRefBased/>
  <w15:docId w15:val="{9DFA25A2-DF68-BF42-97DC-FF84F897A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B26"/>
    <w:rPr>
      <w:rFonts w:eastAsiaTheme="majorEastAsia" w:cstheme="majorBidi"/>
      <w:color w:val="272727" w:themeColor="text1" w:themeTint="D8"/>
    </w:rPr>
  </w:style>
  <w:style w:type="paragraph" w:styleId="Title">
    <w:name w:val="Title"/>
    <w:basedOn w:val="Normal"/>
    <w:next w:val="Normal"/>
    <w:link w:val="TitleChar"/>
    <w:uiPriority w:val="10"/>
    <w:qFormat/>
    <w:rsid w:val="00C83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B26"/>
    <w:pPr>
      <w:spacing w:before="160"/>
      <w:jc w:val="center"/>
    </w:pPr>
    <w:rPr>
      <w:i/>
      <w:iCs/>
      <w:color w:val="404040" w:themeColor="text1" w:themeTint="BF"/>
    </w:rPr>
  </w:style>
  <w:style w:type="character" w:customStyle="1" w:styleId="QuoteChar">
    <w:name w:val="Quote Char"/>
    <w:basedOn w:val="DefaultParagraphFont"/>
    <w:link w:val="Quote"/>
    <w:uiPriority w:val="29"/>
    <w:rsid w:val="00C83B26"/>
    <w:rPr>
      <w:i/>
      <w:iCs/>
      <w:color w:val="404040" w:themeColor="text1" w:themeTint="BF"/>
    </w:rPr>
  </w:style>
  <w:style w:type="paragraph" w:styleId="ListParagraph">
    <w:name w:val="List Paragraph"/>
    <w:basedOn w:val="Normal"/>
    <w:uiPriority w:val="34"/>
    <w:qFormat/>
    <w:rsid w:val="00C83B26"/>
    <w:pPr>
      <w:ind w:left="720"/>
      <w:contextualSpacing/>
    </w:pPr>
  </w:style>
  <w:style w:type="character" w:styleId="IntenseEmphasis">
    <w:name w:val="Intense Emphasis"/>
    <w:basedOn w:val="DefaultParagraphFont"/>
    <w:uiPriority w:val="21"/>
    <w:qFormat/>
    <w:rsid w:val="00C83B26"/>
    <w:rPr>
      <w:i/>
      <w:iCs/>
      <w:color w:val="0F4761" w:themeColor="accent1" w:themeShade="BF"/>
    </w:rPr>
  </w:style>
  <w:style w:type="paragraph" w:styleId="IntenseQuote">
    <w:name w:val="Intense Quote"/>
    <w:basedOn w:val="Normal"/>
    <w:next w:val="Normal"/>
    <w:link w:val="IntenseQuoteChar"/>
    <w:uiPriority w:val="30"/>
    <w:qFormat/>
    <w:rsid w:val="00C83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B26"/>
    <w:rPr>
      <w:i/>
      <w:iCs/>
      <w:color w:val="0F4761" w:themeColor="accent1" w:themeShade="BF"/>
    </w:rPr>
  </w:style>
  <w:style w:type="character" w:styleId="IntenseReference">
    <w:name w:val="Intense Reference"/>
    <w:basedOn w:val="DefaultParagraphFont"/>
    <w:uiPriority w:val="32"/>
    <w:qFormat/>
    <w:rsid w:val="00C83B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796</Words>
  <Characters>5293</Characters>
  <Application>Microsoft Office Word</Application>
  <DocSecurity>0</DocSecurity>
  <Lines>196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jorgecardiel</dc:creator>
  <cp:keywords/>
  <dc:description/>
  <cp:lastModifiedBy>jorgecardiel</cp:lastModifiedBy>
  <cp:revision>2</cp:revision>
  <dcterms:created xsi:type="dcterms:W3CDTF">2025-12-22T20:50:00Z</dcterms:created>
  <dcterms:modified xsi:type="dcterms:W3CDTF">2025-12-22T22:47:00Z</dcterms:modified>
</cp:coreProperties>
</file>