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878B" w14:textId="77777777" w:rsidR="004F7E0D" w:rsidRPr="004C3944" w:rsidRDefault="00000000">
      <w:pPr>
        <w:rPr>
          <w:bCs/>
          <w:lang w:val="es-ES"/>
        </w:rPr>
      </w:pPr>
      <w:r w:rsidRPr="004C3944">
        <w:rPr>
          <w:bCs/>
          <w:lang w:val="es-ES"/>
        </w:rPr>
        <w:t>Capítulo para el libro: Arte y educación en las áreas económico-administrativas</w:t>
      </w:r>
    </w:p>
    <w:p w14:paraId="5360B306" w14:textId="77777777" w:rsidR="004F7E0D" w:rsidRPr="003A023A" w:rsidRDefault="00000000">
      <w:pPr>
        <w:rPr>
          <w:lang w:val="es-ES"/>
        </w:rPr>
      </w:pPr>
      <w:r w:rsidRPr="003A023A">
        <w:rPr>
          <w:lang w:val="es-ES"/>
        </w:rPr>
        <w:t>Coordinadores: Claudia Liliana Padrón Martínez y José Alberto García Narváez</w:t>
      </w:r>
    </w:p>
    <w:p w14:paraId="3FC0C60C" w14:textId="67867D70" w:rsidR="004F7E0D" w:rsidRPr="004C3944" w:rsidRDefault="00000000">
      <w:pPr>
        <w:rPr>
          <w:b/>
          <w:bCs/>
          <w:lang w:val="es-ES"/>
        </w:rPr>
      </w:pPr>
      <w:r w:rsidRPr="003A023A">
        <w:rPr>
          <w:lang w:val="es-ES"/>
        </w:rPr>
        <w:t xml:space="preserve">Título del capítulo: </w:t>
      </w:r>
      <w:r w:rsidR="00E92433">
        <w:rPr>
          <w:b/>
          <w:bCs/>
          <w:lang w:val="es-ES"/>
        </w:rPr>
        <w:t>La</w:t>
      </w:r>
      <w:r w:rsidR="00277AC5">
        <w:rPr>
          <w:b/>
          <w:bCs/>
          <w:lang w:val="es-ES"/>
        </w:rPr>
        <w:t xml:space="preserve"> </w:t>
      </w:r>
      <w:proofErr w:type="spellStart"/>
      <w:r w:rsidRPr="004C3944">
        <w:rPr>
          <w:b/>
          <w:bCs/>
          <w:lang w:val="es-ES"/>
        </w:rPr>
        <w:t>profilicidad</w:t>
      </w:r>
      <w:proofErr w:type="spellEnd"/>
      <w:r w:rsidRPr="004C3944">
        <w:rPr>
          <w:b/>
          <w:bCs/>
          <w:lang w:val="es-ES"/>
        </w:rPr>
        <w:t xml:space="preserve"> en la formación económico-administrativa</w:t>
      </w:r>
    </w:p>
    <w:p w14:paraId="617A7E2B" w14:textId="77777777" w:rsidR="004F7E0D" w:rsidRPr="003A023A" w:rsidRDefault="00000000">
      <w:pPr>
        <w:rPr>
          <w:lang w:val="es-ES"/>
        </w:rPr>
      </w:pPr>
      <w:r w:rsidRPr="003A023A">
        <w:rPr>
          <w:lang w:val="es-ES"/>
        </w:rPr>
        <w:t>Autor(es): Jorge Cardiel Herrera</w:t>
      </w:r>
    </w:p>
    <w:p w14:paraId="33472039" w14:textId="77777777" w:rsidR="004F7E0D" w:rsidRPr="003A023A" w:rsidRDefault="00000000">
      <w:pPr>
        <w:rPr>
          <w:lang w:val="es-ES"/>
        </w:rPr>
      </w:pPr>
      <w:r w:rsidRPr="003A023A">
        <w:rPr>
          <w:lang w:val="es-ES"/>
        </w:rPr>
        <w:t>Adscripción institucional: Facultad de Contaduría y Administración, UNAM</w:t>
      </w:r>
    </w:p>
    <w:p w14:paraId="4AABF410" w14:textId="77777777" w:rsidR="004F7E0D" w:rsidRPr="003A023A" w:rsidRDefault="00000000">
      <w:pPr>
        <w:rPr>
          <w:lang w:val="es-ES"/>
        </w:rPr>
      </w:pPr>
      <w:r w:rsidRPr="003A023A">
        <w:rPr>
          <w:lang w:val="es-ES"/>
        </w:rPr>
        <w:t>Correo: jorgecardiel@comunidad.unam.mx</w:t>
      </w:r>
    </w:p>
    <w:p w14:paraId="41BEDCFC" w14:textId="77777777" w:rsidR="004F7E0D" w:rsidRPr="003A023A" w:rsidRDefault="00000000">
      <w:pPr>
        <w:rPr>
          <w:lang w:val="es-ES"/>
        </w:rPr>
      </w:pPr>
      <w:r w:rsidRPr="003A023A">
        <w:rPr>
          <w:lang w:val="es-ES"/>
        </w:rPr>
        <w:t>ORCID: [pendiente]</w:t>
      </w:r>
    </w:p>
    <w:p w14:paraId="28E5C5BA" w14:textId="77777777" w:rsidR="004F7E0D" w:rsidRPr="003A023A" w:rsidRDefault="00000000">
      <w:pPr>
        <w:rPr>
          <w:lang w:val="es-ES"/>
        </w:rPr>
      </w:pPr>
      <w:r w:rsidRPr="003A023A">
        <w:rPr>
          <w:b/>
          <w:lang w:val="es-ES"/>
        </w:rPr>
        <w:t>Resumen:</w:t>
      </w:r>
    </w:p>
    <w:p w14:paraId="11DF43D2" w14:textId="0D8BAD1D" w:rsidR="004F7E0D" w:rsidRPr="003A023A" w:rsidRDefault="00000000" w:rsidP="003A023A">
      <w:pPr>
        <w:jc w:val="both"/>
        <w:rPr>
          <w:lang w:val="es-ES"/>
        </w:rPr>
      </w:pPr>
      <w:r w:rsidRPr="003A023A">
        <w:rPr>
          <w:lang w:val="es-ES"/>
        </w:rPr>
        <w:t xml:space="preserve">La cultura </w:t>
      </w:r>
      <w:proofErr w:type="spellStart"/>
      <w:r w:rsidRPr="003A023A">
        <w:rPr>
          <w:lang w:val="es-ES"/>
        </w:rPr>
        <w:t>influencer</w:t>
      </w:r>
      <w:proofErr w:type="spellEnd"/>
      <w:r w:rsidRPr="003A023A">
        <w:rPr>
          <w:lang w:val="es-ES"/>
        </w:rPr>
        <w:t xml:space="preserve"> contemporánea, acelerada por herramientas de inteligencia artificial generativa, opera como un dispositivo de conversión: traduce capital simbólico específico —propio de campos como el arte, la crítica o la investigación— en capital de visibilidad medible (alcance, </w:t>
      </w:r>
      <w:proofErr w:type="spellStart"/>
      <w:r w:rsidRPr="003A023A">
        <w:rPr>
          <w:lang w:val="es-ES"/>
        </w:rPr>
        <w:t>engagement</w:t>
      </w:r>
      <w:proofErr w:type="spellEnd"/>
      <w:r w:rsidRPr="003A023A">
        <w:rPr>
          <w:lang w:val="es-ES"/>
        </w:rPr>
        <w:t xml:space="preserve">, seguidores, reputación). En ese tránsito, el gesto vanguardista se vuelve </w:t>
      </w:r>
      <w:r w:rsidR="00E54E43">
        <w:rPr>
          <w:lang w:val="es-ES"/>
        </w:rPr>
        <w:t>plantilla y contenido. Con ello,</w:t>
      </w:r>
      <w:r w:rsidRPr="003A023A">
        <w:rPr>
          <w:lang w:val="es-ES"/>
        </w:rPr>
        <w:t xml:space="preserve"> la negatividad crítica</w:t>
      </w:r>
      <w:r w:rsidR="00E54E43">
        <w:rPr>
          <w:lang w:val="es-ES"/>
        </w:rPr>
        <w:t xml:space="preserve"> —que podría tener el triunfo del dadaísmo en todas las esferas </w:t>
      </w:r>
      <w:r w:rsidR="00E54E43" w:rsidRPr="00E54E43">
        <w:rPr>
          <w:i/>
          <w:iCs/>
          <w:lang w:val="es-ES"/>
        </w:rPr>
        <w:t>mainstream</w:t>
      </w:r>
      <w:r w:rsidR="00E54E43">
        <w:rPr>
          <w:lang w:val="es-ES"/>
        </w:rPr>
        <w:t>—</w:t>
      </w:r>
      <w:r w:rsidRPr="003A023A">
        <w:rPr>
          <w:lang w:val="es-ES"/>
        </w:rPr>
        <w:t xml:space="preserve"> </w:t>
      </w:r>
      <w:r w:rsidR="00E54E43">
        <w:rPr>
          <w:lang w:val="es-ES"/>
        </w:rPr>
        <w:t>queda también</w:t>
      </w:r>
      <w:r w:rsidRPr="003A023A">
        <w:rPr>
          <w:lang w:val="es-ES"/>
        </w:rPr>
        <w:t xml:space="preserve"> neutraliza</w:t>
      </w:r>
      <w:r w:rsidR="00E54E43">
        <w:rPr>
          <w:lang w:val="es-ES"/>
        </w:rPr>
        <w:t>da</w:t>
      </w:r>
      <w:r w:rsidRPr="003A023A">
        <w:rPr>
          <w:lang w:val="es-ES"/>
        </w:rPr>
        <w:t xml:space="preserve">. El capítulo propone leer esta dinámica a partir de una </w:t>
      </w:r>
      <w:r w:rsidR="003A023A">
        <w:rPr>
          <w:lang w:val="es-ES"/>
        </w:rPr>
        <w:t>reflexión sobre la época del vanguardismo histórico (en específico</w:t>
      </w:r>
      <w:r w:rsidR="00CE1F73">
        <w:rPr>
          <w:lang w:val="es-ES"/>
        </w:rPr>
        <w:t>:</w:t>
      </w:r>
      <w:r w:rsidR="003A023A">
        <w:rPr>
          <w:lang w:val="es-ES"/>
        </w:rPr>
        <w:t xml:space="preserve"> la emergencia del</w:t>
      </w:r>
      <w:r w:rsidRPr="003A023A">
        <w:rPr>
          <w:lang w:val="es-ES"/>
        </w:rPr>
        <w:t xml:space="preserve"> </w:t>
      </w:r>
      <w:r w:rsidR="003A023A">
        <w:rPr>
          <w:lang w:val="es-ES"/>
        </w:rPr>
        <w:t>d</w:t>
      </w:r>
      <w:r w:rsidRPr="003A023A">
        <w:rPr>
          <w:lang w:val="es-ES"/>
        </w:rPr>
        <w:t>ad</w:t>
      </w:r>
      <w:r w:rsidR="003A023A">
        <w:rPr>
          <w:lang w:val="es-ES"/>
        </w:rPr>
        <w:t>aísmo) y sobre el concepto de “</w:t>
      </w:r>
      <w:r w:rsidRPr="003A023A">
        <w:rPr>
          <w:lang w:val="es-ES"/>
        </w:rPr>
        <w:t>valor de exposición</w:t>
      </w:r>
      <w:r w:rsidR="003A023A">
        <w:rPr>
          <w:lang w:val="es-ES"/>
        </w:rPr>
        <w:t>”</w:t>
      </w:r>
      <w:r w:rsidRPr="003A023A">
        <w:rPr>
          <w:lang w:val="es-ES"/>
        </w:rPr>
        <w:t xml:space="preserve">. En diálogo con </w:t>
      </w:r>
      <w:proofErr w:type="spellStart"/>
      <w:r w:rsidRPr="003A023A">
        <w:rPr>
          <w:lang w:val="es-ES"/>
        </w:rPr>
        <w:t>Benjamin</w:t>
      </w:r>
      <w:proofErr w:type="spellEnd"/>
      <w:r w:rsidRPr="003A023A">
        <w:rPr>
          <w:lang w:val="es-ES"/>
        </w:rPr>
        <w:t>, se revisa cómo la expansión del valor de exposición reconfigura la experiencia estética</w:t>
      </w:r>
      <w:r w:rsidR="00D16EF6">
        <w:rPr>
          <w:lang w:val="es-ES"/>
        </w:rPr>
        <w:t>.</w:t>
      </w:r>
      <w:r w:rsidRPr="003A023A">
        <w:rPr>
          <w:lang w:val="es-ES"/>
        </w:rPr>
        <w:t xml:space="preserve"> </w:t>
      </w:r>
      <w:r w:rsidR="00D16EF6">
        <w:rPr>
          <w:lang w:val="es-ES"/>
        </w:rPr>
        <w:t>C</w:t>
      </w:r>
      <w:r w:rsidRPr="003A023A">
        <w:rPr>
          <w:lang w:val="es-ES"/>
        </w:rPr>
        <w:t>on Goffman y Luhmann, se analiza el papel de los marcos institucionales y mediáticos que predisponen la percepción y estabilizan expectativas</w:t>
      </w:r>
      <w:r w:rsidR="00D16EF6">
        <w:rPr>
          <w:lang w:val="es-ES"/>
        </w:rPr>
        <w:t>. Co</w:t>
      </w:r>
      <w:r w:rsidRPr="003A023A">
        <w:rPr>
          <w:lang w:val="es-ES"/>
        </w:rPr>
        <w:t xml:space="preserve">n </w:t>
      </w:r>
      <w:proofErr w:type="spellStart"/>
      <w:r w:rsidRPr="003A023A">
        <w:rPr>
          <w:lang w:val="es-ES"/>
        </w:rPr>
        <w:t>Moeller</w:t>
      </w:r>
      <w:proofErr w:type="spellEnd"/>
      <w:r w:rsidRPr="003A023A">
        <w:rPr>
          <w:lang w:val="es-ES"/>
        </w:rPr>
        <w:t xml:space="preserve"> y </w:t>
      </w:r>
      <w:proofErr w:type="spellStart"/>
      <w:r w:rsidRPr="003A023A">
        <w:rPr>
          <w:lang w:val="es-ES"/>
        </w:rPr>
        <w:t>D’Ambrosio</w:t>
      </w:r>
      <w:proofErr w:type="spellEnd"/>
      <w:r w:rsidRPr="003A023A">
        <w:rPr>
          <w:lang w:val="es-ES"/>
        </w:rPr>
        <w:t xml:space="preserve"> se interpreta el pasaje desde la autenticidad hacia la </w:t>
      </w:r>
      <w:proofErr w:type="spellStart"/>
      <w:r w:rsidRPr="003A023A">
        <w:rPr>
          <w:lang w:val="es-ES"/>
        </w:rPr>
        <w:t>profilicidad</w:t>
      </w:r>
      <w:proofErr w:type="spellEnd"/>
      <w:r w:rsidRPr="003A023A">
        <w:rPr>
          <w:lang w:val="es-ES"/>
        </w:rPr>
        <w:t>, donde la identidad se organiza como curaduría pública de perfiles. La argumentación se orienta a las áreas económico-administrativas: muestra cómo la gestión contemporánea (empleabilidad, marca personal, innovación, comunicación organizacional) se acopla crecientemente a regímenes estéticos de exposición. Se concluye con implicaciones para la docencia: alfabetización mediática y estética, lectura crítica de</w:t>
      </w:r>
      <w:r w:rsidR="00660A76">
        <w:rPr>
          <w:lang w:val="es-ES"/>
        </w:rPr>
        <w:t xml:space="preserve"> las</w:t>
      </w:r>
      <w:r w:rsidRPr="003A023A">
        <w:rPr>
          <w:lang w:val="es-ES"/>
        </w:rPr>
        <w:t xml:space="preserve"> métricas, y diseño de prácticas formativas que no reduzcan creatividad y pensamiento a “contenidos” optimizados para plataforma.</w:t>
      </w:r>
    </w:p>
    <w:p w14:paraId="3D397B33" w14:textId="77777777" w:rsidR="004F7E0D" w:rsidRPr="003A023A" w:rsidRDefault="00000000">
      <w:pPr>
        <w:rPr>
          <w:lang w:val="es-ES"/>
        </w:rPr>
      </w:pPr>
      <w:r w:rsidRPr="003A023A">
        <w:rPr>
          <w:b/>
          <w:lang w:val="es-ES"/>
        </w:rPr>
        <w:t>Palabras clave:</w:t>
      </w:r>
    </w:p>
    <w:p w14:paraId="613817EF" w14:textId="348B7AC0" w:rsidR="004F7E0D" w:rsidRPr="003A023A" w:rsidRDefault="00000000">
      <w:pPr>
        <w:rPr>
          <w:lang w:val="es-ES"/>
        </w:rPr>
      </w:pPr>
      <w:r w:rsidRPr="003A023A">
        <w:rPr>
          <w:lang w:val="es-ES"/>
        </w:rPr>
        <w:t xml:space="preserve">cultura </w:t>
      </w:r>
      <w:proofErr w:type="spellStart"/>
      <w:r w:rsidRPr="003A023A">
        <w:rPr>
          <w:lang w:val="es-ES"/>
        </w:rPr>
        <w:t>influencer</w:t>
      </w:r>
      <w:proofErr w:type="spellEnd"/>
      <w:r w:rsidRPr="003A023A">
        <w:rPr>
          <w:lang w:val="es-ES"/>
        </w:rPr>
        <w:t>; inteligencia artificial; valor de exposición; marcos (</w:t>
      </w:r>
      <w:proofErr w:type="spellStart"/>
      <w:r w:rsidRPr="003A023A">
        <w:rPr>
          <w:lang w:val="es-ES"/>
        </w:rPr>
        <w:t>frames</w:t>
      </w:r>
      <w:proofErr w:type="spellEnd"/>
      <w:r w:rsidRPr="003A023A">
        <w:rPr>
          <w:lang w:val="es-ES"/>
        </w:rPr>
        <w:t xml:space="preserve">); </w:t>
      </w:r>
      <w:proofErr w:type="spellStart"/>
      <w:r w:rsidRPr="003A023A">
        <w:rPr>
          <w:lang w:val="es-ES"/>
        </w:rPr>
        <w:t>profilicidad</w:t>
      </w:r>
      <w:proofErr w:type="spellEnd"/>
      <w:r w:rsidRPr="003A023A">
        <w:rPr>
          <w:lang w:val="es-ES"/>
        </w:rPr>
        <w:t xml:space="preserve">; capital simbólico; </w:t>
      </w:r>
      <w:r w:rsidR="0063089A">
        <w:rPr>
          <w:lang w:val="es-ES"/>
        </w:rPr>
        <w:t>formación</w:t>
      </w:r>
      <w:r w:rsidRPr="003A023A">
        <w:rPr>
          <w:lang w:val="es-ES"/>
        </w:rPr>
        <w:t xml:space="preserve"> económico-administrativa</w:t>
      </w:r>
    </w:p>
    <w:p w14:paraId="08BC5B5A" w14:textId="77777777" w:rsidR="00142C50" w:rsidRDefault="00000000" w:rsidP="00142C50">
      <w:pPr>
        <w:pStyle w:val="ListParagraph"/>
        <w:numPr>
          <w:ilvl w:val="0"/>
          <w:numId w:val="10"/>
        </w:numPr>
        <w:jc w:val="both"/>
        <w:rPr>
          <w:b/>
          <w:lang w:val="es-ES"/>
        </w:rPr>
      </w:pPr>
      <w:r w:rsidRPr="00142C50">
        <w:rPr>
          <w:b/>
          <w:lang w:val="es-ES"/>
        </w:rPr>
        <w:t>Introducción</w:t>
      </w:r>
    </w:p>
    <w:p w14:paraId="5E129EEC" w14:textId="77777777" w:rsidR="00142C50" w:rsidRDefault="00142C50" w:rsidP="00142C50">
      <w:pPr>
        <w:pStyle w:val="ListParagraph"/>
        <w:jc w:val="both"/>
        <w:rPr>
          <w:b/>
          <w:lang w:val="es-ES"/>
        </w:rPr>
      </w:pPr>
    </w:p>
    <w:p w14:paraId="23D24285" w14:textId="77777777" w:rsidR="00142C50" w:rsidRDefault="00142C50" w:rsidP="00142C50">
      <w:pPr>
        <w:pStyle w:val="ListParagraph"/>
        <w:jc w:val="both"/>
        <w:rPr>
          <w:b/>
          <w:lang w:val="es-ES"/>
        </w:rPr>
      </w:pPr>
    </w:p>
    <w:p w14:paraId="6B3398F2" w14:textId="77777777" w:rsidR="00142C50" w:rsidRDefault="00142C50" w:rsidP="00142C50">
      <w:pPr>
        <w:pStyle w:val="ListParagraph"/>
        <w:jc w:val="both"/>
        <w:rPr>
          <w:b/>
          <w:lang w:val="es-ES"/>
        </w:rPr>
      </w:pPr>
    </w:p>
    <w:p w14:paraId="72628F57" w14:textId="77777777" w:rsidR="00142C50" w:rsidRDefault="00142C50" w:rsidP="00142C50">
      <w:pPr>
        <w:pStyle w:val="ListParagraph"/>
        <w:jc w:val="both"/>
        <w:rPr>
          <w:b/>
          <w:lang w:val="es-ES"/>
        </w:rPr>
      </w:pPr>
    </w:p>
    <w:p w14:paraId="10C7B298" w14:textId="77777777" w:rsidR="00142C50" w:rsidRDefault="00142C50" w:rsidP="00142C50">
      <w:pPr>
        <w:pStyle w:val="ListParagraph"/>
        <w:jc w:val="both"/>
        <w:rPr>
          <w:b/>
          <w:lang w:val="es-ES"/>
        </w:rPr>
      </w:pPr>
    </w:p>
    <w:p w14:paraId="0B6C96B9" w14:textId="4A5B12F4" w:rsidR="00142C50" w:rsidRPr="00142C50" w:rsidRDefault="00142C50" w:rsidP="00142C50">
      <w:pPr>
        <w:pStyle w:val="ListParagraph"/>
        <w:numPr>
          <w:ilvl w:val="0"/>
          <w:numId w:val="10"/>
        </w:numPr>
        <w:jc w:val="both"/>
        <w:rPr>
          <w:b/>
          <w:lang w:val="es-ES"/>
        </w:rPr>
      </w:pPr>
      <w:r w:rsidRPr="00142C50">
        <w:rPr>
          <w:b/>
          <w:lang w:val="es-ES"/>
        </w:rPr>
        <w:t>Desarrollo.</w:t>
      </w:r>
    </w:p>
    <w:p w14:paraId="1231444F" w14:textId="32C16F91" w:rsidR="00142C50" w:rsidRPr="00142C50" w:rsidRDefault="00776363" w:rsidP="00142C50">
      <w:pPr>
        <w:pStyle w:val="ListParagraph"/>
        <w:numPr>
          <w:ilvl w:val="1"/>
          <w:numId w:val="10"/>
        </w:numPr>
        <w:jc w:val="both"/>
        <w:rPr>
          <w:lang w:val="es-ES"/>
        </w:rPr>
      </w:pPr>
      <w:r>
        <w:rPr>
          <w:lang w:val="es-ES"/>
        </w:rPr>
        <w:t>Capital simbólico específico y valor de exposición</w:t>
      </w:r>
    </w:p>
    <w:p w14:paraId="277C0820" w14:textId="1E9D4373" w:rsidR="002747D6" w:rsidRDefault="00C01FA1" w:rsidP="00633F82">
      <w:pPr>
        <w:jc w:val="both"/>
        <w:rPr>
          <w:lang w:val="es-ES"/>
        </w:rPr>
      </w:pPr>
      <w:r>
        <w:rPr>
          <w:lang w:val="es-ES"/>
        </w:rPr>
        <w:t>E</w:t>
      </w:r>
      <w:r w:rsidR="007E0FD8">
        <w:rPr>
          <w:lang w:val="es-ES"/>
        </w:rPr>
        <w:t>l arte</w:t>
      </w:r>
      <w:r>
        <w:rPr>
          <w:lang w:val="es-ES"/>
        </w:rPr>
        <w:t>, la docencia</w:t>
      </w:r>
      <w:r w:rsidR="00985EBD">
        <w:rPr>
          <w:lang w:val="es-ES"/>
        </w:rPr>
        <w:t>, la investigación</w:t>
      </w:r>
      <w:r w:rsidR="00E9262F">
        <w:rPr>
          <w:lang w:val="es-ES"/>
        </w:rPr>
        <w:t xml:space="preserve"> académica</w:t>
      </w:r>
      <w:r>
        <w:rPr>
          <w:lang w:val="es-ES"/>
        </w:rPr>
        <w:t xml:space="preserve"> </w:t>
      </w:r>
      <w:r w:rsidR="007E0FD8">
        <w:rPr>
          <w:lang w:val="es-ES"/>
        </w:rPr>
        <w:t xml:space="preserve">y la administración son sistemas que </w:t>
      </w:r>
      <w:r>
        <w:rPr>
          <w:lang w:val="es-ES"/>
        </w:rPr>
        <w:t>lidian constantemente con el incremento de la complejidad</w:t>
      </w:r>
      <w:r w:rsidR="003F1E5A">
        <w:rPr>
          <w:lang w:val="es-ES"/>
        </w:rPr>
        <w:t xml:space="preserve">. </w:t>
      </w:r>
      <w:r w:rsidR="00674277">
        <w:rPr>
          <w:lang w:val="es-ES"/>
        </w:rPr>
        <w:t xml:space="preserve">Como indican </w:t>
      </w:r>
      <w:r w:rsidR="003F1E5A">
        <w:rPr>
          <w:lang w:val="es-ES"/>
        </w:rPr>
        <w:t xml:space="preserve">los planteamientos de </w:t>
      </w:r>
      <w:r w:rsidR="00674277">
        <w:rPr>
          <w:lang w:val="es-ES"/>
        </w:rPr>
        <w:t xml:space="preserve">Niklas </w:t>
      </w:r>
      <w:r w:rsidR="003F1E5A">
        <w:rPr>
          <w:lang w:val="es-ES"/>
        </w:rPr>
        <w:t xml:space="preserve">Luhmann, </w:t>
      </w:r>
      <w:r w:rsidR="00814DF1">
        <w:rPr>
          <w:lang w:val="es-ES"/>
        </w:rPr>
        <w:t xml:space="preserve">esto significa que </w:t>
      </w:r>
      <w:r w:rsidR="001272E4">
        <w:rPr>
          <w:lang w:val="es-ES"/>
        </w:rPr>
        <w:t xml:space="preserve">se enfrentan a la situación paradójica de </w:t>
      </w:r>
      <w:r w:rsidR="003F050C">
        <w:rPr>
          <w:lang w:val="es-ES"/>
        </w:rPr>
        <w:t xml:space="preserve">generar más complejidad interna, para poder </w:t>
      </w:r>
      <w:r w:rsidR="00557940">
        <w:rPr>
          <w:lang w:val="es-ES"/>
        </w:rPr>
        <w:t>procesar (y así reducir)</w:t>
      </w:r>
      <w:r w:rsidR="003F050C">
        <w:rPr>
          <w:lang w:val="es-ES"/>
        </w:rPr>
        <w:t xml:space="preserve"> complejidad externa</w:t>
      </w:r>
      <w:r w:rsidR="00475E99">
        <w:rPr>
          <w:lang w:val="es-ES"/>
        </w:rPr>
        <w:t xml:space="preserve"> proveniente del entorno. </w:t>
      </w:r>
      <w:r w:rsidR="002667F2">
        <w:rPr>
          <w:lang w:val="es-ES"/>
        </w:rPr>
        <w:t xml:space="preserve">El capital simbólico específico (CSE) </w:t>
      </w:r>
      <w:r w:rsidR="004B3716">
        <w:rPr>
          <w:lang w:val="es-ES"/>
        </w:rPr>
        <w:t>es de esta manera uno de los activos más valiosos y los cuatro sistemas continuamente lo cultivan, lo aprovechan, lo reproducen y lo hacen circular.</w:t>
      </w:r>
      <w:r w:rsidR="00A4057C">
        <w:rPr>
          <w:lang w:val="es-ES"/>
        </w:rPr>
        <w:t xml:space="preserve"> ¿Qué es el capital simbólico específico (Bourdieu)</w:t>
      </w:r>
    </w:p>
    <w:p w14:paraId="7F39E151" w14:textId="27B44D96" w:rsidR="00A4057C" w:rsidRDefault="00A4057C" w:rsidP="00633F82">
      <w:pPr>
        <w:jc w:val="both"/>
        <w:rPr>
          <w:lang w:val="es-ES"/>
        </w:rPr>
      </w:pPr>
      <w:r>
        <w:rPr>
          <w:lang w:val="es-ES"/>
        </w:rPr>
        <w:t>// Agregar concepto de CSE …</w:t>
      </w:r>
    </w:p>
    <w:p w14:paraId="6CF99F4A" w14:textId="47300B08" w:rsidR="00A4057C" w:rsidRDefault="00D27BDC" w:rsidP="00633F82">
      <w:pPr>
        <w:jc w:val="both"/>
        <w:rPr>
          <w:lang w:val="es-ES"/>
        </w:rPr>
      </w:pPr>
      <w:r>
        <w:rPr>
          <w:lang w:val="es-ES"/>
        </w:rPr>
        <w:t>Por otro lado, l</w:t>
      </w:r>
      <w:r w:rsidR="001C61F0">
        <w:rPr>
          <w:lang w:val="es-ES"/>
        </w:rPr>
        <w:t xml:space="preserve">a cultura </w:t>
      </w:r>
      <w:proofErr w:type="spellStart"/>
      <w:r w:rsidR="001C61F0">
        <w:rPr>
          <w:lang w:val="es-ES"/>
        </w:rPr>
        <w:t>influencer</w:t>
      </w:r>
      <w:proofErr w:type="spellEnd"/>
      <w:r w:rsidR="001C61F0">
        <w:rPr>
          <w:lang w:val="es-ES"/>
        </w:rPr>
        <w:t xml:space="preserve"> es verdaderamente global y lo permea todo a través de enmarcar “lo disponible”, es decir, lo que hay, bajo el sino del valor de exposición (</w:t>
      </w:r>
      <w:proofErr w:type="spellStart"/>
      <w:r w:rsidR="001C61F0">
        <w:rPr>
          <w:lang w:val="es-ES"/>
        </w:rPr>
        <w:t>Ausstellungswert</w:t>
      </w:r>
      <w:proofErr w:type="spellEnd"/>
      <w:r w:rsidR="001C61F0">
        <w:rPr>
          <w:lang w:val="es-ES"/>
        </w:rPr>
        <w:t xml:space="preserve">, </w:t>
      </w:r>
      <w:proofErr w:type="spellStart"/>
      <w:r w:rsidR="001C61F0">
        <w:rPr>
          <w:lang w:val="es-ES"/>
        </w:rPr>
        <w:t>Benjamin</w:t>
      </w:r>
      <w:proofErr w:type="spellEnd"/>
      <w:r w:rsidR="001C61F0">
        <w:rPr>
          <w:lang w:val="es-ES"/>
        </w:rPr>
        <w:t xml:space="preserve">/Agamben). </w:t>
      </w:r>
      <w:r w:rsidR="00E41455">
        <w:rPr>
          <w:lang w:val="es-ES"/>
        </w:rPr>
        <w:t>E</w:t>
      </w:r>
      <w:r w:rsidR="008E2487">
        <w:rPr>
          <w:lang w:val="es-ES"/>
        </w:rPr>
        <w:t>sto significa que en</w:t>
      </w:r>
      <w:r w:rsidR="00E41455">
        <w:rPr>
          <w:lang w:val="es-ES"/>
        </w:rPr>
        <w:t xml:space="preserve"> todos los ámbitos operativos hay CSE que puede transformarse en VE. </w:t>
      </w:r>
    </w:p>
    <w:p w14:paraId="20E644F3" w14:textId="54BA4947" w:rsidR="004F7E0D" w:rsidRPr="003A023A" w:rsidRDefault="00000000" w:rsidP="00633F82">
      <w:pPr>
        <w:jc w:val="both"/>
        <w:rPr>
          <w:lang w:val="es-ES"/>
        </w:rPr>
      </w:pPr>
      <w:r w:rsidRPr="003A023A">
        <w:rPr>
          <w:lang w:val="es-ES"/>
        </w:rPr>
        <w:t xml:space="preserve">En los últimos años, la formación y la práctica profesional en las áreas económico-administrativas se han visto atravesadas por </w:t>
      </w:r>
      <w:r w:rsidR="005F1971">
        <w:rPr>
          <w:lang w:val="es-ES"/>
        </w:rPr>
        <w:t>este</w:t>
      </w:r>
      <w:r w:rsidRPr="003A023A">
        <w:rPr>
          <w:lang w:val="es-ES"/>
        </w:rPr>
        <w:t xml:space="preserve"> cambio que no es solo tecnológico, sino </w:t>
      </w:r>
      <w:r w:rsidR="001D6A0D">
        <w:rPr>
          <w:lang w:val="es-ES"/>
        </w:rPr>
        <w:t xml:space="preserve">también </w:t>
      </w:r>
      <w:r w:rsidRPr="003A023A">
        <w:rPr>
          <w:lang w:val="es-ES"/>
        </w:rPr>
        <w:t>estético y comunicacional: la vida social y organizacional se orienta crecientemente por plataformas que premian la exposición, la frecuencia y la “legibilidad” de los mensajes. En ese entorno, la identidad</w:t>
      </w:r>
      <w:r w:rsidR="00685BF3">
        <w:rPr>
          <w:lang w:val="es-ES"/>
        </w:rPr>
        <w:t xml:space="preserve"> y la </w:t>
      </w:r>
      <w:r w:rsidR="008D07D3">
        <w:rPr>
          <w:lang w:val="es-ES"/>
        </w:rPr>
        <w:t>imagen</w:t>
      </w:r>
      <w:r w:rsidRPr="003A023A">
        <w:rPr>
          <w:lang w:val="es-ES"/>
        </w:rPr>
        <w:t xml:space="preserve"> se gestiona</w:t>
      </w:r>
      <w:r w:rsidR="00685BF3">
        <w:rPr>
          <w:lang w:val="es-ES"/>
        </w:rPr>
        <w:t>n</w:t>
      </w:r>
      <w:r w:rsidRPr="003A023A">
        <w:rPr>
          <w:lang w:val="es-ES"/>
        </w:rPr>
        <w:t xml:space="preserve"> como un artefacto público: el perfil.</w:t>
      </w:r>
    </w:p>
    <w:p w14:paraId="3CEFF472" w14:textId="2830968E" w:rsidR="004F7E0D" w:rsidRDefault="00000000" w:rsidP="00633F82">
      <w:pPr>
        <w:jc w:val="both"/>
        <w:rPr>
          <w:lang w:val="es-ES"/>
        </w:rPr>
      </w:pPr>
      <w:r w:rsidRPr="003A023A">
        <w:rPr>
          <w:lang w:val="es-ES"/>
        </w:rPr>
        <w:t xml:space="preserve">Este capítulo parte de una intuición crítica: la cultura </w:t>
      </w:r>
      <w:proofErr w:type="spellStart"/>
      <w:r w:rsidRPr="003A023A">
        <w:rPr>
          <w:lang w:val="es-ES"/>
        </w:rPr>
        <w:t>influencer</w:t>
      </w:r>
      <w:proofErr w:type="spellEnd"/>
      <w:r w:rsidRPr="003A023A">
        <w:rPr>
          <w:lang w:val="es-ES"/>
        </w:rPr>
        <w:t xml:space="preserve"> </w:t>
      </w:r>
      <w:r w:rsidR="00546B1F">
        <w:rPr>
          <w:lang w:val="es-ES"/>
        </w:rPr>
        <w:t xml:space="preserve">contemporánea </w:t>
      </w:r>
      <w:r w:rsidRPr="003A023A">
        <w:rPr>
          <w:lang w:val="es-ES"/>
        </w:rPr>
        <w:t xml:space="preserve">—amplificada por la IA generativa— funciona como un mecanismo de </w:t>
      </w:r>
      <w:r w:rsidR="00E1301B">
        <w:rPr>
          <w:lang w:val="es-ES"/>
        </w:rPr>
        <w:t>captura</w:t>
      </w:r>
      <w:r w:rsidRPr="003A023A">
        <w:rPr>
          <w:lang w:val="es-ES"/>
        </w:rPr>
        <w:t xml:space="preserve"> que convierte capital simbólico específico (conocimiento experto, autoridad intelectual, singularidad estética, </w:t>
      </w:r>
      <w:r w:rsidR="00F45377">
        <w:rPr>
          <w:lang w:val="es-ES"/>
        </w:rPr>
        <w:t>saber-hacer</w:t>
      </w:r>
      <w:r w:rsidRPr="003A023A">
        <w:rPr>
          <w:lang w:val="es-ES"/>
        </w:rPr>
        <w:t xml:space="preserve">) en capital de visibilidad (métricas, atención, posicionamiento). </w:t>
      </w:r>
      <w:r w:rsidR="00164710">
        <w:rPr>
          <w:lang w:val="es-ES"/>
        </w:rPr>
        <w:t>Esta captura y reorientación</w:t>
      </w:r>
      <w:r w:rsidRPr="003A023A">
        <w:rPr>
          <w:lang w:val="es-ES"/>
        </w:rPr>
        <w:t xml:space="preserve"> no es neutral: </w:t>
      </w:r>
      <w:r w:rsidR="00C548D6">
        <w:rPr>
          <w:lang w:val="es-ES"/>
        </w:rPr>
        <w:t xml:space="preserve">se </w:t>
      </w:r>
      <w:r w:rsidRPr="003A023A">
        <w:rPr>
          <w:lang w:val="es-ES"/>
        </w:rPr>
        <w:t>tiende a favorecer formatos de rápida circulación (hilos, listas, tutoriales, “top 5”, plantillas), lo que empuja a la banalización de contenidos y a la estandarización de estilos.</w:t>
      </w:r>
      <w:r w:rsidR="006E7F34">
        <w:rPr>
          <w:lang w:val="es-ES"/>
        </w:rPr>
        <w:t xml:space="preserve"> Es decir, hacia la “</w:t>
      </w:r>
      <w:proofErr w:type="spellStart"/>
      <w:r w:rsidR="006E7F34">
        <w:rPr>
          <w:lang w:val="es-ES"/>
        </w:rPr>
        <w:t>enshittification</w:t>
      </w:r>
      <w:proofErr w:type="spellEnd"/>
      <w:r w:rsidR="006E7F34">
        <w:rPr>
          <w:lang w:val="es-ES"/>
        </w:rPr>
        <w:t xml:space="preserve">”, como ha sido nombrado este proceso por Cory </w:t>
      </w:r>
      <w:proofErr w:type="spellStart"/>
      <w:r w:rsidR="006E7F34">
        <w:rPr>
          <w:lang w:val="es-ES"/>
        </w:rPr>
        <w:t>Doctorow</w:t>
      </w:r>
      <w:proofErr w:type="spellEnd"/>
      <w:r w:rsidR="006E7F34">
        <w:rPr>
          <w:lang w:val="es-ES"/>
        </w:rPr>
        <w:t>.</w:t>
      </w:r>
    </w:p>
    <w:p w14:paraId="13804514" w14:textId="64C2C062" w:rsidR="00142C50" w:rsidRDefault="00142C50" w:rsidP="00AC7279">
      <w:pPr>
        <w:pStyle w:val="ListParagraph"/>
        <w:numPr>
          <w:ilvl w:val="1"/>
          <w:numId w:val="10"/>
        </w:numPr>
        <w:jc w:val="both"/>
        <w:rPr>
          <w:lang w:val="es-ES"/>
        </w:rPr>
      </w:pPr>
      <w:r w:rsidRPr="00AC7279">
        <w:rPr>
          <w:lang w:val="es-ES"/>
        </w:rPr>
        <w:t>El surgimiento de productos culturales como “</w:t>
      </w:r>
      <w:proofErr w:type="spellStart"/>
      <w:r w:rsidRPr="00AC7279">
        <w:rPr>
          <w:lang w:val="es-ES"/>
        </w:rPr>
        <w:t>Skibidi</w:t>
      </w:r>
      <w:proofErr w:type="spellEnd"/>
      <w:r w:rsidRPr="00AC7279">
        <w:rPr>
          <w:lang w:val="es-ES"/>
        </w:rPr>
        <w:t>” y “</w:t>
      </w:r>
      <w:proofErr w:type="spellStart"/>
      <w:r w:rsidRPr="00AC7279">
        <w:rPr>
          <w:lang w:val="es-ES"/>
        </w:rPr>
        <w:t>Brainrot</w:t>
      </w:r>
      <w:proofErr w:type="spellEnd"/>
      <w:r w:rsidRPr="00AC7279">
        <w:rPr>
          <w:lang w:val="es-ES"/>
        </w:rPr>
        <w:t>”</w:t>
      </w:r>
    </w:p>
    <w:p w14:paraId="21EC4549" w14:textId="1B73E01C" w:rsidR="00093073" w:rsidRDefault="00093073" w:rsidP="00093073">
      <w:pPr>
        <w:jc w:val="both"/>
        <w:rPr>
          <w:lang w:val="es-ES"/>
        </w:rPr>
      </w:pPr>
      <w:r>
        <w:rPr>
          <w:lang w:val="es-ES"/>
        </w:rPr>
        <w:t xml:space="preserve">//¿Qué es </w:t>
      </w:r>
      <w:proofErr w:type="spellStart"/>
      <w:r>
        <w:rPr>
          <w:lang w:val="es-ES"/>
        </w:rPr>
        <w:t>Skibidi</w:t>
      </w:r>
      <w:proofErr w:type="spellEnd"/>
      <w:r>
        <w:rPr>
          <w:lang w:val="es-ES"/>
        </w:rPr>
        <w:t xml:space="preserve"> </w:t>
      </w:r>
      <w:proofErr w:type="spellStart"/>
      <w:r>
        <w:rPr>
          <w:lang w:val="es-ES"/>
        </w:rPr>
        <w:t>Toilet</w:t>
      </w:r>
      <w:proofErr w:type="spellEnd"/>
      <w:r>
        <w:rPr>
          <w:lang w:val="es-ES"/>
        </w:rPr>
        <w:t>?</w:t>
      </w:r>
    </w:p>
    <w:p w14:paraId="1C7EE9F9" w14:textId="5CBBA534" w:rsidR="00093073" w:rsidRPr="00093073" w:rsidRDefault="00093073" w:rsidP="00093073">
      <w:pPr>
        <w:jc w:val="both"/>
        <w:rPr>
          <w:lang w:val="es-ES"/>
        </w:rPr>
      </w:pPr>
      <w:r>
        <w:rPr>
          <w:lang w:val="es-ES"/>
        </w:rPr>
        <w:t xml:space="preserve">//¿Qué es </w:t>
      </w:r>
      <w:proofErr w:type="spellStart"/>
      <w:r>
        <w:rPr>
          <w:lang w:val="es-ES"/>
        </w:rPr>
        <w:t>Brainrot</w:t>
      </w:r>
      <w:proofErr w:type="spellEnd"/>
      <w:r>
        <w:rPr>
          <w:lang w:val="es-ES"/>
        </w:rPr>
        <w:t>?</w:t>
      </w:r>
    </w:p>
    <w:p w14:paraId="5C818EE8" w14:textId="003A48CF" w:rsidR="004F7E0D" w:rsidRPr="003A023A" w:rsidRDefault="00093073" w:rsidP="00633F82">
      <w:pPr>
        <w:jc w:val="both"/>
        <w:rPr>
          <w:lang w:val="es-ES"/>
        </w:rPr>
      </w:pPr>
      <w:r>
        <w:rPr>
          <w:lang w:val="es-ES"/>
        </w:rPr>
        <w:t xml:space="preserve">Podemos decir que </w:t>
      </w:r>
      <w:r w:rsidR="00000000" w:rsidRPr="003A023A">
        <w:rPr>
          <w:lang w:val="es-ES"/>
        </w:rPr>
        <w:t>el</w:t>
      </w:r>
      <w:r w:rsidR="007C094C">
        <w:rPr>
          <w:lang w:val="es-ES"/>
        </w:rPr>
        <w:t xml:space="preserve"> actual</w:t>
      </w:r>
      <w:r w:rsidR="00000000" w:rsidRPr="003A023A">
        <w:rPr>
          <w:lang w:val="es-ES"/>
        </w:rPr>
        <w:t xml:space="preserve"> triunfo de Dadá se cancela en su propio valor de exposición. </w:t>
      </w:r>
      <w:r w:rsidR="003A0F23">
        <w:rPr>
          <w:lang w:val="es-ES"/>
        </w:rPr>
        <w:t>Esta</w:t>
      </w:r>
      <w:r w:rsidR="00000000" w:rsidRPr="003A023A">
        <w:rPr>
          <w:lang w:val="es-ES"/>
        </w:rPr>
        <w:t xml:space="preserve"> provocación consiste en observar cómo la </w:t>
      </w:r>
      <w:r w:rsidR="0031750B">
        <w:rPr>
          <w:lang w:val="es-ES"/>
        </w:rPr>
        <w:t xml:space="preserve">segunda </w:t>
      </w:r>
      <w:r w:rsidR="00000000" w:rsidRPr="003A023A">
        <w:rPr>
          <w:lang w:val="es-ES"/>
        </w:rPr>
        <w:t>victoria histórica de la vanguardia</w:t>
      </w:r>
      <w:r w:rsidR="0031750B">
        <w:rPr>
          <w:lang w:val="es-ES"/>
        </w:rPr>
        <w:t xml:space="preserve"> del siglo XX</w:t>
      </w:r>
      <w:r w:rsidR="00000000" w:rsidRPr="003A023A">
        <w:rPr>
          <w:lang w:val="es-ES"/>
        </w:rPr>
        <w:t xml:space="preserve"> </w:t>
      </w:r>
      <w:r w:rsidR="0031750B" w:rsidRPr="003A023A">
        <w:rPr>
          <w:lang w:val="es-ES"/>
        </w:rPr>
        <w:t xml:space="preserve">puede coincidir </w:t>
      </w:r>
      <w:r w:rsidR="0031750B">
        <w:rPr>
          <w:lang w:val="es-ES"/>
        </w:rPr>
        <w:t xml:space="preserve">nuevamente </w:t>
      </w:r>
      <w:r w:rsidR="0031750B" w:rsidRPr="003A023A">
        <w:rPr>
          <w:lang w:val="es-ES"/>
        </w:rPr>
        <w:t xml:space="preserve">con la pérdida de su potencia </w:t>
      </w:r>
      <w:r w:rsidR="0031750B">
        <w:rPr>
          <w:lang w:val="es-ES"/>
        </w:rPr>
        <w:t xml:space="preserve">crítica </w:t>
      </w:r>
      <w:r w:rsidR="0031750B" w:rsidRPr="003A023A">
        <w:rPr>
          <w:lang w:val="es-ES"/>
        </w:rPr>
        <w:t>negativa</w:t>
      </w:r>
      <w:r w:rsidR="0031750B">
        <w:rPr>
          <w:lang w:val="es-ES"/>
        </w:rPr>
        <w:t xml:space="preserve"> (no afirmativa del orden existente</w:t>
      </w:r>
      <w:r w:rsidR="002F3971">
        <w:rPr>
          <w:lang w:val="es-ES"/>
        </w:rPr>
        <w:t>, // Marcuse</w:t>
      </w:r>
      <w:r w:rsidR="0031750B">
        <w:rPr>
          <w:lang w:val="es-ES"/>
        </w:rPr>
        <w:t>). La primera “victoria” fue</w:t>
      </w:r>
      <w:r w:rsidR="0031750B" w:rsidRPr="003A023A">
        <w:rPr>
          <w:lang w:val="es-ES"/>
        </w:rPr>
        <w:t xml:space="preserve"> </w:t>
      </w:r>
      <w:r w:rsidR="00000000" w:rsidRPr="003A023A">
        <w:rPr>
          <w:lang w:val="es-ES"/>
        </w:rPr>
        <w:t xml:space="preserve">su entrada al museo, al mercado y al archivo cultural. En la época del “contenido”, el gesto intempestivo es rápidamente reempaquetado como estética replicable: se vuelve </w:t>
      </w:r>
      <w:r w:rsidR="00510FDA">
        <w:rPr>
          <w:lang w:val="es-ES"/>
        </w:rPr>
        <w:t xml:space="preserve">un </w:t>
      </w:r>
      <w:r w:rsidR="00000000" w:rsidRPr="003A023A">
        <w:rPr>
          <w:lang w:val="es-ES"/>
        </w:rPr>
        <w:t>“skin”</w:t>
      </w:r>
      <w:r w:rsidR="00510FDA">
        <w:rPr>
          <w:lang w:val="es-ES"/>
        </w:rPr>
        <w:t xml:space="preserve"> </w:t>
      </w:r>
      <w:r w:rsidR="00CC4AD9">
        <w:rPr>
          <w:lang w:val="es-ES"/>
        </w:rPr>
        <w:t xml:space="preserve">o una plantilla </w:t>
      </w:r>
      <w:r w:rsidR="00000000" w:rsidRPr="003A023A">
        <w:rPr>
          <w:lang w:val="es-ES"/>
        </w:rPr>
        <w:t>intercambiable.</w:t>
      </w:r>
    </w:p>
    <w:p w14:paraId="71543DC9" w14:textId="0C9B6078" w:rsidR="004F7E0D" w:rsidRPr="003A023A" w:rsidRDefault="00000000" w:rsidP="00633F82">
      <w:pPr>
        <w:jc w:val="both"/>
        <w:rPr>
          <w:lang w:val="es-ES"/>
        </w:rPr>
      </w:pPr>
      <w:r w:rsidRPr="003A023A">
        <w:rPr>
          <w:lang w:val="es-ES"/>
        </w:rPr>
        <w:lastRenderedPageBreak/>
        <w:t xml:space="preserve">El objetivo del capítulo es doble: (a) proponer una lectura conceptual de esta neutralización, articulando a </w:t>
      </w:r>
      <w:proofErr w:type="spellStart"/>
      <w:r w:rsidRPr="003A023A">
        <w:rPr>
          <w:lang w:val="es-ES"/>
        </w:rPr>
        <w:t>Benjamin</w:t>
      </w:r>
      <w:proofErr w:type="spellEnd"/>
      <w:r w:rsidRPr="003A023A">
        <w:rPr>
          <w:lang w:val="es-ES"/>
        </w:rPr>
        <w:t xml:space="preserve"> (valor de exposición), Goffman</w:t>
      </w:r>
      <w:r w:rsidR="00B1205F">
        <w:rPr>
          <w:lang w:val="es-ES"/>
        </w:rPr>
        <w:t xml:space="preserve"> (</w:t>
      </w:r>
      <w:proofErr w:type="spellStart"/>
      <w:r w:rsidR="00B1205F">
        <w:rPr>
          <w:lang w:val="es-ES"/>
        </w:rPr>
        <w:t>frames</w:t>
      </w:r>
      <w:proofErr w:type="spellEnd"/>
      <w:r w:rsidR="00B1205F">
        <w:rPr>
          <w:lang w:val="es-ES"/>
        </w:rPr>
        <w:t>)</w:t>
      </w:r>
      <w:r w:rsidRPr="003A023A">
        <w:rPr>
          <w:lang w:val="es-ES"/>
        </w:rPr>
        <w:t xml:space="preserve"> y Luhmann (</w:t>
      </w:r>
      <w:r w:rsidR="00B1205F">
        <w:rPr>
          <w:lang w:val="es-ES"/>
        </w:rPr>
        <w:t>organización de</w:t>
      </w:r>
      <w:r w:rsidRPr="003A023A">
        <w:rPr>
          <w:lang w:val="es-ES"/>
        </w:rPr>
        <w:t xml:space="preserve"> expectativas), y </w:t>
      </w:r>
      <w:proofErr w:type="spellStart"/>
      <w:r w:rsidRPr="003A023A">
        <w:rPr>
          <w:lang w:val="es-ES"/>
        </w:rPr>
        <w:t>Moeller</w:t>
      </w:r>
      <w:proofErr w:type="spellEnd"/>
      <w:r w:rsidRPr="003A023A">
        <w:rPr>
          <w:lang w:val="es-ES"/>
        </w:rPr>
        <w:t xml:space="preserve"> y </w:t>
      </w:r>
      <w:proofErr w:type="spellStart"/>
      <w:r w:rsidRPr="003A023A">
        <w:rPr>
          <w:lang w:val="es-ES"/>
        </w:rPr>
        <w:t>D’Ambrosio</w:t>
      </w:r>
      <w:proofErr w:type="spellEnd"/>
      <w:r w:rsidRPr="003A023A">
        <w:rPr>
          <w:lang w:val="es-ES"/>
        </w:rPr>
        <w:t xml:space="preserve"> (</w:t>
      </w:r>
      <w:proofErr w:type="spellStart"/>
      <w:r w:rsidRPr="003A023A">
        <w:rPr>
          <w:lang w:val="es-ES"/>
        </w:rPr>
        <w:t>profilicidad</w:t>
      </w:r>
      <w:proofErr w:type="spellEnd"/>
      <w:r w:rsidRPr="003A023A">
        <w:rPr>
          <w:lang w:val="es-ES"/>
        </w:rPr>
        <w:t>); y (b) situar sus implicaciones en la educación económico-administrativa, donde las competencias profesionales se reconfiguran bajo regímenes de exposición (marca personal, comunicación estratégica, empleabilidad, reputación organizacional).</w:t>
      </w:r>
    </w:p>
    <w:p w14:paraId="47D32A40" w14:textId="77777777" w:rsidR="004F7E0D" w:rsidRPr="003A023A" w:rsidRDefault="00000000" w:rsidP="00633F82">
      <w:pPr>
        <w:jc w:val="both"/>
        <w:rPr>
          <w:lang w:val="es-ES"/>
        </w:rPr>
      </w:pPr>
      <w:r w:rsidRPr="003A023A">
        <w:rPr>
          <w:lang w:val="es-ES"/>
        </w:rPr>
        <w:t>La exposición se organiza en cinco apartados. Tras esta introducción, se presenta el marco conceptual. Luego se desarrolla el argumento en subsecciones: de la obra al contenido; la IA como industrialización del remix; los marcos institucionales y mediáticos; y el paso del valor de exposición al perfil. Finalmente, se proponen implicaciones para docencia y práctica profesional, y se cierra con conclusiones.</w:t>
      </w:r>
    </w:p>
    <w:p w14:paraId="688EC23B" w14:textId="77777777" w:rsidR="004F7E0D" w:rsidRPr="003A023A" w:rsidRDefault="00000000" w:rsidP="00633F82">
      <w:pPr>
        <w:jc w:val="both"/>
        <w:rPr>
          <w:lang w:val="es-ES"/>
        </w:rPr>
      </w:pPr>
      <w:r w:rsidRPr="003A023A">
        <w:rPr>
          <w:lang w:val="es-ES"/>
        </w:rPr>
        <w:t xml:space="preserve">El argumento del capítulo se apoya en cuatro núcleos conceptuales que se entrecruzan: capital simbólico, valor de exposición, marcos de interpretación y </w:t>
      </w:r>
      <w:proofErr w:type="spellStart"/>
      <w:r w:rsidRPr="003A023A">
        <w:rPr>
          <w:lang w:val="es-ES"/>
        </w:rPr>
        <w:t>profilicidad</w:t>
      </w:r>
      <w:proofErr w:type="spellEnd"/>
      <w:r w:rsidRPr="003A023A">
        <w:rPr>
          <w:lang w:val="es-ES"/>
        </w:rPr>
        <w:t>.</w:t>
      </w:r>
    </w:p>
    <w:p w14:paraId="47BE457F" w14:textId="77777777" w:rsidR="004F7E0D" w:rsidRPr="003A023A" w:rsidRDefault="00000000" w:rsidP="00633F82">
      <w:pPr>
        <w:jc w:val="both"/>
        <w:rPr>
          <w:lang w:val="es-ES"/>
        </w:rPr>
      </w:pPr>
      <w:r w:rsidRPr="003A023A">
        <w:rPr>
          <w:lang w:val="es-ES"/>
        </w:rPr>
        <w:t>Capital simbólico. En un sentido amplio, el capital simbólico refiere a recursos de reconocimiento social (prestigio, autoridad, legitimidad) que se adquieren en campos específicos mediante trayectorias, competencias y validaciones. En el caso del arte y la crítica, su acumulación implica una economía particular de consagración (instituciones, curadurías, crítica, públicos especializados). En educación y en administración, se expresa como credenciales, reputación y confianza.</w:t>
      </w:r>
    </w:p>
    <w:p w14:paraId="697D00D6" w14:textId="77777777" w:rsidR="004F7E0D" w:rsidRPr="003A023A" w:rsidRDefault="00000000" w:rsidP="00633F82">
      <w:pPr>
        <w:jc w:val="both"/>
        <w:rPr>
          <w:lang w:val="es-ES"/>
        </w:rPr>
      </w:pPr>
      <w:r w:rsidRPr="003A023A">
        <w:rPr>
          <w:lang w:val="es-ES"/>
        </w:rPr>
        <w:t xml:space="preserve">Valor de exposición. Siguiendo la tradición crítica inaugurada por Walter </w:t>
      </w:r>
      <w:proofErr w:type="spellStart"/>
      <w:r w:rsidRPr="003A023A">
        <w:rPr>
          <w:lang w:val="es-ES"/>
        </w:rPr>
        <w:t>Benjamin</w:t>
      </w:r>
      <w:proofErr w:type="spellEnd"/>
      <w:r w:rsidRPr="003A023A">
        <w:rPr>
          <w:lang w:val="es-ES"/>
        </w:rPr>
        <w:t>, la modernidad técnica no solo transforma los soportes de producción cultural; reconfigura el modo en que las obras “circulan” y, por tanto, el modo en que cuentan socialmente. La noción de valor de exposición remite al desplazamiento desde formas de valor ancladas en ritual, tradición o aura hacia formas de valor ligadas a la visibilidad, la reproducción y la disponibilidad pública.</w:t>
      </w:r>
    </w:p>
    <w:p w14:paraId="7B95FA90" w14:textId="5CE3A671" w:rsidR="004F7E0D" w:rsidRPr="003A023A" w:rsidRDefault="00000000" w:rsidP="00633F82">
      <w:pPr>
        <w:jc w:val="both"/>
        <w:rPr>
          <w:lang w:val="es-ES"/>
        </w:rPr>
      </w:pPr>
      <w:r w:rsidRPr="003A023A">
        <w:rPr>
          <w:lang w:val="es-ES"/>
        </w:rPr>
        <w:t>Marcos (</w:t>
      </w:r>
      <w:proofErr w:type="spellStart"/>
      <w:r w:rsidRPr="003A023A">
        <w:rPr>
          <w:lang w:val="es-ES"/>
        </w:rPr>
        <w:t>frames</w:t>
      </w:r>
      <w:proofErr w:type="spellEnd"/>
      <w:r w:rsidRPr="003A023A">
        <w:rPr>
          <w:lang w:val="es-ES"/>
        </w:rPr>
        <w:t>) e institucionalidad. Erving Goffman mostró que la experiencia social se organiza mediante marcos que responden a la pregunta «¿qué está pasando aquí?»</w:t>
      </w:r>
      <w:r w:rsidR="00AB052F">
        <w:rPr>
          <w:lang w:val="es-ES"/>
        </w:rPr>
        <w:t xml:space="preserve"> (pregunta etnográfica par </w:t>
      </w:r>
      <w:proofErr w:type="spellStart"/>
      <w:r w:rsidR="00AB052F">
        <w:rPr>
          <w:lang w:val="es-ES"/>
        </w:rPr>
        <w:t>excellence</w:t>
      </w:r>
      <w:proofErr w:type="spellEnd"/>
      <w:r w:rsidR="00AB052F">
        <w:rPr>
          <w:lang w:val="es-ES"/>
        </w:rPr>
        <w:t>)</w:t>
      </w:r>
      <w:r w:rsidRPr="003A023A">
        <w:rPr>
          <w:lang w:val="es-ES"/>
        </w:rPr>
        <w:t xml:space="preserve">. Los marcos no son meras interpretaciones individuales: se apoyan en convenciones y arreglos institucionales. En diálogo, Niklas Luhmann permite observar cómo los sistemas sociales estabilizan expectativas y reducen complejidad mediante estructuras de comunicación. En este registro, las plataformas pueden leerse como </w:t>
      </w:r>
      <w:proofErr w:type="spellStart"/>
      <w:r w:rsidR="00EA3797">
        <w:rPr>
          <w:lang w:val="es-ES"/>
        </w:rPr>
        <w:t>proto</w:t>
      </w:r>
      <w:r w:rsidRPr="003A023A">
        <w:rPr>
          <w:lang w:val="es-ES"/>
        </w:rPr>
        <w:t>estructuras</w:t>
      </w:r>
      <w:proofErr w:type="spellEnd"/>
      <w:r w:rsidRPr="003A023A">
        <w:rPr>
          <w:lang w:val="es-ES"/>
        </w:rPr>
        <w:t xml:space="preserve"> de encuadre: no solo distribuyen mensajes, también predisponen lo que puede ser atendido y reconocido.</w:t>
      </w:r>
    </w:p>
    <w:p w14:paraId="43BA6AF0" w14:textId="77777777" w:rsidR="004F7E0D" w:rsidRPr="003A023A" w:rsidRDefault="00000000" w:rsidP="00633F82">
      <w:pPr>
        <w:jc w:val="both"/>
        <w:rPr>
          <w:lang w:val="es-ES"/>
        </w:rPr>
      </w:pPr>
      <w:proofErr w:type="spellStart"/>
      <w:r w:rsidRPr="003A023A">
        <w:rPr>
          <w:lang w:val="es-ES"/>
        </w:rPr>
        <w:t>Profilicidad</w:t>
      </w:r>
      <w:proofErr w:type="spellEnd"/>
      <w:r w:rsidRPr="003A023A">
        <w:rPr>
          <w:lang w:val="es-ES"/>
        </w:rPr>
        <w:t xml:space="preserve"> / </w:t>
      </w:r>
      <w:proofErr w:type="spellStart"/>
      <w:r w:rsidRPr="003A023A">
        <w:rPr>
          <w:lang w:val="es-ES"/>
        </w:rPr>
        <w:t>profilabilidad</w:t>
      </w:r>
      <w:proofErr w:type="spellEnd"/>
      <w:r w:rsidRPr="003A023A">
        <w:rPr>
          <w:lang w:val="es-ES"/>
        </w:rPr>
        <w:t xml:space="preserve">. </w:t>
      </w:r>
      <w:proofErr w:type="spellStart"/>
      <w:r w:rsidRPr="003A023A">
        <w:rPr>
          <w:lang w:val="es-ES"/>
        </w:rPr>
        <w:t>Moeller</w:t>
      </w:r>
      <w:proofErr w:type="spellEnd"/>
      <w:r w:rsidRPr="003A023A">
        <w:rPr>
          <w:lang w:val="es-ES"/>
        </w:rPr>
        <w:t xml:space="preserve"> y </w:t>
      </w:r>
      <w:proofErr w:type="spellStart"/>
      <w:r w:rsidRPr="003A023A">
        <w:rPr>
          <w:lang w:val="es-ES"/>
        </w:rPr>
        <w:t>D’Ambrosio</w:t>
      </w:r>
      <w:proofErr w:type="spellEnd"/>
      <w:r w:rsidRPr="003A023A">
        <w:rPr>
          <w:lang w:val="es-ES"/>
        </w:rPr>
        <w:t xml:space="preserve"> proponen que, en el presente, la identidad se desplaza desde el ideal de autenticidad hacia la lógica del perfil: lo valioso ya no es “ser verdadero”, sino ser evaluable y validable en público. En este capítulo, se usa </w:t>
      </w:r>
      <w:proofErr w:type="spellStart"/>
      <w:r w:rsidRPr="003A023A">
        <w:rPr>
          <w:lang w:val="es-ES"/>
        </w:rPr>
        <w:t>profilicidad</w:t>
      </w:r>
      <w:proofErr w:type="spellEnd"/>
      <w:r w:rsidRPr="003A023A">
        <w:rPr>
          <w:lang w:val="es-ES"/>
        </w:rPr>
        <w:t xml:space="preserve"> para nombrar el régimen cultural de identidad-perfil, y </w:t>
      </w:r>
      <w:proofErr w:type="spellStart"/>
      <w:r w:rsidRPr="003A023A">
        <w:rPr>
          <w:lang w:val="es-ES"/>
        </w:rPr>
        <w:t>profilabilidad</w:t>
      </w:r>
      <w:proofErr w:type="spellEnd"/>
      <w:r w:rsidRPr="003A023A">
        <w:rPr>
          <w:lang w:val="es-ES"/>
        </w:rPr>
        <w:t xml:space="preserve"> para describir su lado operativo: </w:t>
      </w:r>
      <w:r w:rsidRPr="003A023A">
        <w:rPr>
          <w:lang w:val="es-ES"/>
        </w:rPr>
        <w:lastRenderedPageBreak/>
        <w:t>la capacidad de una persona (o institución) de volverse legible, comparable y gobernable a través de su perfil.</w:t>
      </w:r>
    </w:p>
    <w:p w14:paraId="61A53FFE" w14:textId="77777777" w:rsidR="004F7E0D" w:rsidRPr="003A023A" w:rsidRDefault="00000000" w:rsidP="00633F82">
      <w:pPr>
        <w:jc w:val="both"/>
        <w:rPr>
          <w:lang w:val="es-ES"/>
        </w:rPr>
      </w:pPr>
      <w:r w:rsidRPr="003A023A">
        <w:rPr>
          <w:lang w:val="es-ES"/>
        </w:rPr>
        <w:t>Estos conceptos se articulan en una hipótesis: cuando el valor de exposición se vuelve dominante en la producción cultural y profesional, los marcos institucionales se reorientan hacia la perfilación. La exposición deja de ser un medio entre otros y se convierte en un criterio transversal de validación.</w:t>
      </w:r>
    </w:p>
    <w:p w14:paraId="3A4AD824" w14:textId="45869C4B" w:rsidR="004F7E0D" w:rsidRPr="009F2B15" w:rsidRDefault="00000000" w:rsidP="009F2B15">
      <w:pPr>
        <w:pStyle w:val="ListParagraph"/>
        <w:numPr>
          <w:ilvl w:val="1"/>
          <w:numId w:val="10"/>
        </w:numPr>
        <w:jc w:val="both"/>
        <w:rPr>
          <w:lang w:val="es-ES"/>
        </w:rPr>
      </w:pPr>
      <w:r w:rsidRPr="009F2B15">
        <w:rPr>
          <w:b/>
          <w:lang w:val="es-ES"/>
        </w:rPr>
        <w:t>Del gesto a la métrica: cuando la vanguardia se vuelve formato</w:t>
      </w:r>
    </w:p>
    <w:p w14:paraId="6452BF3B" w14:textId="43A35F85" w:rsidR="004F7E0D" w:rsidRPr="003A023A" w:rsidRDefault="00000000" w:rsidP="00633F82">
      <w:pPr>
        <w:jc w:val="both"/>
        <w:rPr>
          <w:lang w:val="es-ES"/>
        </w:rPr>
      </w:pPr>
      <w:r w:rsidRPr="003A023A">
        <w:rPr>
          <w:lang w:val="es-ES"/>
        </w:rPr>
        <w:t>Dadá suele recordarse como un gesto de negación: un rechazo performativo a los códigos del arte, a la solemnidad institucional y a la pretensión de sentido estable.</w:t>
      </w:r>
      <w:r w:rsidR="004A41A0">
        <w:rPr>
          <w:lang w:val="es-ES"/>
        </w:rPr>
        <w:t xml:space="preserve"> Basta pensar en el objeto per se: el urinal de Marcel Duchamp, que en la actualidad ha dado mucho más de qué hablar, gracias a nuevas investigaciones.</w:t>
      </w:r>
      <w:r w:rsidRPr="003A023A">
        <w:rPr>
          <w:lang w:val="es-ES"/>
        </w:rPr>
        <w:t xml:space="preserve"> Sin embargo, su historia también es la historia de su absorción. El gesto que pretendía romper el marco se convirtió en un repertorio de recursos estéticos (collage, </w:t>
      </w:r>
      <w:proofErr w:type="spellStart"/>
      <w:r w:rsidRPr="003A023A">
        <w:rPr>
          <w:lang w:val="es-ES"/>
        </w:rPr>
        <w:t>ready-made</w:t>
      </w:r>
      <w:proofErr w:type="spellEnd"/>
      <w:r w:rsidRPr="003A023A">
        <w:rPr>
          <w:lang w:val="es-ES"/>
        </w:rPr>
        <w:t>, azar, ironía) disponibles para ser citados, enseñados y comercializados.</w:t>
      </w:r>
    </w:p>
    <w:p w14:paraId="557F38B0" w14:textId="4EA3E23D" w:rsidR="004F7E0D" w:rsidRPr="003A023A" w:rsidRDefault="00000000" w:rsidP="00633F82">
      <w:pPr>
        <w:jc w:val="both"/>
        <w:rPr>
          <w:lang w:val="es-ES"/>
        </w:rPr>
      </w:pPr>
      <w:r w:rsidRPr="003A023A">
        <w:rPr>
          <w:lang w:val="es-ES"/>
        </w:rPr>
        <w:t>La paradoja se vuelve más visible en la era de plataformas: e</w:t>
      </w:r>
      <w:r w:rsidR="00B76289">
        <w:rPr>
          <w:lang w:val="es-ES"/>
        </w:rPr>
        <w:t>ste</w:t>
      </w:r>
      <w:r w:rsidRPr="003A023A">
        <w:rPr>
          <w:lang w:val="es-ES"/>
        </w:rPr>
        <w:t xml:space="preserve"> “gesto”</w:t>
      </w:r>
      <w:r w:rsidR="00B76289">
        <w:rPr>
          <w:lang w:val="es-ES"/>
        </w:rPr>
        <w:t xml:space="preserve"> propio del dadaísmo</w:t>
      </w:r>
      <w:r w:rsidRPr="003A023A">
        <w:rPr>
          <w:lang w:val="es-ES"/>
        </w:rPr>
        <w:t xml:space="preserve"> se</w:t>
      </w:r>
      <w:r w:rsidR="00E84C08">
        <w:rPr>
          <w:lang w:val="es-ES"/>
        </w:rPr>
        <w:t xml:space="preserve"> utiliza, se programa y se</w:t>
      </w:r>
      <w:r w:rsidRPr="003A023A">
        <w:rPr>
          <w:lang w:val="es-ES"/>
        </w:rPr>
        <w:t xml:space="preserve"> traduce a “contenido”. El contenido requiere formato, periodicidad y legibilidad rápida. De ahí que la negatividad crítica tienda a separarse de su conflicto original y quede como forma. El resultado es un extrañamiento sin fricción: una estética de ruptura que ya no rompe</w:t>
      </w:r>
      <w:r w:rsidR="009C2C26">
        <w:rPr>
          <w:lang w:val="es-ES"/>
        </w:rPr>
        <w:t xml:space="preserve"> la doxa ni mucho menos los </w:t>
      </w:r>
      <w:proofErr w:type="spellStart"/>
      <w:r w:rsidR="009C2C26">
        <w:rPr>
          <w:lang w:val="es-ES"/>
        </w:rPr>
        <w:t>framings</w:t>
      </w:r>
      <w:proofErr w:type="spellEnd"/>
      <w:r w:rsidR="009C2C26">
        <w:rPr>
          <w:lang w:val="es-ES"/>
        </w:rPr>
        <w:t xml:space="preserve"> que capturan la potencia de comprensión de las psiques.</w:t>
      </w:r>
    </w:p>
    <w:p w14:paraId="0CAE9441" w14:textId="2366561A" w:rsidR="004F7E0D" w:rsidRDefault="001553CE" w:rsidP="00633F82">
      <w:pPr>
        <w:jc w:val="both"/>
        <w:rPr>
          <w:lang w:val="es-ES"/>
        </w:rPr>
      </w:pPr>
      <w:r>
        <w:rPr>
          <w:lang w:val="es-ES"/>
        </w:rPr>
        <w:t>Dadá</w:t>
      </w:r>
      <w:r w:rsidRPr="003A023A">
        <w:rPr>
          <w:lang w:val="es-ES"/>
        </w:rPr>
        <w:t xml:space="preserve"> </w:t>
      </w:r>
      <w:r>
        <w:rPr>
          <w:lang w:val="es-ES"/>
        </w:rPr>
        <w:t>t</w:t>
      </w:r>
      <w:r w:rsidRPr="003A023A">
        <w:rPr>
          <w:lang w:val="es-ES"/>
        </w:rPr>
        <w:t>riunfa porque se vuelve ubicuo, citable y consumible; se cancela porque esa ubicuidad reduce su potencia crítica a un estilo. La cancelación no es censura, sino neutralización por circulación.</w:t>
      </w:r>
    </w:p>
    <w:p w14:paraId="6C36EF88" w14:textId="622B75E2" w:rsidR="0077148C" w:rsidRPr="003A023A" w:rsidRDefault="0077148C" w:rsidP="00633F82">
      <w:pPr>
        <w:jc w:val="both"/>
        <w:rPr>
          <w:lang w:val="es-ES"/>
        </w:rPr>
      </w:pPr>
      <w:r>
        <w:rPr>
          <w:lang w:val="es-ES"/>
        </w:rPr>
        <w:t xml:space="preserve">// Incluir lo de </w:t>
      </w:r>
      <w:proofErr w:type="spellStart"/>
      <w:r>
        <w:rPr>
          <w:lang w:val="es-ES"/>
        </w:rPr>
        <w:t>brainrot</w:t>
      </w:r>
      <w:proofErr w:type="spellEnd"/>
      <w:r>
        <w:rPr>
          <w:lang w:val="es-ES"/>
        </w:rPr>
        <w:t>…</w:t>
      </w:r>
    </w:p>
    <w:p w14:paraId="207A2CB3" w14:textId="43D02911" w:rsidR="004F7E0D" w:rsidRPr="009F2B15" w:rsidRDefault="00000000" w:rsidP="009F2B15">
      <w:pPr>
        <w:pStyle w:val="ListParagraph"/>
        <w:numPr>
          <w:ilvl w:val="1"/>
          <w:numId w:val="10"/>
        </w:numPr>
        <w:jc w:val="both"/>
        <w:rPr>
          <w:lang w:val="es-ES"/>
        </w:rPr>
      </w:pPr>
      <w:r w:rsidRPr="009F2B15">
        <w:rPr>
          <w:b/>
          <w:lang w:val="es-ES"/>
        </w:rPr>
        <w:t xml:space="preserve"> IA generativa y la industrialización del remix</w:t>
      </w:r>
    </w:p>
    <w:p w14:paraId="0A119384" w14:textId="0EEC3DAC" w:rsidR="004F7E0D" w:rsidRPr="003A023A" w:rsidRDefault="00000000" w:rsidP="00633F82">
      <w:pPr>
        <w:jc w:val="both"/>
        <w:rPr>
          <w:lang w:val="es-ES"/>
        </w:rPr>
      </w:pPr>
      <w:r w:rsidRPr="003A023A">
        <w:rPr>
          <w:lang w:val="es-ES"/>
        </w:rPr>
        <w:t xml:space="preserve">La inteligencia artificial generativa acelera esta dinámica. Si las plataformas ya tendían a convertir ideas en piezas </w:t>
      </w:r>
      <w:proofErr w:type="spellStart"/>
      <w:r w:rsidRPr="003A023A">
        <w:rPr>
          <w:lang w:val="es-ES"/>
        </w:rPr>
        <w:t>serializables</w:t>
      </w:r>
      <w:proofErr w:type="spellEnd"/>
      <w:r w:rsidRPr="003A023A">
        <w:rPr>
          <w:lang w:val="es-ES"/>
        </w:rPr>
        <w:t xml:space="preserve">, la IA incrementa la capacidad de producir versiones: resúmenes, hilos, imágenes, guiones, presentaciones, “clones” de estilo. La creatividad se vuelve, en parte, una operación de plantillas: </w:t>
      </w:r>
      <w:r w:rsidR="008D27EF">
        <w:rPr>
          <w:lang w:val="es-ES"/>
        </w:rPr>
        <w:t>copiar e iterar</w:t>
      </w:r>
      <w:r w:rsidRPr="003A023A">
        <w:rPr>
          <w:lang w:val="es-ES"/>
        </w:rPr>
        <w:t xml:space="preserve"> formatos exitosos.</w:t>
      </w:r>
    </w:p>
    <w:p w14:paraId="5F54E32D" w14:textId="77777777" w:rsidR="004F7E0D" w:rsidRPr="003A023A" w:rsidRDefault="00000000" w:rsidP="00633F82">
      <w:pPr>
        <w:jc w:val="both"/>
        <w:rPr>
          <w:lang w:val="es-ES"/>
        </w:rPr>
      </w:pPr>
      <w:r w:rsidRPr="003A023A">
        <w:rPr>
          <w:lang w:val="es-ES"/>
        </w:rPr>
        <w:t xml:space="preserve">La industrialización del remix no significa que la IA “reemplace” al autor; significa que intensifica la presión hacia lo replicable. En términos de administración, podría decirse que optimiza el </w:t>
      </w:r>
      <w:proofErr w:type="spellStart"/>
      <w:r w:rsidRPr="003A023A">
        <w:rPr>
          <w:lang w:val="es-ES"/>
        </w:rPr>
        <w:t>throughput</w:t>
      </w:r>
      <w:proofErr w:type="spellEnd"/>
      <w:r w:rsidRPr="003A023A">
        <w:rPr>
          <w:lang w:val="es-ES"/>
        </w:rPr>
        <w:t xml:space="preserve"> del circuito atención–publicación–retroalimentación. En términos estéticos, aumenta el riesgo de que el estilo se vuelva intercambiable: una capa superficial que se aplica a cualquier contenido.</w:t>
      </w:r>
    </w:p>
    <w:p w14:paraId="569C2657" w14:textId="77777777" w:rsidR="004F7E0D" w:rsidRPr="003A023A" w:rsidRDefault="00000000" w:rsidP="00633F82">
      <w:pPr>
        <w:jc w:val="both"/>
        <w:rPr>
          <w:lang w:val="es-ES"/>
        </w:rPr>
      </w:pPr>
      <w:r w:rsidRPr="003A023A">
        <w:rPr>
          <w:lang w:val="es-ES"/>
        </w:rPr>
        <w:t xml:space="preserve">Desde aquí, la cultura </w:t>
      </w:r>
      <w:proofErr w:type="spellStart"/>
      <w:r w:rsidRPr="003A023A">
        <w:rPr>
          <w:lang w:val="es-ES"/>
        </w:rPr>
        <w:t>influencer</w:t>
      </w:r>
      <w:proofErr w:type="spellEnd"/>
      <w:r w:rsidRPr="003A023A">
        <w:rPr>
          <w:lang w:val="es-ES"/>
        </w:rPr>
        <w:t xml:space="preserve"> aparece como una economía política de la atención: no solo distribuye visibilidad, sino que define qué tipo de comunicación es rentable (en tiempo, energía, </w:t>
      </w:r>
      <w:r w:rsidRPr="003A023A">
        <w:rPr>
          <w:lang w:val="es-ES"/>
        </w:rPr>
        <w:lastRenderedPageBreak/>
        <w:t>reconocimiento). El contenido más compatible con la plataforma tiende a adoptar la forma de promesa: «en 30 segundos te explico…», «tres claves para…», «lo que nadie te dijo sobre…». La complejidad se empaqueta como claridad inmediata.</w:t>
      </w:r>
    </w:p>
    <w:p w14:paraId="3F77AE26" w14:textId="64B70F63" w:rsidR="004F7E0D" w:rsidRPr="009F2B15" w:rsidRDefault="00000000" w:rsidP="009F2B15">
      <w:pPr>
        <w:pStyle w:val="ListParagraph"/>
        <w:numPr>
          <w:ilvl w:val="1"/>
          <w:numId w:val="10"/>
        </w:numPr>
        <w:jc w:val="both"/>
        <w:rPr>
          <w:lang w:val="es-ES"/>
        </w:rPr>
      </w:pPr>
      <w:r w:rsidRPr="009F2B15">
        <w:rPr>
          <w:b/>
          <w:lang w:val="es-ES"/>
        </w:rPr>
        <w:t xml:space="preserve"> Marcos institucionales: de la receptividad cultural a la gobernanza por plataforma</w:t>
      </w:r>
    </w:p>
    <w:p w14:paraId="6D60B9C6" w14:textId="77777777" w:rsidR="004F7E0D" w:rsidRPr="003A023A" w:rsidRDefault="00000000" w:rsidP="00633F82">
      <w:pPr>
        <w:jc w:val="both"/>
        <w:rPr>
          <w:lang w:val="es-ES"/>
        </w:rPr>
      </w:pPr>
      <w:r w:rsidRPr="003A023A">
        <w:rPr>
          <w:lang w:val="es-ES"/>
        </w:rPr>
        <w:t xml:space="preserve">Para comprender por qué ciertos formatos prosperan, es útil pensar en términos de encuadre. Goffman describió los </w:t>
      </w:r>
      <w:proofErr w:type="spellStart"/>
      <w:r w:rsidRPr="003A023A">
        <w:rPr>
          <w:lang w:val="es-ES"/>
        </w:rPr>
        <w:t>frames</w:t>
      </w:r>
      <w:proofErr w:type="spellEnd"/>
      <w:r w:rsidRPr="003A023A">
        <w:rPr>
          <w:lang w:val="es-ES"/>
        </w:rPr>
        <w:t xml:space="preserve"> como estructuras que organizan la experiencia: permiten reconocer una situación y actuar en ella. En el ecosistema digital, los </w:t>
      </w:r>
      <w:proofErr w:type="spellStart"/>
      <w:r w:rsidRPr="003A023A">
        <w:rPr>
          <w:lang w:val="es-ES"/>
        </w:rPr>
        <w:t>frames</w:t>
      </w:r>
      <w:proofErr w:type="spellEnd"/>
      <w:r w:rsidRPr="003A023A">
        <w:rPr>
          <w:lang w:val="es-ES"/>
        </w:rPr>
        <w:t xml:space="preserve"> se vuelven, además, diseño de interfaz: botones, métricas visibles, algoritmos de recomendación, reglas de monetización. El marco no solo interpreta; dirige la atención.</w:t>
      </w:r>
    </w:p>
    <w:p w14:paraId="32C3D632" w14:textId="77777777" w:rsidR="004F7E0D" w:rsidRPr="003A023A" w:rsidRDefault="00000000" w:rsidP="00633F82">
      <w:pPr>
        <w:jc w:val="both"/>
        <w:rPr>
          <w:lang w:val="es-ES"/>
        </w:rPr>
      </w:pPr>
      <w:r w:rsidRPr="003A023A">
        <w:rPr>
          <w:lang w:val="es-ES"/>
        </w:rPr>
        <w:t>En paralelo, Luhmann ofrece una lectura sistémica: las instituciones condensan expectativas y estabilizan la probabilidad de ciertas comunicaciones. Si trasladamos esto al entorno de plataformas, el “marco” ya no se limita a instituciones culturales tradicionales (museos, editoriales, universidades), sino que incluye infraestructuras privadas de comunicación que condicionan la visibilidad.</w:t>
      </w:r>
    </w:p>
    <w:p w14:paraId="1DFCF9FB" w14:textId="214A81E9" w:rsidR="004F7E0D" w:rsidRPr="003A023A" w:rsidRDefault="00000000" w:rsidP="00633F82">
      <w:pPr>
        <w:jc w:val="both"/>
        <w:rPr>
          <w:lang w:val="es-ES"/>
        </w:rPr>
      </w:pPr>
      <w:r w:rsidRPr="003A023A">
        <w:rPr>
          <w:lang w:val="es-ES"/>
        </w:rPr>
        <w:t>El punto clave es que el encuadre es selectivo. Decide qué cuenta como relevante, qué merece atención y qué puede ser validado. En un régimen orientado por métricas, la validación tiende a coincidir con la exposición. De ahí que la educación y la gestión se vean presionadas a producir outputs “</w:t>
      </w:r>
      <w:proofErr w:type="spellStart"/>
      <w:r w:rsidRPr="003A023A">
        <w:rPr>
          <w:lang w:val="es-ES"/>
        </w:rPr>
        <w:t>plataformizables</w:t>
      </w:r>
      <w:proofErr w:type="spellEnd"/>
      <w:r w:rsidRPr="003A023A">
        <w:rPr>
          <w:lang w:val="es-ES"/>
        </w:rPr>
        <w:t>”: piezas que viajan bien, se citan rápido y generan señales de rendimiento</w:t>
      </w:r>
      <w:r w:rsidR="0044352C">
        <w:rPr>
          <w:lang w:val="es-ES"/>
        </w:rPr>
        <w:t>, exigencias que incluso los libros comienzan a tener.</w:t>
      </w:r>
    </w:p>
    <w:p w14:paraId="0D0EE668" w14:textId="52E4ACAD" w:rsidR="004F7E0D" w:rsidRPr="009F2B15" w:rsidRDefault="00000000" w:rsidP="009F2B15">
      <w:pPr>
        <w:pStyle w:val="ListParagraph"/>
        <w:numPr>
          <w:ilvl w:val="1"/>
          <w:numId w:val="10"/>
        </w:numPr>
        <w:jc w:val="both"/>
        <w:rPr>
          <w:lang w:val="es-ES"/>
        </w:rPr>
      </w:pPr>
      <w:r w:rsidRPr="009F2B15">
        <w:rPr>
          <w:b/>
          <w:lang w:val="es-ES"/>
        </w:rPr>
        <w:t xml:space="preserve"> Del valor de exposición al perfil: </w:t>
      </w:r>
      <w:proofErr w:type="spellStart"/>
      <w:r w:rsidRPr="009F2B15">
        <w:rPr>
          <w:b/>
          <w:lang w:val="es-ES"/>
        </w:rPr>
        <w:t>profilicidad</w:t>
      </w:r>
      <w:proofErr w:type="spellEnd"/>
      <w:r w:rsidRPr="009F2B15">
        <w:rPr>
          <w:b/>
          <w:lang w:val="es-ES"/>
        </w:rPr>
        <w:t xml:space="preserve"> como régimen de identidad</w:t>
      </w:r>
    </w:p>
    <w:p w14:paraId="0FA9DD8E" w14:textId="77777777" w:rsidR="004F7E0D" w:rsidRPr="003A023A" w:rsidRDefault="00000000" w:rsidP="00633F82">
      <w:pPr>
        <w:jc w:val="both"/>
        <w:rPr>
          <w:lang w:val="es-ES"/>
        </w:rPr>
      </w:pPr>
      <w:r w:rsidRPr="003A023A">
        <w:rPr>
          <w:lang w:val="es-ES"/>
        </w:rPr>
        <w:t xml:space="preserve">El salto decisivo ocurre cuando la exposición deja de ser un efecto colateral y se vuelve el principio organizador de la identidad pública. </w:t>
      </w:r>
      <w:proofErr w:type="spellStart"/>
      <w:r w:rsidRPr="003A023A">
        <w:rPr>
          <w:lang w:val="es-ES"/>
        </w:rPr>
        <w:t>Moeller</w:t>
      </w:r>
      <w:proofErr w:type="spellEnd"/>
      <w:r w:rsidRPr="003A023A">
        <w:rPr>
          <w:lang w:val="es-ES"/>
        </w:rPr>
        <w:t xml:space="preserve"> y </w:t>
      </w:r>
      <w:proofErr w:type="spellStart"/>
      <w:r w:rsidRPr="003A023A">
        <w:rPr>
          <w:lang w:val="es-ES"/>
        </w:rPr>
        <w:t>D’Ambrosio</w:t>
      </w:r>
      <w:proofErr w:type="spellEnd"/>
      <w:r w:rsidRPr="003A023A">
        <w:rPr>
          <w:lang w:val="es-ES"/>
        </w:rPr>
        <w:t xml:space="preserve"> llaman a este régimen “</w:t>
      </w:r>
      <w:proofErr w:type="spellStart"/>
      <w:r w:rsidRPr="003A023A">
        <w:rPr>
          <w:lang w:val="es-ES"/>
        </w:rPr>
        <w:t>profilicidad</w:t>
      </w:r>
      <w:proofErr w:type="spellEnd"/>
      <w:r w:rsidRPr="003A023A">
        <w:rPr>
          <w:lang w:val="es-ES"/>
        </w:rPr>
        <w:t>”: el yo se entiende como perfil, y el valor se mide por su validación visible.</w:t>
      </w:r>
    </w:p>
    <w:p w14:paraId="02A545CA" w14:textId="77777777" w:rsidR="004F7E0D" w:rsidRPr="003A023A" w:rsidRDefault="00000000" w:rsidP="00633F82">
      <w:pPr>
        <w:jc w:val="both"/>
        <w:rPr>
          <w:lang w:val="es-ES"/>
        </w:rPr>
      </w:pPr>
      <w:r w:rsidRPr="003A023A">
        <w:rPr>
          <w:lang w:val="es-ES"/>
        </w:rPr>
        <w:t xml:space="preserve">En la formación económico-administrativa, este desplazamiento tiene efectos directos. La empleabilidad se gestiona como marca; la trayectoria se narra como portafolio; las competencias se exhiben como </w:t>
      </w:r>
      <w:proofErr w:type="spellStart"/>
      <w:r w:rsidRPr="003A023A">
        <w:rPr>
          <w:lang w:val="es-ES"/>
        </w:rPr>
        <w:t>badges</w:t>
      </w:r>
      <w:proofErr w:type="spellEnd"/>
      <w:r w:rsidRPr="003A023A">
        <w:rPr>
          <w:lang w:val="es-ES"/>
        </w:rPr>
        <w:t xml:space="preserve">; la red de contactos se vuelve un KPI implícito. Incluso el aprendizaje tiende a representarse como producto: certificados, </w:t>
      </w:r>
      <w:proofErr w:type="spellStart"/>
      <w:r w:rsidRPr="003A023A">
        <w:rPr>
          <w:lang w:val="es-ES"/>
        </w:rPr>
        <w:t>microcredenciales</w:t>
      </w:r>
      <w:proofErr w:type="spellEnd"/>
      <w:r w:rsidRPr="003A023A">
        <w:rPr>
          <w:lang w:val="es-ES"/>
        </w:rPr>
        <w:t>, posts de “lo que aprendí hoy”.</w:t>
      </w:r>
    </w:p>
    <w:p w14:paraId="19730883" w14:textId="163D0566" w:rsidR="004F7E0D" w:rsidRPr="003A023A" w:rsidRDefault="00000000" w:rsidP="00633F82">
      <w:pPr>
        <w:jc w:val="both"/>
        <w:rPr>
          <w:lang w:val="es-ES"/>
        </w:rPr>
      </w:pPr>
      <w:r w:rsidRPr="003A023A">
        <w:rPr>
          <w:lang w:val="es-ES"/>
        </w:rPr>
        <w:t>Propongo</w:t>
      </w:r>
      <w:r w:rsidR="00976EA2">
        <w:rPr>
          <w:lang w:val="es-ES"/>
        </w:rPr>
        <w:t xml:space="preserve">, junto con </w:t>
      </w:r>
      <w:proofErr w:type="spellStart"/>
      <w:r w:rsidR="00976EA2">
        <w:rPr>
          <w:lang w:val="es-ES"/>
        </w:rPr>
        <w:t>Moeller</w:t>
      </w:r>
      <w:proofErr w:type="spellEnd"/>
      <w:r w:rsidR="00976EA2">
        <w:rPr>
          <w:lang w:val="es-ES"/>
        </w:rPr>
        <w:t>,</w:t>
      </w:r>
      <w:r w:rsidRPr="003A023A">
        <w:rPr>
          <w:lang w:val="es-ES"/>
        </w:rPr>
        <w:t xml:space="preserve"> nombrar </w:t>
      </w:r>
      <w:proofErr w:type="spellStart"/>
      <w:r w:rsidR="00663DEE">
        <w:rPr>
          <w:lang w:val="es-ES"/>
        </w:rPr>
        <w:t>profilicidad</w:t>
      </w:r>
      <w:proofErr w:type="spellEnd"/>
      <w:r w:rsidRPr="003A023A">
        <w:rPr>
          <w:lang w:val="es-ES"/>
        </w:rPr>
        <w:t xml:space="preserve"> al lado operativo de esta lógica: el conjunto de prácticas por las cuales una persona o institución se hace legible para ser evaluada. La </w:t>
      </w:r>
      <w:proofErr w:type="spellStart"/>
      <w:r w:rsidR="00663DEE">
        <w:rPr>
          <w:lang w:val="es-ES"/>
        </w:rPr>
        <w:t>profilicidad</w:t>
      </w:r>
      <w:proofErr w:type="spellEnd"/>
      <w:r w:rsidRPr="003A023A">
        <w:rPr>
          <w:lang w:val="es-ES"/>
        </w:rPr>
        <w:t xml:space="preserve"> implica traducción: convertir experiencia en relato, complejidad en síntesis, trabajo en evidencia, proceso en indicador.</w:t>
      </w:r>
    </w:p>
    <w:p w14:paraId="6D1A50EC" w14:textId="77777777" w:rsidR="004F7E0D" w:rsidRPr="003A023A" w:rsidRDefault="00000000" w:rsidP="00633F82">
      <w:pPr>
        <w:jc w:val="both"/>
        <w:rPr>
          <w:lang w:val="es-ES"/>
        </w:rPr>
      </w:pPr>
      <w:r w:rsidRPr="003A023A">
        <w:rPr>
          <w:lang w:val="es-ES"/>
        </w:rPr>
        <w:t xml:space="preserve">El riesgo no reside en la visibilidad en sí, sino en su monopolio. Cuando la exposición se convierte en criterio dominante, otras formas de valor —silencio, demora, profundidad, ambigüedad productiva— pierden legitimidad. Y allí se entiende mejor la cancelación por </w:t>
      </w:r>
      <w:r w:rsidRPr="003A023A">
        <w:rPr>
          <w:lang w:val="es-ES"/>
        </w:rPr>
        <w:lastRenderedPageBreak/>
        <w:t>exposición: la crítica se vuelve estética de crítica; la innovación se vuelve estilo de innovación; el arte se vuelve contenido de arte.</w:t>
      </w:r>
    </w:p>
    <w:p w14:paraId="259F5B95" w14:textId="7C1CD3AB" w:rsidR="004F7E0D" w:rsidRPr="009C70FF" w:rsidRDefault="00000000" w:rsidP="009C70FF">
      <w:pPr>
        <w:pStyle w:val="ListParagraph"/>
        <w:numPr>
          <w:ilvl w:val="1"/>
          <w:numId w:val="10"/>
        </w:numPr>
        <w:jc w:val="both"/>
        <w:rPr>
          <w:lang w:val="es-ES"/>
        </w:rPr>
      </w:pPr>
      <w:r w:rsidRPr="009C70FF">
        <w:rPr>
          <w:b/>
          <w:lang w:val="es-ES"/>
        </w:rPr>
        <w:t xml:space="preserve"> Implicaciones para la docencia y/o la práctica profesional</w:t>
      </w:r>
    </w:p>
    <w:p w14:paraId="6D89218B" w14:textId="77777777" w:rsidR="004F7E0D" w:rsidRPr="003A023A" w:rsidRDefault="00000000" w:rsidP="00633F82">
      <w:pPr>
        <w:jc w:val="both"/>
        <w:rPr>
          <w:lang w:val="es-ES"/>
        </w:rPr>
      </w:pPr>
      <w:r w:rsidRPr="003A023A">
        <w:rPr>
          <w:lang w:val="es-ES"/>
        </w:rPr>
        <w:t>Las áreas económico-administrativas forman profesionales para tomar decisiones bajo incertidumbre, gestionar recursos y producir coordinación en entornos complejos. Si el entorno comunicacional se reconfigura por regímenes de exposición y perfil, la formación no puede limitarse a enseñar herramientas; necesita incorporar criterios de lectura crítica sobre los marcos que organizan la atención.</w:t>
      </w:r>
    </w:p>
    <w:p w14:paraId="40D8B719" w14:textId="77777777" w:rsidR="004F7E0D" w:rsidRPr="003A023A" w:rsidRDefault="00000000" w:rsidP="00633F82">
      <w:pPr>
        <w:jc w:val="both"/>
        <w:rPr>
          <w:lang w:val="es-ES"/>
        </w:rPr>
      </w:pPr>
      <w:r w:rsidRPr="003A023A">
        <w:rPr>
          <w:lang w:val="es-ES"/>
        </w:rPr>
        <w:t>Primera implicación: alfabetización estética y mediática como competencia profesional. Esto incluye reconocer formatos dominantes, entender cómo las métricas moldean el mensaje y distinguir entre visibilidad y validez. Un egresado que no puede leer críticamente su propio entorno mediático queda expuesto a confundir desempeño con exposición.</w:t>
      </w:r>
    </w:p>
    <w:p w14:paraId="54F51F9C" w14:textId="7170EE1D" w:rsidR="004F7E0D" w:rsidRPr="003A023A" w:rsidRDefault="00000000" w:rsidP="00633F82">
      <w:pPr>
        <w:jc w:val="both"/>
        <w:rPr>
          <w:lang w:val="es-ES"/>
        </w:rPr>
      </w:pPr>
      <w:r w:rsidRPr="003A023A">
        <w:rPr>
          <w:lang w:val="es-ES"/>
        </w:rPr>
        <w:t xml:space="preserve">Segunda implicación: reintroducir la dimensión del “proceso” frente al imperativo del “output”. En aula, puede traducirse en prácticas de bitácora (cómo se llegó a una decisión), análisis de errores, y evaluación que valore iteración y reflexión, no solo presentaciones finales. Esto contrapesa la lógica </w:t>
      </w:r>
      <w:r w:rsidR="00515C8B">
        <w:rPr>
          <w:lang w:val="es-ES"/>
        </w:rPr>
        <w:t xml:space="preserve">de la </w:t>
      </w:r>
      <w:proofErr w:type="spellStart"/>
      <w:r w:rsidR="00515C8B">
        <w:rPr>
          <w:lang w:val="es-ES"/>
        </w:rPr>
        <w:t>profilicidad</w:t>
      </w:r>
      <w:proofErr w:type="spellEnd"/>
      <w:r w:rsidR="00515C8B">
        <w:rPr>
          <w:lang w:val="es-ES"/>
        </w:rPr>
        <w:t>.</w:t>
      </w:r>
    </w:p>
    <w:p w14:paraId="5ACA823B" w14:textId="77777777" w:rsidR="004F7E0D" w:rsidRPr="003A023A" w:rsidRDefault="00000000" w:rsidP="00633F82">
      <w:pPr>
        <w:jc w:val="both"/>
        <w:rPr>
          <w:lang w:val="es-ES"/>
        </w:rPr>
      </w:pPr>
      <w:r w:rsidRPr="003A023A">
        <w:rPr>
          <w:lang w:val="es-ES"/>
        </w:rPr>
        <w:t xml:space="preserve">Tercera implicación: ética y gobernanza de perfiles. La gestión de reputación, la comunicación organizacional y el uso de IA generativa requieren discutir riesgos: manipulación, simulación de </w:t>
      </w:r>
      <w:proofErr w:type="spellStart"/>
      <w:r w:rsidRPr="003A023A">
        <w:rPr>
          <w:lang w:val="es-ES"/>
        </w:rPr>
        <w:t>expertise</w:t>
      </w:r>
      <w:proofErr w:type="spellEnd"/>
      <w:r w:rsidRPr="003A023A">
        <w:rPr>
          <w:lang w:val="es-ES"/>
        </w:rPr>
        <w:t>, sesgos algorítmicos, extracción de datos. No se trata de prohibir, sino de formar criterios.</w:t>
      </w:r>
    </w:p>
    <w:p w14:paraId="25F2F41E" w14:textId="77777777" w:rsidR="004F7E0D" w:rsidRPr="003A023A" w:rsidRDefault="00000000" w:rsidP="00633F82">
      <w:pPr>
        <w:jc w:val="both"/>
        <w:rPr>
          <w:lang w:val="es-ES"/>
        </w:rPr>
      </w:pPr>
      <w:r w:rsidRPr="003A023A">
        <w:rPr>
          <w:lang w:val="es-ES"/>
        </w:rPr>
        <w:t>Cuarta implicación: ejercicios de “</w:t>
      </w:r>
      <w:proofErr w:type="spellStart"/>
      <w:r w:rsidRPr="003A023A">
        <w:rPr>
          <w:lang w:val="es-ES"/>
        </w:rPr>
        <w:t>desformateo</w:t>
      </w:r>
      <w:proofErr w:type="spellEnd"/>
      <w:r w:rsidRPr="003A023A">
        <w:rPr>
          <w:lang w:val="es-ES"/>
        </w:rPr>
        <w:t xml:space="preserve">” (reducir dependencia de plantillas). Una estrategia didáctica consiste en pedir al estudiantado producir dos versiones de un mismo contenido: una optimizada para plataforma (breve, </w:t>
      </w:r>
      <w:proofErr w:type="spellStart"/>
      <w:r w:rsidRPr="003A023A">
        <w:rPr>
          <w:lang w:val="es-ES"/>
        </w:rPr>
        <w:t>viralizable</w:t>
      </w:r>
      <w:proofErr w:type="spellEnd"/>
      <w:r w:rsidRPr="003A023A">
        <w:rPr>
          <w:lang w:val="es-ES"/>
        </w:rPr>
        <w:t>) y otra orientada a profundidad (ensayo, memo analítico), y luego comparar qué se pierde y qué se gana. El aprendizaje emerge del contraste de marcos.</w:t>
      </w:r>
    </w:p>
    <w:p w14:paraId="748BDED7" w14:textId="77777777" w:rsidR="004F7E0D" w:rsidRPr="003A023A" w:rsidRDefault="00000000" w:rsidP="00633F82">
      <w:pPr>
        <w:jc w:val="both"/>
        <w:rPr>
          <w:lang w:val="es-ES"/>
        </w:rPr>
      </w:pPr>
      <w:r w:rsidRPr="003A023A">
        <w:rPr>
          <w:lang w:val="es-ES"/>
        </w:rPr>
        <w:t>Finalmente, para la práctica profesional, el análisis sugiere tomar distancia de la idea de que “más exposición es siempre mejor”. En organizaciones, la visibilidad puede ser un activo, pero también genera vulnerabilidad y ruido. La administración de la exposición implica gestionar tiempos, públicos y contextos: no solo publicar más, sino encuadrar mejor.</w:t>
      </w:r>
    </w:p>
    <w:p w14:paraId="34F0C3EF" w14:textId="0480AD96" w:rsidR="004F7E0D" w:rsidRPr="00D6439B" w:rsidRDefault="00000000" w:rsidP="00D6439B">
      <w:pPr>
        <w:pStyle w:val="ListParagraph"/>
        <w:numPr>
          <w:ilvl w:val="0"/>
          <w:numId w:val="10"/>
        </w:numPr>
        <w:jc w:val="both"/>
        <w:rPr>
          <w:lang w:val="es-ES"/>
        </w:rPr>
      </w:pPr>
      <w:r w:rsidRPr="00D6439B">
        <w:rPr>
          <w:b/>
          <w:lang w:val="es-ES"/>
        </w:rPr>
        <w:t xml:space="preserve"> Conclusiones</w:t>
      </w:r>
    </w:p>
    <w:p w14:paraId="13997BF9" w14:textId="5B93AC91" w:rsidR="004F7E0D" w:rsidRPr="003A023A" w:rsidRDefault="00000000" w:rsidP="00633F82">
      <w:pPr>
        <w:jc w:val="both"/>
        <w:rPr>
          <w:lang w:val="es-ES"/>
        </w:rPr>
      </w:pPr>
      <w:r w:rsidRPr="003A023A">
        <w:rPr>
          <w:lang w:val="es-ES"/>
        </w:rPr>
        <w:t xml:space="preserve">El capítulo sostuvo que la cultura </w:t>
      </w:r>
      <w:proofErr w:type="spellStart"/>
      <w:r w:rsidRPr="003A023A">
        <w:rPr>
          <w:lang w:val="es-ES"/>
        </w:rPr>
        <w:t>influencer</w:t>
      </w:r>
      <w:proofErr w:type="spellEnd"/>
      <w:r w:rsidRPr="003A023A">
        <w:rPr>
          <w:lang w:val="es-ES"/>
        </w:rPr>
        <w:t xml:space="preserve"> amplificada por IA funciona como un dispositivo de conversión: traduce capital simbólico específico a capital de visibilidad. En ese tránsito, el gesto crítico —ejemplificado con Dadá— puede perder eficacia al volverse formato replicable. </w:t>
      </w:r>
      <w:r w:rsidR="0030786A">
        <w:rPr>
          <w:lang w:val="es-ES"/>
        </w:rPr>
        <w:t>El</w:t>
      </w:r>
      <w:r w:rsidRPr="003A023A">
        <w:rPr>
          <w:lang w:val="es-ES"/>
        </w:rPr>
        <w:t xml:space="preserve"> </w:t>
      </w:r>
      <w:r w:rsidR="0030786A">
        <w:rPr>
          <w:lang w:val="es-ES"/>
        </w:rPr>
        <w:t>“</w:t>
      </w:r>
      <w:r w:rsidRPr="003A023A">
        <w:rPr>
          <w:lang w:val="es-ES"/>
        </w:rPr>
        <w:t>valor de exposición</w:t>
      </w:r>
      <w:r w:rsidR="0030786A">
        <w:rPr>
          <w:lang w:val="es-ES"/>
        </w:rPr>
        <w:t>”</w:t>
      </w:r>
      <w:r w:rsidRPr="003A023A">
        <w:rPr>
          <w:lang w:val="es-ES"/>
        </w:rPr>
        <w:t xml:space="preserve"> nombra esa neutralización por circulación.</w:t>
      </w:r>
    </w:p>
    <w:p w14:paraId="0235B243" w14:textId="77777777" w:rsidR="004F7E0D" w:rsidRPr="003A023A" w:rsidRDefault="00000000" w:rsidP="00633F82">
      <w:pPr>
        <w:jc w:val="both"/>
        <w:rPr>
          <w:lang w:val="es-ES"/>
        </w:rPr>
      </w:pPr>
      <w:r w:rsidRPr="003A023A">
        <w:rPr>
          <w:lang w:val="es-ES"/>
        </w:rPr>
        <w:lastRenderedPageBreak/>
        <w:t xml:space="preserve">Con </w:t>
      </w:r>
      <w:proofErr w:type="spellStart"/>
      <w:r w:rsidRPr="003A023A">
        <w:rPr>
          <w:lang w:val="es-ES"/>
        </w:rPr>
        <w:t>Benjamin</w:t>
      </w:r>
      <w:proofErr w:type="spellEnd"/>
      <w:r w:rsidRPr="003A023A">
        <w:rPr>
          <w:lang w:val="es-ES"/>
        </w:rPr>
        <w:t xml:space="preserve">, se destacó el desplazamiento hacia el valor de exposición; con Goffman y Luhmann, se propuso leer plataformas e instituciones como infraestructuras de encuadre que predisponen la percepción y condensan expectativas; y con </w:t>
      </w:r>
      <w:proofErr w:type="spellStart"/>
      <w:r w:rsidRPr="003A023A">
        <w:rPr>
          <w:lang w:val="es-ES"/>
        </w:rPr>
        <w:t>Moeller</w:t>
      </w:r>
      <w:proofErr w:type="spellEnd"/>
      <w:r w:rsidRPr="003A023A">
        <w:rPr>
          <w:lang w:val="es-ES"/>
        </w:rPr>
        <w:t xml:space="preserve"> y </w:t>
      </w:r>
      <w:proofErr w:type="spellStart"/>
      <w:r w:rsidRPr="003A023A">
        <w:rPr>
          <w:lang w:val="es-ES"/>
        </w:rPr>
        <w:t>D’Ambrosio</w:t>
      </w:r>
      <w:proofErr w:type="spellEnd"/>
      <w:r w:rsidRPr="003A023A">
        <w:rPr>
          <w:lang w:val="es-ES"/>
        </w:rPr>
        <w:t xml:space="preserve">, se interpretó el paso hacia la </w:t>
      </w:r>
      <w:proofErr w:type="spellStart"/>
      <w:r w:rsidRPr="003A023A">
        <w:rPr>
          <w:lang w:val="es-ES"/>
        </w:rPr>
        <w:t>profilicidad</w:t>
      </w:r>
      <w:proofErr w:type="spellEnd"/>
      <w:r w:rsidRPr="003A023A">
        <w:rPr>
          <w:lang w:val="es-ES"/>
        </w:rPr>
        <w:t>, donde identidad y reputación se organizan como perfiles evaluables.</w:t>
      </w:r>
    </w:p>
    <w:p w14:paraId="61046DA9" w14:textId="77777777" w:rsidR="004F7E0D" w:rsidRPr="003A023A" w:rsidRDefault="00000000" w:rsidP="00633F82">
      <w:pPr>
        <w:jc w:val="both"/>
        <w:rPr>
          <w:lang w:val="es-ES"/>
        </w:rPr>
      </w:pPr>
      <w:r w:rsidRPr="003A023A">
        <w:rPr>
          <w:lang w:val="es-ES"/>
        </w:rPr>
        <w:t>Para la educación económico-administrativa, el aporte principal consiste en situar un problema de formación: enseñar a operar en un mundo gobernado por métricas sin confundir métricas con sentido. Esto exige alfabetización mediática, criterios éticos para IA y estrategias pedagógicas que preserven la complejidad (demora, proceso, argumentación) frente al imperativo de la exposición.</w:t>
      </w:r>
    </w:p>
    <w:p w14:paraId="01EFC484" w14:textId="77777777" w:rsidR="004F7E0D" w:rsidRDefault="00000000" w:rsidP="00633F82">
      <w:pPr>
        <w:jc w:val="both"/>
        <w:rPr>
          <w:lang w:val="es-ES"/>
        </w:rPr>
      </w:pPr>
      <w:r w:rsidRPr="003A023A">
        <w:rPr>
          <w:lang w:val="es-ES"/>
        </w:rPr>
        <w:t>Quedan abiertas varias líneas: estudios empíricos sobre prácticas de perfilación en estudiantes; análisis comparativo entre plataformas; y, en un plano más amplio, la exploración de equivalentes funcionales entre arte, educación y administración como máquinas de orientación bajo complejidad.</w:t>
      </w:r>
    </w:p>
    <w:p w14:paraId="6EAB97AB" w14:textId="77777777" w:rsidR="002B00A6" w:rsidRDefault="002B00A6" w:rsidP="00633F82">
      <w:pPr>
        <w:jc w:val="both"/>
        <w:rPr>
          <w:lang w:val="es-ES"/>
        </w:rPr>
      </w:pPr>
    </w:p>
    <w:p w14:paraId="6BB0937E" w14:textId="77777777" w:rsidR="002B00A6" w:rsidRDefault="002B00A6" w:rsidP="00633F82">
      <w:pPr>
        <w:jc w:val="both"/>
        <w:rPr>
          <w:lang w:val="es-ES"/>
        </w:rPr>
      </w:pPr>
    </w:p>
    <w:p w14:paraId="435E09C9" w14:textId="77777777" w:rsidR="002B00A6" w:rsidRPr="003A023A" w:rsidRDefault="002B00A6" w:rsidP="00633F82">
      <w:pPr>
        <w:jc w:val="both"/>
        <w:rPr>
          <w:lang w:val="es-ES"/>
        </w:rPr>
      </w:pPr>
    </w:p>
    <w:p w14:paraId="6652B772" w14:textId="77777777" w:rsidR="004F7E0D" w:rsidRPr="003A023A" w:rsidRDefault="00000000" w:rsidP="00633F82">
      <w:pPr>
        <w:jc w:val="both"/>
        <w:rPr>
          <w:lang w:val="es-ES"/>
        </w:rPr>
      </w:pPr>
      <w:r w:rsidRPr="003A023A">
        <w:rPr>
          <w:b/>
          <w:lang w:val="es-ES"/>
        </w:rPr>
        <w:t>Referencias</w:t>
      </w:r>
    </w:p>
    <w:p w14:paraId="0E5472CD" w14:textId="77777777" w:rsidR="004F7E0D" w:rsidRDefault="00000000" w:rsidP="00633F82">
      <w:pPr>
        <w:jc w:val="both"/>
      </w:pPr>
      <w:proofErr w:type="spellStart"/>
      <w:r w:rsidRPr="003A023A">
        <w:rPr>
          <w:lang w:val="es-ES"/>
        </w:rPr>
        <w:t>Benjamin</w:t>
      </w:r>
      <w:proofErr w:type="spellEnd"/>
      <w:r w:rsidRPr="003A023A">
        <w:rPr>
          <w:lang w:val="es-ES"/>
        </w:rPr>
        <w:t xml:space="preserve">, W. (1935/1936). La obra de arte en la época de su reproductibilidad técnica (ensayo). </w:t>
      </w:r>
      <w:r>
        <w:t>En H. Arendt (Ed.), *Illuminations* (tr. H. Zohn). Schocken Books.</w:t>
      </w:r>
    </w:p>
    <w:p w14:paraId="58C4D98B" w14:textId="77777777" w:rsidR="004F7E0D" w:rsidRPr="003A023A" w:rsidRDefault="00000000" w:rsidP="00633F82">
      <w:pPr>
        <w:jc w:val="both"/>
        <w:rPr>
          <w:lang w:val="fr-FR"/>
        </w:rPr>
      </w:pPr>
      <w:r>
        <w:t xml:space="preserve">Bourdieu, P. (1986). The Forms of Capital. En J. G. Richardson (Ed.), *Handbook of Theory and Research for the Sociology of Education* (pp. 241–258). </w:t>
      </w:r>
      <w:r w:rsidRPr="003A023A">
        <w:rPr>
          <w:lang w:val="fr-FR"/>
        </w:rPr>
        <w:t xml:space="preserve">Greenwood </w:t>
      </w:r>
      <w:proofErr w:type="spellStart"/>
      <w:r w:rsidRPr="003A023A">
        <w:rPr>
          <w:lang w:val="fr-FR"/>
        </w:rPr>
        <w:t>Press</w:t>
      </w:r>
      <w:proofErr w:type="spellEnd"/>
      <w:r w:rsidRPr="003A023A">
        <w:rPr>
          <w:lang w:val="fr-FR"/>
        </w:rPr>
        <w:t>.</w:t>
      </w:r>
    </w:p>
    <w:p w14:paraId="12DA96BF" w14:textId="77777777" w:rsidR="004F7E0D" w:rsidRPr="003A023A" w:rsidRDefault="00000000" w:rsidP="00633F82">
      <w:pPr>
        <w:jc w:val="both"/>
        <w:rPr>
          <w:lang w:val="fr-FR"/>
        </w:rPr>
      </w:pPr>
      <w:r w:rsidRPr="003A023A">
        <w:rPr>
          <w:lang w:val="fr-FR"/>
        </w:rPr>
        <w:t>Debord, G. (1967). *La société du spectacle*. Buchet-Chastel.</w:t>
      </w:r>
    </w:p>
    <w:p w14:paraId="66D5CA6B" w14:textId="77777777" w:rsidR="004F7E0D" w:rsidRPr="003A023A" w:rsidRDefault="00000000" w:rsidP="00633F82">
      <w:pPr>
        <w:jc w:val="both"/>
        <w:rPr>
          <w:lang w:val="de-DE"/>
        </w:rPr>
      </w:pPr>
      <w:r>
        <w:t xml:space="preserve">Goffman, E. (1974). *Frame Analysis: An Essay on the Organization of Experience*. </w:t>
      </w:r>
      <w:r w:rsidRPr="003A023A">
        <w:rPr>
          <w:lang w:val="de-DE"/>
        </w:rPr>
        <w:t xml:space="preserve">Harper &amp; </w:t>
      </w:r>
      <w:proofErr w:type="spellStart"/>
      <w:r w:rsidRPr="003A023A">
        <w:rPr>
          <w:lang w:val="de-DE"/>
        </w:rPr>
        <w:t>Row</w:t>
      </w:r>
      <w:proofErr w:type="spellEnd"/>
      <w:r w:rsidRPr="003A023A">
        <w:rPr>
          <w:lang w:val="de-DE"/>
        </w:rPr>
        <w:t>.</w:t>
      </w:r>
    </w:p>
    <w:p w14:paraId="32C34B15" w14:textId="77777777" w:rsidR="004F7E0D" w:rsidRDefault="00000000" w:rsidP="00633F82">
      <w:pPr>
        <w:jc w:val="both"/>
      </w:pPr>
      <w:r w:rsidRPr="003A023A">
        <w:rPr>
          <w:lang w:val="de-DE"/>
        </w:rPr>
        <w:t xml:space="preserve">Luhmann, N. (1996). *Die Realität der Massenmedien* (2ª </w:t>
      </w:r>
      <w:proofErr w:type="spellStart"/>
      <w:r w:rsidRPr="003A023A">
        <w:rPr>
          <w:lang w:val="de-DE"/>
        </w:rPr>
        <w:t>ed</w:t>
      </w:r>
      <w:proofErr w:type="spellEnd"/>
      <w:r w:rsidRPr="003A023A">
        <w:rPr>
          <w:lang w:val="de-DE"/>
        </w:rPr>
        <w:t xml:space="preserve">. </w:t>
      </w:r>
      <w:proofErr w:type="spellStart"/>
      <w:r w:rsidRPr="003A023A">
        <w:rPr>
          <w:lang w:val="de-DE"/>
        </w:rPr>
        <w:t>ampliada</w:t>
      </w:r>
      <w:proofErr w:type="spellEnd"/>
      <w:r w:rsidRPr="003A023A">
        <w:rPr>
          <w:lang w:val="de-DE"/>
        </w:rPr>
        <w:t xml:space="preserve">). </w:t>
      </w:r>
      <w:proofErr w:type="spellStart"/>
      <w:r>
        <w:t>Westdeutscher</w:t>
      </w:r>
      <w:proofErr w:type="spellEnd"/>
      <w:r>
        <w:t xml:space="preserve"> Verlag.</w:t>
      </w:r>
    </w:p>
    <w:p w14:paraId="092420CD" w14:textId="77777777" w:rsidR="004F7E0D" w:rsidRDefault="00000000" w:rsidP="00633F82">
      <w:pPr>
        <w:jc w:val="both"/>
      </w:pPr>
      <w:r>
        <w:t>Moeller, H.-G., &amp; D’Ambrosio, P. J. (2021). *You and Your Profile: Identity After Authenticity*. Columbia University Press.</w:t>
      </w:r>
    </w:p>
    <w:p w14:paraId="4A0B067A" w14:textId="77777777" w:rsidR="004F7E0D" w:rsidRDefault="004F7E0D" w:rsidP="00633F82">
      <w:pPr>
        <w:jc w:val="both"/>
      </w:pPr>
    </w:p>
    <w:p w14:paraId="24046464" w14:textId="77777777" w:rsidR="004F7E0D" w:rsidRDefault="00000000" w:rsidP="00633F82">
      <w:pPr>
        <w:jc w:val="both"/>
      </w:pPr>
      <w:r>
        <w:rPr>
          <w:b/>
        </w:rPr>
        <w:t>Checklist antes de entregar:</w:t>
      </w:r>
    </w:p>
    <w:p w14:paraId="578C23A6" w14:textId="77777777" w:rsidR="004F7E0D" w:rsidRPr="003A023A" w:rsidRDefault="00000000" w:rsidP="00633F82">
      <w:pPr>
        <w:pStyle w:val="ListBullet"/>
        <w:jc w:val="both"/>
        <w:rPr>
          <w:lang w:val="es-ES"/>
        </w:rPr>
      </w:pPr>
      <w:r w:rsidRPr="003A023A">
        <w:rPr>
          <w:lang w:val="es-ES"/>
        </w:rPr>
        <w:t>Título, autores y adscripción completos.</w:t>
      </w:r>
    </w:p>
    <w:p w14:paraId="3640708C" w14:textId="77777777" w:rsidR="004F7E0D" w:rsidRPr="003A023A" w:rsidRDefault="00000000" w:rsidP="00633F82">
      <w:pPr>
        <w:pStyle w:val="ListBullet"/>
        <w:jc w:val="both"/>
        <w:rPr>
          <w:lang w:val="es-ES"/>
        </w:rPr>
      </w:pPr>
      <w:r w:rsidRPr="003A023A">
        <w:rPr>
          <w:lang w:val="es-ES"/>
        </w:rPr>
        <w:t>Resumen y palabras clave incluidos.</w:t>
      </w:r>
    </w:p>
    <w:p w14:paraId="612A6B25" w14:textId="77777777" w:rsidR="004F7E0D" w:rsidRPr="003A023A" w:rsidRDefault="00000000" w:rsidP="00633F82">
      <w:pPr>
        <w:pStyle w:val="ListBullet"/>
        <w:jc w:val="both"/>
        <w:rPr>
          <w:lang w:val="es-ES"/>
        </w:rPr>
      </w:pPr>
      <w:r w:rsidRPr="003A023A">
        <w:rPr>
          <w:lang w:val="es-ES"/>
        </w:rPr>
        <w:lastRenderedPageBreak/>
        <w:t>Citas y referencias consistentes y completas.</w:t>
      </w:r>
    </w:p>
    <w:p w14:paraId="335D64CD" w14:textId="77777777" w:rsidR="004F7E0D" w:rsidRPr="003A023A" w:rsidRDefault="00000000" w:rsidP="00633F82">
      <w:pPr>
        <w:pStyle w:val="ListBullet"/>
        <w:jc w:val="both"/>
        <w:rPr>
          <w:lang w:val="es-ES"/>
        </w:rPr>
      </w:pPr>
      <w:r w:rsidRPr="003A023A">
        <w:rPr>
          <w:lang w:val="es-ES"/>
        </w:rPr>
        <w:t>Revisión ortográfica y de estilo.</w:t>
      </w:r>
    </w:p>
    <w:p w14:paraId="20F0D7B4" w14:textId="77777777" w:rsidR="004F7E0D" w:rsidRPr="003A023A" w:rsidRDefault="00000000" w:rsidP="00633F82">
      <w:pPr>
        <w:pStyle w:val="ListBullet"/>
        <w:jc w:val="both"/>
        <w:rPr>
          <w:lang w:val="es-ES"/>
        </w:rPr>
      </w:pPr>
      <w:r w:rsidRPr="003A023A">
        <w:rPr>
          <w:lang w:val="es-ES"/>
        </w:rPr>
        <w:t>Formato de tablas/figuras (si aplica) con títulos y fuente.</w:t>
      </w:r>
    </w:p>
    <w:sectPr w:rsidR="004F7E0D" w:rsidRPr="003A02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68209C"/>
    <w:multiLevelType w:val="multilevel"/>
    <w:tmpl w:val="6F5A6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69050334">
    <w:abstractNumId w:val="8"/>
  </w:num>
  <w:num w:numId="2" w16cid:durableId="827356972">
    <w:abstractNumId w:val="6"/>
  </w:num>
  <w:num w:numId="3" w16cid:durableId="1862206970">
    <w:abstractNumId w:val="5"/>
  </w:num>
  <w:num w:numId="4" w16cid:durableId="1170675289">
    <w:abstractNumId w:val="4"/>
  </w:num>
  <w:num w:numId="5" w16cid:durableId="545603468">
    <w:abstractNumId w:val="7"/>
  </w:num>
  <w:num w:numId="6" w16cid:durableId="2007173569">
    <w:abstractNumId w:val="3"/>
  </w:num>
  <w:num w:numId="7" w16cid:durableId="525484512">
    <w:abstractNumId w:val="2"/>
  </w:num>
  <w:num w:numId="8" w16cid:durableId="1776635853">
    <w:abstractNumId w:val="1"/>
  </w:num>
  <w:num w:numId="9" w16cid:durableId="1849786074">
    <w:abstractNumId w:val="0"/>
  </w:num>
  <w:num w:numId="10" w16cid:durableId="11780377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073"/>
    <w:rsid w:val="000F5140"/>
    <w:rsid w:val="001272E4"/>
    <w:rsid w:val="00142C50"/>
    <w:rsid w:val="0015074B"/>
    <w:rsid w:val="001553CE"/>
    <w:rsid w:val="00164710"/>
    <w:rsid w:val="001C61F0"/>
    <w:rsid w:val="001D6A0D"/>
    <w:rsid w:val="001E2783"/>
    <w:rsid w:val="00221C82"/>
    <w:rsid w:val="00235A32"/>
    <w:rsid w:val="002667F2"/>
    <w:rsid w:val="002747D6"/>
    <w:rsid w:val="00277AC5"/>
    <w:rsid w:val="0029639D"/>
    <w:rsid w:val="002B00A6"/>
    <w:rsid w:val="002F3971"/>
    <w:rsid w:val="0030786A"/>
    <w:rsid w:val="0031750B"/>
    <w:rsid w:val="00326F90"/>
    <w:rsid w:val="003A023A"/>
    <w:rsid w:val="003A0F23"/>
    <w:rsid w:val="003F050C"/>
    <w:rsid w:val="003F1E5A"/>
    <w:rsid w:val="0044352C"/>
    <w:rsid w:val="00475E99"/>
    <w:rsid w:val="004A41A0"/>
    <w:rsid w:val="004B3716"/>
    <w:rsid w:val="004C3944"/>
    <w:rsid w:val="004F7E0D"/>
    <w:rsid w:val="00510FDA"/>
    <w:rsid w:val="00515C8B"/>
    <w:rsid w:val="005369D6"/>
    <w:rsid w:val="00546B1F"/>
    <w:rsid w:val="00557940"/>
    <w:rsid w:val="005877C0"/>
    <w:rsid w:val="00595B59"/>
    <w:rsid w:val="005F1971"/>
    <w:rsid w:val="0063089A"/>
    <w:rsid w:val="00633F82"/>
    <w:rsid w:val="00660A76"/>
    <w:rsid w:val="00663DEE"/>
    <w:rsid w:val="00674277"/>
    <w:rsid w:val="00685BF3"/>
    <w:rsid w:val="006E7F34"/>
    <w:rsid w:val="0077148C"/>
    <w:rsid w:val="00776363"/>
    <w:rsid w:val="007B5CF0"/>
    <w:rsid w:val="007C094C"/>
    <w:rsid w:val="007E05B0"/>
    <w:rsid w:val="007E0FD8"/>
    <w:rsid w:val="007F02CF"/>
    <w:rsid w:val="00814DF1"/>
    <w:rsid w:val="00841BCB"/>
    <w:rsid w:val="0087379D"/>
    <w:rsid w:val="008D07D3"/>
    <w:rsid w:val="008D27EF"/>
    <w:rsid w:val="008E2487"/>
    <w:rsid w:val="00913DFE"/>
    <w:rsid w:val="00960949"/>
    <w:rsid w:val="00966841"/>
    <w:rsid w:val="00976EA2"/>
    <w:rsid w:val="00985EBD"/>
    <w:rsid w:val="009C2C26"/>
    <w:rsid w:val="009C70FF"/>
    <w:rsid w:val="009F12C9"/>
    <w:rsid w:val="009F2B15"/>
    <w:rsid w:val="00A4057C"/>
    <w:rsid w:val="00A71B4A"/>
    <w:rsid w:val="00AA1D8D"/>
    <w:rsid w:val="00AB052F"/>
    <w:rsid w:val="00AC7279"/>
    <w:rsid w:val="00B1205F"/>
    <w:rsid w:val="00B4265E"/>
    <w:rsid w:val="00B47730"/>
    <w:rsid w:val="00B76289"/>
    <w:rsid w:val="00BE4CAE"/>
    <w:rsid w:val="00C01FA1"/>
    <w:rsid w:val="00C548D6"/>
    <w:rsid w:val="00C62A61"/>
    <w:rsid w:val="00CB0664"/>
    <w:rsid w:val="00CC4AD9"/>
    <w:rsid w:val="00CD54E6"/>
    <w:rsid w:val="00CE1F73"/>
    <w:rsid w:val="00CF3914"/>
    <w:rsid w:val="00D15EF9"/>
    <w:rsid w:val="00D16EF6"/>
    <w:rsid w:val="00D22A03"/>
    <w:rsid w:val="00D27671"/>
    <w:rsid w:val="00D27BDC"/>
    <w:rsid w:val="00D6439B"/>
    <w:rsid w:val="00E05A41"/>
    <w:rsid w:val="00E1301B"/>
    <w:rsid w:val="00E41455"/>
    <w:rsid w:val="00E419E7"/>
    <w:rsid w:val="00E54E43"/>
    <w:rsid w:val="00E84C08"/>
    <w:rsid w:val="00E92433"/>
    <w:rsid w:val="00E9262F"/>
    <w:rsid w:val="00EA3797"/>
    <w:rsid w:val="00EB0C6E"/>
    <w:rsid w:val="00F02671"/>
    <w:rsid w:val="00F45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67921"/>
  <w14:defaultImageDpi w14:val="300"/>
  <w15:docId w15:val="{F3CE6455-4A90-C94D-A371-29B60DF9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Pages>
  <Words>2625</Words>
  <Characters>15780</Characters>
  <Application>Microsoft Office Word</Application>
  <DocSecurity>0</DocSecurity>
  <Lines>246</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jorgecardiel</cp:lastModifiedBy>
  <cp:revision>146</cp:revision>
  <dcterms:created xsi:type="dcterms:W3CDTF">2013-12-23T23:15:00Z</dcterms:created>
  <dcterms:modified xsi:type="dcterms:W3CDTF">2025-12-24T20:38:00Z</dcterms:modified>
  <cp:category/>
</cp:coreProperties>
</file>