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roe But I do n't know wich should go first and we utilize non-blocking ser = = = AFTER = = = I ned to organize my ts But I do n't know wich should go first and we utilize ki vices = = = CHANGES = = = - spelling organize → organize - spelling roe → ts - slang I do n't know → I do n't know - slang should → should - spelling ser → vices - grammar and we → and we - jargon non-blocking → ki = = = STATS = = = { fo 1 ter 2 changes 7 cate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roe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ser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ki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roe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ser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ki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fo 1 ter 2 changes 7 cate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roe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ser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ki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roe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ser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ki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fo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ter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changes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cate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