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Noto Sans CJK TC" w:hAnsi="Noto Sans CJK TC" w:eastAsia="Noto Sans CJK TC"/>
          <w:b/>
          <w:color w:val="087F8C"/>
          <w:sz w:val="18"/>
        </w:rPr>
        <w:t>ENGINEERING DELIVERY SPEC</w:t>
      </w:r>
    </w:p>
    <w:p>
      <w:pPr>
        <w:spacing w:after="100"/>
      </w:pPr>
      <w:r>
        <w:rPr>
          <w:rFonts w:ascii="Noto Sans CJK TC" w:hAnsi="Noto Sans CJK TC" w:eastAsia="Noto Sans CJK TC"/>
          <w:b/>
          <w:color w:val="153C50"/>
          <w:sz w:val="48"/>
        </w:rPr>
        <w:t>腎友照護 POC 工程交付規格書</w:t>
      </w:r>
    </w:p>
    <w:p>
      <w:pPr>
        <w:spacing w:after="300"/>
      </w:pPr>
      <w:r>
        <w:rPr>
          <w:rFonts w:ascii="Noto Sans CJK TC" w:hAnsi="Noto Sans CJK TC" w:eastAsia="Noto Sans CJK TC"/>
          <w:b w:val="0"/>
          <w:color w:val="687B83"/>
          <w:sz w:val="25"/>
        </w:rPr>
        <w:t>GoTask＋洗腎Agent＋兩個簡易Skill＋照護Dashboard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項目</w:t>
            </w:r>
          </w:p>
        </w:tc>
        <w:tc>
          <w:tcPr>
            <w:tcW w:type="dxa" w:w="74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版本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v1.0（POC凍結版）</w:t>
            </w:r>
          </w:p>
        </w:tc>
      </w:tr>
      <w:tr>
        <w:trPr>
          <w:cantSplit/>
        </w:trPr>
        <w:tc>
          <w:tcPr>
            <w:tcW w:type="dxa" w:w="19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文件日期</w:t>
            </w:r>
          </w:p>
        </w:tc>
        <w:tc>
          <w:tcPr>
            <w:tcW w:type="dxa" w:w="74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2026年8月31日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開發目標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可操作流程畫面＋可實際呼叫的簡易Skill</w:t>
            </w:r>
          </w:p>
        </w:tc>
      </w:tr>
      <w:tr>
        <w:trPr>
          <w:cantSplit/>
        </w:trPr>
        <w:tc>
          <w:tcPr>
            <w:tcW w:type="dxa" w:w="19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示範場域</w:t>
            </w:r>
          </w:p>
        </w:tc>
        <w:tc>
          <w:tcPr>
            <w:tcW w:type="dxa" w:w="74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醫院洗腎室；洗腎機資料於POC採模擬API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資料聲明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所有病患、數值與事件均為完全虛構資料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DF6F7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87F8C"/>
                <w:sz w:val="20"/>
              </w:rPr>
              <w:t>POC核心原則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05B64"/>
                <w:sz w:val="19"/>
              </w:rPr>
              <w:t>三天完成可展示的最小閉環。Agent負責對話、任務及LINE推播；Skill負責資料驗證、保存、規則比對與可追溯輸出；醫療判斷、醫囑與結案均由人員確認。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目的與範圍</w:t>
      </w:r>
    </w:p>
    <w:p>
      <w:r>
        <w:rPr>
          <w:rFonts w:ascii="Noto Sans CJK TC" w:hAnsi="Noto Sans CJK TC" w:eastAsia="Noto Sans CJK TC"/>
          <w:b w:val="0"/>
          <w:color w:val="263F49"/>
          <w:sz w:val="21"/>
        </w:rPr>
        <w:t>本文件提供星期三工程開發所需的共同規格，涵蓋兩個Skill、六支API、六張資料表、四位虛構病患及十項驗收測試。正式產品所需的院內介接、資安、權限、正式醫療規則與法遵不納入本次三天POC。</w:t>
      </w:r>
    </w:p>
    <w:p>
      <w:pPr>
        <w:pStyle w:val="Heading2"/>
        <w:keepNext/>
      </w:pPr>
      <w:r>
        <w:t>1.1 POC角色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  <w:cantSplit/>
        </w:trPr>
        <w:tc>
          <w:tcPr>
            <w:tcW w:type="dxa" w:w="25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角色群組</w:t>
            </w:r>
          </w:p>
        </w:tc>
        <w:tc>
          <w:tcPr>
            <w:tcW w:type="dxa" w:w="68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POC操作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護理師／機構主管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同時查看四位病患、確認床機配對、輸入洗前後資料、追蹤異常及人工結案</w:t>
            </w:r>
          </w:p>
        </w:tc>
      </w:tr>
      <w:tr>
        <w:trPr>
          <w:cantSplit/>
        </w:trPr>
        <w:tc>
          <w:tcPr>
            <w:tcW w:type="dxa" w:w="25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病患／家屬／照護者</w:t>
            </w:r>
          </w:p>
        </w:tc>
        <w:tc>
          <w:tcPr>
            <w:tcW w:type="dxa" w:w="6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透過LINE早晚填報、主動回報不舒服、查看本人授權範圍內的趨勢與衛教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系統分工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元件</w:t>
            </w:r>
          </w:p>
        </w:tc>
        <w:tc>
          <w:tcPr>
            <w:tcW w:type="dxa" w:w="72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GoTask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Agent平台、任務入口、Router、Memory／MCP／Sandbox等平台能力</w:t>
            </w:r>
          </w:p>
        </w:tc>
      </w:tr>
      <w:tr>
        <w:trPr>
          <w:cantSplit/>
        </w:trPr>
        <w:tc>
          <w:tcPr>
            <w:tcW w:type="dxa" w:w="21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洗腎Agent</w:t>
            </w:r>
          </w:p>
        </w:tc>
        <w:tc>
          <w:tcPr>
            <w:tcW w:type="dxa" w:w="72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LINE對話、排程推播、呼叫Skill、建立與追蹤任務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LINE Tool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訊息推播與逐項填報；對GoTask而言僅為工具</w:t>
            </w:r>
          </w:p>
        </w:tc>
      </w:tr>
      <w:tr>
        <w:trPr>
          <w:cantSplit/>
        </w:trPr>
        <w:tc>
          <w:tcPr>
            <w:tcW w:type="dxa" w:w="21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S01 日常監測Skill</w:t>
            </w:r>
          </w:p>
        </w:tc>
        <w:tc>
          <w:tcPr>
            <w:tcW w:type="dxa" w:w="72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驗證、保存日常量測，比較已核准的個別標準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S02 透析療程Skill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保存床機關聯、洗前／中／後資料與療程事件</w:t>
            </w:r>
          </w:p>
        </w:tc>
      </w:tr>
      <w:tr>
        <w:trPr>
          <w:cantSplit/>
        </w:trPr>
        <w:tc>
          <w:tcPr>
            <w:tcW w:type="dxa" w:w="21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Dashboard</w:t>
            </w:r>
          </w:p>
        </w:tc>
        <w:tc>
          <w:tcPr>
            <w:tcW w:type="dxa" w:w="72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四位病患總覽、七日趨勢、個人頁面與追蹤案件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端到端操作流程</w:t>
      </w:r>
    </w:p>
    <w:p>
      <w:pPr>
        <w:pStyle w:val="Heading2"/>
        <w:keepNext/>
      </w:pPr>
      <w:r>
        <w:t>2.1 非透析日與日常填報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06:00與21:00由洗腎Agent透過LINE主動推播填報任務。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LINE逐項詢問體重、血壓、脈搏、症狀；糖尿病患者增加血糖與傷口變化。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病患、家屬或照護者查看摘要並確認後，洗腎Agent一次呼叫S01。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S01驗證並比較總護理師設定且經醫師確認的個別標準。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Dashboard更新七日趨勢；需要追蹤時由洗腎Agent建立主護任務。</w:t>
      </w:r>
    </w:p>
    <w:p>
      <w:pPr>
        <w:pStyle w:val="Heading2"/>
        <w:keepNext/>
      </w:pPr>
      <w:r>
        <w:t>2.2 透析日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洗腎Agent建立今日透析任務，護理師確認病患、班別、床號與洗腎機號。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接收洗前體重，顯示參考乾體重及體重差，由護理師確認本次目標脫水量。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POC模擬API傳入透析期間血壓及累積脫水量。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發生低／高血壓、抽筋或其他事件時，S02提示護理師並記錄實際執行人。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結束後寫入洗後體重、實際脫水量與完成狀態；有止血帶時一小時後提醒確認解除。</w:t>
      </w:r>
    </w:p>
    <w:p>
      <w:pPr>
        <w:pStyle w:val="Heading1"/>
        <w:keepNext/>
      </w:pPr>
      <w:r>
        <w:t>3. S01 腎友日常監測Skill</w:t>
      </w:r>
    </w:p>
    <w:p>
      <w:r>
        <w:rPr>
          <w:rFonts w:ascii="Noto Sans CJK TC" w:hAnsi="Noto Sans CJK TC" w:eastAsia="Noto Sans CJK TC"/>
          <w:b w:val="0"/>
          <w:color w:val="263F49"/>
          <w:sz w:val="21"/>
        </w:rPr>
        <w:t>目的：接收病患、家屬或照護者的早晚量測或臨時不舒服填報，完成驗證、保存、個別規則比對及追蹤提醒。</w:t>
      </w:r>
    </w:p>
    <w:p>
      <w:pPr>
        <w:pStyle w:val="Heading2"/>
        <w:keepNext/>
      </w:pPr>
      <w:r>
        <w:t>3.1 輸入欄位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4700"/>
        <w:gridCol w:w="2060"/>
      </w:tblGrid>
      <w:tr>
        <w:trPr>
          <w:cantSplit/>
          <w:tblHeader w:val="true"/>
          <w:cantSplit/>
        </w:trPr>
        <w:tc>
          <w:tcPr>
            <w:tcW w:type="dxa" w:w="26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欄位</w:t>
            </w:r>
          </w:p>
        </w:tc>
        <w:tc>
          <w:tcPr>
            <w:tcW w:type="dxa" w:w="47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型別／範例</w:t>
            </w:r>
          </w:p>
        </w:tc>
        <w:tc>
          <w:tcPr>
            <w:tcW w:type="dxa" w:w="20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必要性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patient_id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string／P001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record_type</w:t>
            </w:r>
          </w:p>
        </w:tc>
        <w:tc>
          <w:tcPr>
            <w:tcW w:type="dxa" w:w="4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MORNING｜EVENING｜SYMPTOM_REPORT</w:t>
            </w:r>
          </w:p>
        </w:tc>
        <w:tc>
          <w:tcPr>
            <w:tcW w:type="dxa" w:w="20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recorded_at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ISO 8601時間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submitted_by_role</w:t>
            </w:r>
          </w:p>
        </w:tc>
        <w:tc>
          <w:tcPr>
            <w:tcW w:type="dxa" w:w="4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PATIENT｜FAMILY｜CAREGIVER</w:t>
            </w:r>
          </w:p>
        </w:tc>
        <w:tc>
          <w:tcPr>
            <w:tcW w:type="dxa" w:w="20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measurements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體重、血壓、脈搏；糖尿病者含血糖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symptoms</w:t>
            </w:r>
          </w:p>
        </w:tc>
        <w:tc>
          <w:tcPr>
            <w:tcW w:type="dxa" w:w="4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摔倒、抽筋、發燒、呼吸、傷口及其他說明</w:t>
            </w:r>
          </w:p>
        </w:tc>
        <w:tc>
          <w:tcPr>
            <w:tcW w:type="dxa" w:w="20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可選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confirmed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本人確認旗標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必須為true才正式寫入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輸出欄位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  <w:cantSplit/>
        </w:trPr>
        <w:tc>
          <w:tcPr>
            <w:tcW w:type="dxa" w:w="26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欄位</w:t>
            </w:r>
          </w:p>
        </w:tc>
        <w:tc>
          <w:tcPr>
            <w:tcW w:type="dxa" w:w="67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monitoring_record_id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正式紀錄編號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record_status</w:t>
            </w:r>
          </w:p>
        </w:tc>
        <w:tc>
          <w:tcPr>
            <w:tcW w:type="dxa" w:w="67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SAVED或REJECTED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comparison_result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參考乾體重、差值與百分比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matched_rules</w:t>
            </w:r>
          </w:p>
        </w:tc>
        <w:tc>
          <w:tcPr>
            <w:tcW w:type="dxa" w:w="67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規則ID、版本、訊息及證據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follow_up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是否追蹤、主護理師及狀態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patient_message</w:t>
            </w:r>
          </w:p>
        </w:tc>
        <w:tc>
          <w:tcPr>
            <w:tcW w:type="dxa" w:w="67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給填報者的非診斷性訊息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POST /api/monitoring-records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"patient_id": "P001", "record_type": "MORNING",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"recorded_at": "2026-09-02T06:12:00+08:00",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"submitted_by_role": "PATIENT",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"measurements": {"weight_kg": 66.4, "systolic": 176, "diastolic": 96, "pulse": 88, "blood_glucose_mg_dl": 268},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"symptoms": {"fall": false, "wound_changed": true, "other_note": "右腳傷口較紅"},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"confirmed": 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DF6F7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A53D2D"/>
                <w:sz w:val="20"/>
              </w:rPr>
              <w:t>S01責任邊界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05B64"/>
                <w:sz w:val="19"/>
              </w:rPr>
              <w:t>只能比對已核准的個別標準並說明提醒證據；不得診斷、開立醫囑、調整藥物、修改乾體重或自動結案。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S02 透析療程紀錄與提醒Skill</w:t>
      </w:r>
    </w:p>
    <w:p>
      <w:r>
        <w:rPr>
          <w:rFonts w:ascii="Noto Sans CJK TC" w:hAnsi="Noto Sans CJK TC" w:eastAsia="Noto Sans CJK TC"/>
          <w:b w:val="0"/>
          <w:color w:val="263F49"/>
          <w:sz w:val="21"/>
        </w:rPr>
        <w:t>目的：建立病患、床號與洗腎機的單次Session關聯，保存洗前、透析中及洗後資料，並產生可追溯的護理師提醒。</w:t>
      </w:r>
    </w:p>
    <w:p>
      <w:pPr>
        <w:pStyle w:val="Heading2"/>
        <w:keepNext/>
      </w:pPr>
      <w:r>
        <w:t>4.1 核心輸入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900"/>
        <w:gridCol w:w="25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階段</w:t>
            </w:r>
          </w:p>
        </w:tc>
        <w:tc>
          <w:tcPr>
            <w:tcW w:type="dxa" w:w="49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主要資料</w:t>
            </w:r>
          </w:p>
        </w:tc>
        <w:tc>
          <w:tcPr>
            <w:tcW w:type="dxa" w:w="25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確認人／來源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Session建立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病患、日期、班別、床號、機號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護理師</w:t>
            </w:r>
          </w:p>
        </w:tc>
      </w:tr>
      <w:tr>
        <w:trPr>
          <w:cantSplit/>
        </w:trPr>
        <w:tc>
          <w:tcPr>
            <w:tcW w:type="dxa" w:w="19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洗前</w:t>
            </w:r>
          </w:p>
        </w:tc>
        <w:tc>
          <w:tcPr>
            <w:tcW w:type="dxa" w:w="49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洗前體重、參考乾體重、目標脫水量、個別醫囑提示</w:t>
            </w:r>
          </w:p>
        </w:tc>
        <w:tc>
          <w:tcPr>
            <w:tcW w:type="dxa" w:w="25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護理師確認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透析中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時間、血壓、脈搏、累積脫水量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模擬機構API</w:t>
            </w:r>
          </w:p>
        </w:tc>
      </w:tr>
      <w:tr>
        <w:trPr>
          <w:cantSplit/>
        </w:trPr>
        <w:tc>
          <w:tcPr>
            <w:tcW w:type="dxa" w:w="19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事件</w:t>
            </w:r>
          </w:p>
        </w:tc>
        <w:tc>
          <w:tcPr>
            <w:tcW w:type="dxa" w:w="49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暫停／恢復脫水、抽筋、提前結束及原因</w:t>
            </w:r>
          </w:p>
        </w:tc>
        <w:tc>
          <w:tcPr>
            <w:tcW w:type="dxa" w:w="25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現場醫護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洗後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洗後體重、實際脫水量、完成狀態、止血帶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護理師確認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核心輸出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  <w:cantSplit/>
        </w:trPr>
        <w:tc>
          <w:tcPr>
            <w:tcW w:type="dxa" w:w="26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輸出</w:t>
            </w:r>
          </w:p>
        </w:tc>
        <w:tc>
          <w:tcPr>
            <w:tcW w:type="dxa" w:w="67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binding_result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病患、床號、機號是否驗證一致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session_summary</w:t>
            </w:r>
          </w:p>
        </w:tc>
        <w:tc>
          <w:tcPr>
            <w:tcW w:type="dxa" w:w="67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洗前後體重、目標／實際脫水量及完成率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recorded_events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血壓與現場事件的時間線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matched_rules</w:t>
            </w:r>
          </w:p>
        </w:tc>
        <w:tc>
          <w:tcPr>
            <w:tcW w:type="dxa" w:w="67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規則ID、版本與命中證據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follow_up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主護追蹤原因與狀態</w:t>
            </w:r>
          </w:p>
        </w:tc>
      </w:tr>
      <w:tr>
        <w:trPr>
          <w:cantSplit/>
        </w:trPr>
        <w:tc>
          <w:tcPr>
            <w:tcW w:type="dxa" w:w="2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scheduled_tasks</w:t>
            </w:r>
          </w:p>
        </w:tc>
        <w:tc>
          <w:tcPr>
            <w:tcW w:type="dxa" w:w="67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例如止血帶一小時後確認提醒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POST /api/dialysis-sessions/{id}/events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"event_type": "UF_PAUSED",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"occurred_at": "2026-09-02T08:30:00+08:00",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"source": "NURSE", "machine_id": "HDM-A01",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"measurements": {"systolic": 84, "diastolic": 52},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"symptoms": ["DIZZINESS"], "performed_by": "N001",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"note": "護理師確認後暫停脫水"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DF6F7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A53D2D"/>
                <w:sz w:val="20"/>
              </w:rPr>
              <w:t>S02責任邊界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05B64"/>
                <w:sz w:val="19"/>
              </w:rPr>
              <w:t>目標脫水量、暫停、恢復及提前結束均由現場醫護確認；POC不得直接控制洗腎機，也不得用AI自行決定醫療處置。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六支POC API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3600"/>
        <w:gridCol w:w="3600"/>
        <w:gridCol w:w="1360"/>
      </w:tblGrid>
      <w:tr>
        <w:trPr>
          <w:cantSplit/>
          <w:tblHeader w:val="true"/>
          <w:cantSplit/>
        </w:trPr>
        <w:tc>
          <w:tcPr>
            <w:tcW w:type="dxa" w:w="8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編號</w:t>
            </w:r>
          </w:p>
        </w:tc>
        <w:tc>
          <w:tcPr>
            <w:tcW w:type="dxa" w:w="36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方法與路徑</w:t>
            </w:r>
          </w:p>
        </w:tc>
        <w:tc>
          <w:tcPr>
            <w:tcW w:type="dxa" w:w="36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用途</w:t>
            </w:r>
          </w:p>
        </w:tc>
        <w:tc>
          <w:tcPr>
            <w:tcW w:type="dxa" w:w="13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呼叫者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POST /api/monitoring-records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寫入早晚量測或不舒服填報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S01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A02</w:t>
            </w:r>
          </w:p>
        </w:tc>
        <w:tc>
          <w:tcPr>
            <w:tcW w:type="dxa" w:w="3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GET /api/patients/{id}/dashboard</w:t>
            </w:r>
          </w:p>
        </w:tc>
        <w:tc>
          <w:tcPr>
            <w:tcW w:type="dxa" w:w="3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取得個人摘要、七日趨勢與待辦</w:t>
            </w:r>
          </w:p>
        </w:tc>
        <w:tc>
          <w:tcPr>
            <w:tcW w:type="dxa" w:w="13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Dashboard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POST /api/dialysis-sessions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建立Session及床機配對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S02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A04</w:t>
            </w:r>
          </w:p>
        </w:tc>
        <w:tc>
          <w:tcPr>
            <w:tcW w:type="dxa" w:w="3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POST /api/dialysis-sessions/{id}/events</w:t>
            </w:r>
          </w:p>
        </w:tc>
        <w:tc>
          <w:tcPr>
            <w:tcW w:type="dxa" w:w="3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寫入機器數值或醫護事件</w:t>
            </w:r>
          </w:p>
        </w:tc>
        <w:tc>
          <w:tcPr>
            <w:tcW w:type="dxa" w:w="13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S02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POST /api/dialysis-sessions/{id}/complete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寫入洗後體重與結果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S02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A06</w:t>
            </w:r>
          </w:p>
        </w:tc>
        <w:tc>
          <w:tcPr>
            <w:tcW w:type="dxa" w:w="3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PATCH /api/follow-up-cases/{id}</w:t>
            </w:r>
          </w:p>
        </w:tc>
        <w:tc>
          <w:tcPr>
            <w:tcW w:type="dxa" w:w="36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記錄聯絡、追蹤與人工結案</w:t>
            </w:r>
          </w:p>
        </w:tc>
        <w:tc>
          <w:tcPr>
            <w:tcW w:type="dxa" w:w="13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洗腎Agent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GoTask Router事件格式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"request_id": "REQ-20260902-001",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"agent": "RENAL_CARE_AGENT",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"task_type": "DAILY_MONITORING",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"patient_id": "P001",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"source": "LINE",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 xml:space="preserve">  "payload": {}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43B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cantSplit/>
          <w:tblHeader w:val="true"/>
          <w:cantSplit/>
        </w:trPr>
        <w:tc>
          <w:tcPr>
            <w:tcW w:type="dxa" w:w="31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task_type</w:t>
            </w:r>
          </w:p>
        </w:tc>
        <w:tc>
          <w:tcPr>
            <w:tcW w:type="dxa" w:w="62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洗腎Agent動作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DAILY_MONITORING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啟動LINE對話；確認後呼叫S01</w:t>
            </w:r>
          </w:p>
        </w:tc>
      </w:tr>
      <w:tr>
        <w:trPr>
          <w:cantSplit/>
        </w:trPr>
        <w:tc>
          <w:tcPr>
            <w:tcW w:type="dxa" w:w="31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SYMPTOM_REPORT</w:t>
            </w:r>
          </w:p>
        </w:tc>
        <w:tc>
          <w:tcPr>
            <w:tcW w:type="dxa" w:w="62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臨時填報並呼叫S01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DIALYSIS_SESSION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建立透析任務並呼叫S02</w:t>
            </w:r>
          </w:p>
        </w:tc>
      </w:tr>
      <w:tr>
        <w:trPr>
          <w:cantSplit/>
        </w:trPr>
        <w:tc>
          <w:tcPr>
            <w:tcW w:type="dxa" w:w="31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MACHINE_DATA_RECEIVED</w:t>
            </w:r>
          </w:p>
        </w:tc>
        <w:tc>
          <w:tcPr>
            <w:tcW w:type="dxa" w:w="62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將模擬機器數據傳入S02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FOLLOW_UP_REQUIRED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建立主護理師追蹤任務</w:t>
            </w:r>
          </w:p>
        </w:tc>
      </w:tr>
      <w:tr>
        <w:trPr>
          <w:cantSplit/>
        </w:trPr>
        <w:tc>
          <w:tcPr>
            <w:tcW w:type="dxa" w:w="31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EDUCATION_PUSH</w:t>
            </w:r>
          </w:p>
        </w:tc>
        <w:tc>
          <w:tcPr>
            <w:tcW w:type="dxa" w:w="62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以LINE推播院方核准衛教內容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POC資料模型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2000"/>
        <w:gridCol w:w="4960"/>
      </w:tblGrid>
      <w:tr>
        <w:trPr>
          <w:cantSplit/>
          <w:tblHeader w:val="true"/>
          <w:cantSplit/>
        </w:trPr>
        <w:tc>
          <w:tcPr>
            <w:tcW w:type="dxa" w:w="24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資料表</w:t>
            </w:r>
          </w:p>
        </w:tc>
        <w:tc>
          <w:tcPr>
            <w:tcW w:type="dxa" w:w="20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主鍵</w:t>
            </w:r>
          </w:p>
        </w:tc>
        <w:tc>
          <w:tcPr>
            <w:tcW w:type="dxa" w:w="49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主要內容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renal_patient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patient_id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病患、主護、班別、乾體重、糖尿病標記</w:t>
            </w:r>
          </w:p>
        </w:tc>
      </w:tr>
      <w:tr>
        <w:trPr>
          <w:cantSplit/>
        </w:trPr>
        <w:tc>
          <w:tcPr>
            <w:tcW w:type="dxa" w:w="24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patient_rule</w:t>
            </w:r>
          </w:p>
        </w:tc>
        <w:tc>
          <w:tcPr>
            <w:tcW w:type="dxa" w:w="20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rule_id</w:t>
            </w:r>
          </w:p>
        </w:tc>
        <w:tc>
          <w:tcPr>
            <w:tcW w:type="dxa" w:w="49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個別標準、版本、確認人與有效期間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monitoring_record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record_id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早晚體重、血壓、血糖、症狀及填寫者</w:t>
            </w:r>
          </w:p>
        </w:tc>
      </w:tr>
      <w:tr>
        <w:trPr>
          <w:cantSplit/>
        </w:trPr>
        <w:tc>
          <w:tcPr>
            <w:tcW w:type="dxa" w:w="24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dialysis_session</w:t>
            </w:r>
          </w:p>
        </w:tc>
        <w:tc>
          <w:tcPr>
            <w:tcW w:type="dxa" w:w="20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session_id</w:t>
            </w:r>
          </w:p>
        </w:tc>
        <w:tc>
          <w:tcPr>
            <w:tcW w:type="dxa" w:w="49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日期、床號、機號、洗前後體重與脫水結果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dialysis_event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event_id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機器數值、暫停／恢復、抽筋及提前結束</w:t>
            </w:r>
          </w:p>
        </w:tc>
      </w:tr>
      <w:tr>
        <w:trPr>
          <w:cantSplit/>
        </w:trPr>
        <w:tc>
          <w:tcPr>
            <w:tcW w:type="dxa" w:w="24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follow_up_case</w:t>
            </w:r>
          </w:p>
        </w:tc>
        <w:tc>
          <w:tcPr>
            <w:tcW w:type="dxa" w:w="20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case_id</w:t>
            </w:r>
          </w:p>
        </w:tc>
        <w:tc>
          <w:tcPr>
            <w:tcW w:type="dxa" w:w="49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提醒原因、證據、負責人及追蹤狀態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b w:val="0"/>
          <w:color w:val="263F49"/>
          <w:sz w:val="21"/>
        </w:rPr>
        <w:t>主要關聯：renal_patient對patient_rule、monitoring_record、dialysis_session與follow_up_case皆為一對多；dialysis_session對dialysis_event及follow_up_case為一對多。</w:t>
      </w:r>
    </w:p>
    <w:p>
      <w:pPr>
        <w:pStyle w:val="Heading1"/>
        <w:keepNext/>
      </w:pPr>
      <w:r>
        <w:t>7. 四位虛構病患與預期情境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450"/>
        <w:gridCol w:w="2350"/>
        <w:gridCol w:w="2500"/>
        <w:gridCol w:w="1610"/>
      </w:tblGrid>
      <w:tr>
        <w:trPr>
          <w:cantSplit/>
          <w:tblHeader w:val="true"/>
          <w:cantSplit/>
        </w:trPr>
        <w:tc>
          <w:tcPr>
            <w:tcW w:type="dxa" w:w="145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病患</w:t>
            </w:r>
          </w:p>
        </w:tc>
        <w:tc>
          <w:tcPr>
            <w:tcW w:type="dxa" w:w="145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床／機</w:t>
            </w:r>
          </w:p>
        </w:tc>
        <w:tc>
          <w:tcPr>
            <w:tcW w:type="dxa" w:w="235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背景與數值</w:t>
            </w:r>
          </w:p>
        </w:tc>
        <w:tc>
          <w:tcPr>
            <w:tcW w:type="dxa" w:w="25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療程情境</w:t>
            </w:r>
          </w:p>
        </w:tc>
        <w:tc>
          <w:tcPr>
            <w:tcW w:type="dxa" w:w="161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預期結果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P001 王美華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A01／HDM-A01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糖尿病；乾重63.0；洗前66.4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84/52頭暈；暫停後恢復；實際2.2/3.0L</w:t>
            </w:r>
          </w:p>
        </w:tc>
        <w:tc>
          <w:tcPr>
            <w:tcW w:type="dxa" w:w="161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紅色：血壓、血糖、傷口、脫水追蹤</w:t>
            </w:r>
          </w:p>
        </w:tc>
      </w:tr>
      <w:tr>
        <w:trPr>
          <w:cantSplit/>
        </w:trPr>
        <w:tc>
          <w:tcPr>
            <w:tcW w:type="dxa" w:w="145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P002 李建國</w:t>
            </w:r>
          </w:p>
        </w:tc>
        <w:tc>
          <w:tcPr>
            <w:tcW w:type="dxa" w:w="145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A02／HDM-A02</w:t>
            </w:r>
          </w:p>
        </w:tc>
        <w:tc>
          <w:tcPr>
            <w:tcW w:type="dxa" w:w="235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心血管；乾重57.5；洗前58.9</w:t>
            </w:r>
          </w:p>
        </w:tc>
        <w:tc>
          <w:tcPr>
            <w:tcW w:type="dxa" w:w="25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穩定；實際1.4/1.4L</w:t>
            </w:r>
          </w:p>
        </w:tc>
        <w:tc>
          <w:tcPr>
            <w:tcW w:type="dxa" w:w="161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綠色：正常完成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P003 陳阿玉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A03／HDM-A03</w:t>
            </w:r>
          </w:p>
        </w:tc>
        <w:tc>
          <w:tcPr>
            <w:tcW w:type="dxa" w:w="235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先天性；乾重59.8；前日摔倒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184/98；醫師已查看；1.4/1.4L</w:t>
            </w:r>
          </w:p>
        </w:tc>
        <w:tc>
          <w:tcPr>
            <w:tcW w:type="dxa" w:w="161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黃色：摔倒與高血壓追蹤</w:t>
            </w:r>
          </w:p>
        </w:tc>
      </w:tr>
      <w:tr>
        <w:trPr>
          <w:cantSplit/>
        </w:trPr>
        <w:tc>
          <w:tcPr>
            <w:tcW w:type="dxa" w:w="145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P004 林志明</w:t>
            </w:r>
          </w:p>
        </w:tc>
        <w:tc>
          <w:tcPr>
            <w:tcW w:type="dxa" w:w="145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A04／HDM-A04</w:t>
            </w:r>
          </w:p>
        </w:tc>
        <w:tc>
          <w:tcPr>
            <w:tcW w:type="dxa" w:w="235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其他；乾重68.0；早晨漏填</w:t>
            </w:r>
          </w:p>
        </w:tc>
        <w:tc>
          <w:tcPr>
            <w:tcW w:type="dxa" w:w="25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抽筋後提前結束；1.6/2.3L</w:t>
            </w:r>
          </w:p>
        </w:tc>
        <w:tc>
          <w:tcPr>
            <w:tcW w:type="dxa" w:w="161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紅色：漏填、抽筋與未完成追蹤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狀態代碼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  <w:cantSplit/>
        </w:trPr>
        <w:tc>
          <w:tcPr>
            <w:tcW w:type="dxa" w:w="25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類型</w:t>
            </w:r>
          </w:p>
        </w:tc>
        <w:tc>
          <w:tcPr>
            <w:tcW w:type="dxa" w:w="68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允許值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日常填報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MORNING、EVENING、SYMPTOM_REPORT</w:t>
            </w:r>
          </w:p>
        </w:tc>
      </w:tr>
      <w:tr>
        <w:trPr>
          <w:cantSplit/>
        </w:trPr>
        <w:tc>
          <w:tcPr>
            <w:tcW w:type="dxa" w:w="25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透析Session</w:t>
            </w:r>
          </w:p>
        </w:tc>
        <w:tc>
          <w:tcPr>
            <w:tcW w:type="dxa" w:w="6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PREPARING、IN_PROGRESS、COMPLETED、PARTIALLY_COMPLETED、EARLY_TERMINATED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透析事件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DIALYSIS_STARTED、BLOOD_PRESSURE_RECORDED、UF_PAUSED、UF_RESUMED、CRAMP_REPORTED、DIALYSIS_ENDED</w:t>
            </w:r>
          </w:p>
        </w:tc>
      </w:tr>
      <w:tr>
        <w:trPr>
          <w:cantSplit/>
        </w:trPr>
        <w:tc>
          <w:tcPr>
            <w:tcW w:type="dxa" w:w="25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追蹤案件</w:t>
            </w:r>
          </w:p>
        </w:tc>
        <w:tc>
          <w:tcPr>
            <w:tcW w:type="dxa" w:w="6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WAITING_FOR_REVIEW、CONTACTED、FOLLOWING、CLOSED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POC驗收測試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3700"/>
        <w:gridCol w:w="4860"/>
      </w:tblGrid>
      <w:tr>
        <w:trPr>
          <w:cantSplit/>
          <w:tblHeader w:val="true"/>
          <w:cantSplit/>
        </w:trPr>
        <w:tc>
          <w:tcPr>
            <w:tcW w:type="dxa" w:w="8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編號</w:t>
            </w:r>
          </w:p>
        </w:tc>
        <w:tc>
          <w:tcPr>
            <w:tcW w:type="dxa" w:w="370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測試情境</w:t>
            </w:r>
          </w:p>
        </w:tc>
        <w:tc>
          <w:tcPr>
            <w:tcW w:type="dxa" w:w="4860"/>
            <w:vAlign w:val="center"/>
            <w:shd w:fill="E8F3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53C50"/>
                <w:sz w:val="18"/>
              </w:rPr>
              <w:t>通過條件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T01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完成早晨填報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Dashboard立即顯示新數字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T02</w:t>
            </w:r>
          </w:p>
        </w:tc>
        <w:tc>
          <w:tcPr>
            <w:tcW w:type="dxa" w:w="3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資料未經本人確認</w:t>
            </w:r>
          </w:p>
        </w:tc>
        <w:tc>
          <w:tcPr>
            <w:tcW w:type="dxa" w:w="4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不得寫入正式紀錄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T03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糖尿病病患填報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出現血糖及傷口欄位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T04</w:t>
            </w:r>
          </w:p>
        </w:tc>
        <w:tc>
          <w:tcPr>
            <w:tcW w:type="dxa" w:w="3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填報摔倒</w:t>
            </w:r>
          </w:p>
        </w:tc>
        <w:tc>
          <w:tcPr>
            <w:tcW w:type="dxa" w:w="4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建立主護理師追蹤案件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T05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未完成早晨填報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顯示漏填並由Agent提醒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T06</w:t>
            </w:r>
          </w:p>
        </w:tc>
        <w:tc>
          <w:tcPr>
            <w:tcW w:type="dxa" w:w="3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建立透析Session</w:t>
            </w:r>
          </w:p>
        </w:tc>
        <w:tc>
          <w:tcPr>
            <w:tcW w:type="dxa" w:w="4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病患、床號與機號驗證一致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T07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傳入模擬機器血壓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四人Dashboard更新數值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T08</w:t>
            </w:r>
          </w:p>
        </w:tc>
        <w:tc>
          <w:tcPr>
            <w:tcW w:type="dxa" w:w="3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記錄暫停或恢復脫水</w:t>
            </w:r>
          </w:p>
        </w:tc>
        <w:tc>
          <w:tcPr>
            <w:tcW w:type="dxa" w:w="4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保存執行人與時間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T09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提前結束透析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顯示實際脫水量並建立追蹤</w:t>
            </w:r>
          </w:p>
        </w:tc>
      </w:tr>
      <w:tr>
        <w:trPr>
          <w:cantSplit/>
        </w:trPr>
        <w:tc>
          <w:tcPr>
            <w:tcW w:type="dxa" w:w="8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T10</w:t>
            </w:r>
          </w:p>
        </w:tc>
        <w:tc>
          <w:tcPr>
            <w:tcW w:type="dxa" w:w="370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AI嘗試自動結案</w:t>
            </w:r>
          </w:p>
        </w:tc>
        <w:tc>
          <w:tcPr>
            <w:tcW w:type="dxa" w:w="4860"/>
            <w:shd w:fill="F4F8F9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344F59"/>
                <w:sz w:val="17"/>
              </w:rPr>
              <w:t>系統拒絕；只能由授權人員人工結案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工程實作順序與完成定義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建立六張POC資料表並匯入四位虛構病患。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完成A01與S01，連接LINE模擬填報與個人Dashboard。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完成A03、A04、A05與S02，連接洗腎機模擬資料。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完成A02，讓護理師Dashboard同時顯示四位病患；個人頁僅顯示授權資料。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完成A06與追蹤狀態按鈕，確保AI不得自動結案。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TC" w:hAnsi="Noto Sans CJK TC" w:eastAsia="Noto Sans CJK TC"/>
          <w:b w:val="0"/>
          <w:color w:val="263F49"/>
          <w:sz w:val="20"/>
        </w:rPr>
        <w:t>執行T01至T10；全部通過後進行醫院POC展示。</w:t>
      </w:r>
    </w:p>
    <w:p>
      <w:pPr>
        <w:pStyle w:val="Heading2"/>
        <w:keepNext/>
      </w:pPr>
      <w:r>
        <w:t>10.1 三天POC完成定義</w:t>
      </w:r>
    </w:p>
    <w:p>
      <w:pPr>
        <w:pStyle w:val="ListBullet"/>
        <w:keepLines/>
      </w:pPr>
      <w:r>
        <w:rPr>
          <w:rFonts w:ascii="Noto Sans CJK TC" w:hAnsi="Noto Sans CJK TC" w:eastAsia="Noto Sans CJK TC"/>
          <w:b w:val="0"/>
          <w:color w:val="263F49"/>
          <w:sz w:val="20"/>
        </w:rPr>
        <w:t>護理師可在同一畫面看到四位病患的床號、機號、體重、血壓、脫水進度及追蹤狀態。</w:t>
      </w:r>
    </w:p>
    <w:p>
      <w:pPr>
        <w:pStyle w:val="ListBullet"/>
        <w:keepLines/>
      </w:pPr>
      <w:r>
        <w:rPr>
          <w:rFonts w:ascii="Noto Sans CJK TC" w:hAnsi="Noto Sans CJK TC" w:eastAsia="Noto Sans CJK TC"/>
          <w:b w:val="0"/>
          <w:color w:val="263F49"/>
          <w:sz w:val="20"/>
        </w:rPr>
        <w:t>病患、家屬或照護者可用LINE完成一筆經確認的日常填報。</w:t>
      </w:r>
    </w:p>
    <w:p>
      <w:pPr>
        <w:pStyle w:val="ListBullet"/>
        <w:keepLines/>
      </w:pPr>
      <w:r>
        <w:rPr>
          <w:rFonts w:ascii="Noto Sans CJK TC" w:hAnsi="Noto Sans CJK TC" w:eastAsia="Noto Sans CJK TC"/>
          <w:b w:val="0"/>
          <w:color w:val="263F49"/>
          <w:sz w:val="20"/>
        </w:rPr>
        <w:t>S01與S02都能以HTTP／JSON實際呼叫並回傳可追溯的結果。</w:t>
      </w:r>
    </w:p>
    <w:p>
      <w:pPr>
        <w:pStyle w:val="ListBullet"/>
        <w:keepLines/>
      </w:pPr>
      <w:r>
        <w:rPr>
          <w:rFonts w:ascii="Noto Sans CJK TC" w:hAnsi="Noto Sans CJK TC" w:eastAsia="Noto Sans CJK TC"/>
          <w:b w:val="0"/>
          <w:color w:val="263F49"/>
          <w:sz w:val="20"/>
        </w:rPr>
        <w:t>四種情境可重複展示：正常完成、低血壓、高血壓／摔倒、抽筋提前結束。</w:t>
      </w:r>
    </w:p>
    <w:p>
      <w:pPr>
        <w:pStyle w:val="ListBullet"/>
        <w:keepLines/>
      </w:pPr>
      <w:r>
        <w:rPr>
          <w:rFonts w:ascii="Noto Sans CJK TC" w:hAnsi="Noto Sans CJK TC" w:eastAsia="Noto Sans CJK TC"/>
          <w:b w:val="0"/>
          <w:color w:val="263F49"/>
          <w:sz w:val="20"/>
        </w:rPr>
        <w:t>醫療判斷、醫囑、乾體重調整及案件結案均保留人員確認。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DF6F7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87F8C"/>
                <w:sz w:val="20"/>
              </w:rPr>
              <w:t>不納入本次POC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05B64"/>
                <w:sz w:val="19"/>
              </w:rPr>
              <w:t>正式院內API、正式LINE帳號與Webhook、真實病患資料、洗腎機控制、完整IAM／資安、正式醫療規則審查、完整檢驗與月初／月中／季度大抽流程。這些列入正式系統階段。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687B83"/>
        <w:sz w:val="16"/>
      </w:rPr>
      <w:t>英特內軟體｜POC Draft v1.0｜完全虛構展示資料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687B83"/>
        <w:sz w:val="17"/>
      </w:rPr>
      <w:t>腎友照護 POC｜工程交付規格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3C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3C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720" w:hanging="360"/>
      <w:contextualSpacing/>
    </w:pPr>
    <w:rPr>
      <w:rFonts w:ascii="Noto Sans CJK TC" w:hAnsi="Noto Sans CJK TC" w:eastAsia="Noto Sans CJK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720" w:hanging="360"/>
      <w:contextualSpacing/>
    </w:pPr>
    <w:rPr>
      <w:rFonts w:ascii="Noto Sans CJK TC" w:hAnsi="Noto Sans CJK TC" w:eastAsia="Noto Sans CJK T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腎友照護POC工程交付規格書</dc:title>
  <dc:subject>GoTask 洗腎Agent POC</dc:subject>
  <dc:creator>英特內軟體</dc:creator>
  <cp:keywords/>
  <dc:description>所有病患及數值均為虛構展示資料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