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sz w:val="56"/>
          <w:szCs w:val="56"/>
          <w:rtl w:val="0"/>
        </w:rPr>
        <w:t xml:space="preserve">BASES DE DATOS APLICADA</w:t>
      </w:r>
      <w:r w:rsidDel="00000000" w:rsidR="00000000" w:rsidRPr="00000000">
        <w:rPr>
          <w:sz w:val="56"/>
          <w:szCs w:val="56"/>
          <w:rtl w:val="0"/>
        </w:rPr>
        <w:t xml:space="preserve"> </w:t>
      </w:r>
    </w:p>
    <w:p w:rsidR="00000000" w:rsidDel="00000000" w:rsidP="00000000" w:rsidRDefault="00000000" w:rsidRPr="00000000" w14:paraId="00000002">
      <w:pPr>
        <w:jc w:val="left"/>
        <w:rPr>
          <w:sz w:val="52"/>
          <w:szCs w:val="52"/>
        </w:rPr>
      </w:pPr>
      <w:r w:rsidDel="00000000" w:rsidR="00000000" w:rsidRPr="00000000">
        <w:rPr>
          <w:rtl w:val="0"/>
        </w:rPr>
      </w:r>
    </w:p>
    <w:p w:rsidR="00000000" w:rsidDel="00000000" w:rsidP="00000000" w:rsidRDefault="00000000" w:rsidRPr="00000000" w14:paraId="00000003">
      <w:pPr>
        <w:jc w:val="center"/>
        <w:rPr>
          <w:sz w:val="96"/>
          <w:szCs w:val="96"/>
        </w:rPr>
      </w:pPr>
      <w:r w:rsidDel="00000000" w:rsidR="00000000" w:rsidRPr="00000000">
        <w:rPr>
          <w:sz w:val="96"/>
          <w:szCs w:val="96"/>
          <w:rtl w:val="0"/>
        </w:rPr>
        <w:t xml:space="preserve">TRABAJO PRÁCTICO INTEGRADOR</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sz w:val="44"/>
          <w:szCs w:val="44"/>
          <w:rtl w:val="0"/>
        </w:rPr>
        <w:t xml:space="preserve">Fecha de presentación:  12/11/2024</w:t>
      </w:r>
    </w:p>
    <w:p w:rsidR="00000000" w:rsidDel="00000000" w:rsidP="00000000" w:rsidRDefault="00000000" w:rsidRPr="00000000" w14:paraId="00000008">
      <w:pPr>
        <w:rPr>
          <w:sz w:val="44"/>
          <w:szCs w:val="44"/>
        </w:rPr>
      </w:pPr>
      <w:r w:rsidDel="00000000" w:rsidR="00000000" w:rsidRPr="00000000">
        <w:rPr>
          <w:sz w:val="44"/>
          <w:szCs w:val="44"/>
          <w:rtl w:val="0"/>
        </w:rPr>
        <w:t xml:space="preserve">Cliente: Aurora SA</w:t>
      </w:r>
    </w:p>
    <w:p w:rsidR="00000000" w:rsidDel="00000000" w:rsidP="00000000" w:rsidRDefault="00000000" w:rsidRPr="00000000" w14:paraId="00000009">
      <w:pPr>
        <w:spacing w:after="160" w:line="259" w:lineRule="auto"/>
        <w:rPr>
          <w:sz w:val="44"/>
          <w:szCs w:val="44"/>
        </w:rPr>
      </w:pPr>
      <w:r w:rsidDel="00000000" w:rsidR="00000000" w:rsidRPr="00000000">
        <w:rPr>
          <w:sz w:val="44"/>
          <w:szCs w:val="44"/>
          <w:rtl w:val="0"/>
        </w:rPr>
        <w:t xml:space="preserve">Grupo: 1</w:t>
      </w:r>
    </w:p>
    <w:p w:rsidR="00000000" w:rsidDel="00000000" w:rsidP="00000000" w:rsidRDefault="00000000" w:rsidRPr="00000000" w14:paraId="0000000A">
      <w:pPr>
        <w:spacing w:after="160" w:line="259" w:lineRule="auto"/>
        <w:rPr>
          <w:sz w:val="44"/>
          <w:szCs w:val="44"/>
        </w:rPr>
      </w:pPr>
      <w:r w:rsidDel="00000000" w:rsidR="00000000" w:rsidRPr="00000000">
        <w:rPr>
          <w:sz w:val="44"/>
          <w:szCs w:val="44"/>
          <w:rtl w:val="0"/>
        </w:rPr>
        <w:t xml:space="preserve">Integrantes: </w:t>
        <w:br w:type="textWrapping"/>
        <w:tab/>
        <w:t xml:space="preserve">Rafael David Nazareno Ruiz,</w:t>
        <w:br w:type="textWrapping"/>
        <w:tab/>
        <w:t xml:space="preserve">Sofia Florencia Gay,</w:t>
        <w:br w:type="textWrapping"/>
        <w:tab/>
        <w:t xml:space="preserve">Valentino Amato,</w:t>
        <w:br w:type="textWrapping"/>
        <w:tab/>
        <w:t xml:space="preserve">Joaquin Antu Barcella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Oracle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Análisis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Perfiles técnicos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Selección del modelo de servicio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n7kevb789p0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CAPEX, OPEX y TCO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Detalle de costos de perfiles técnicos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Costo del soporte técnico del motor</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Costo de licencia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98orjckihue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Costo en la nube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Costos totales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8ohzbb2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 3</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jlc3cpwrl4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DBMS: SQL SERVER</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vertAlign w:val="baseline"/>
            </w:rPr>
          </w:pPr>
          <w:hyperlink w:anchor="_heading=h.dw5qqwi6bqa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Instalación y Configuración de SQL Server 2019 Express (Versión: 15.0.2000.5)</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0" w:firstLine="0"/>
            <w:rPr>
              <w:rFonts w:ascii="Arial" w:cs="Arial" w:eastAsia="Arial" w:hAnsi="Arial"/>
            </w:rPr>
          </w:pPr>
          <w:r w:rsidDel="00000000" w:rsidR="00000000" w:rsidRPr="00000000">
            <w:rPr>
              <w:rFonts w:ascii="Arial" w:cs="Arial" w:eastAsia="Arial" w:hAnsi="Arial"/>
              <w:b w:val="1"/>
              <w:vertAlign w:val="baseline"/>
              <w:rtl w:val="0"/>
            </w:rPr>
            <w:t xml:space="preserve">Archivos</w:t>
          </w:r>
          <w:hyperlink w:anchor="_heading=h.8kwt4x8lmx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Fonts w:ascii="Arial" w:cs="Arial" w:eastAsia="Arial" w:hAnsi="Arial"/>
              <w:rtl w:val="0"/>
            </w:rPr>
            <w:t xml:space="preserve">1</w:t>
          </w:r>
        </w:p>
        <w:p w:rsidR="00000000" w:rsidDel="00000000" w:rsidP="00000000" w:rsidRDefault="00000000" w:rsidRPr="00000000" w14:paraId="0000001D">
          <w:pPr>
            <w:widowControl w:val="0"/>
            <w:tabs>
              <w:tab w:val="right" w:leader="none" w:pos="12000"/>
            </w:tabs>
            <w:spacing w:after="0" w:before="60" w:line="240" w:lineRule="auto"/>
            <w:ind w:left="0" w:firstLine="0"/>
            <w:rPr>
              <w:rFonts w:ascii="Arial" w:cs="Arial" w:eastAsia="Arial" w:hAnsi="Arial"/>
            </w:rPr>
          </w:pPr>
          <w:hyperlink w:anchor="_heading=h.bhm0nic4nlc8">
            <w:r w:rsidDel="00000000" w:rsidR="00000000" w:rsidRPr="00000000">
              <w:rPr>
                <w:rFonts w:ascii="Arial" w:cs="Arial" w:eastAsia="Arial" w:hAnsi="Arial"/>
                <w:b w:val="1"/>
                <w:rtl w:val="0"/>
              </w:rPr>
              <w:t xml:space="preserve">Consideraciones Generales</w:t>
            </w:r>
          </w:hyperlink>
          <w:hyperlink w:anchor="_heading=h.bhm0nic4nlc8">
            <w:r w:rsidDel="00000000" w:rsidR="00000000" w:rsidRPr="00000000">
              <w:rPr>
                <w:rFonts w:ascii="Arial" w:cs="Arial" w:eastAsia="Arial" w:hAnsi="Arial"/>
                <w:rtl w:val="0"/>
              </w:rPr>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after="160" w:line="259" w:lineRule="auto"/>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vertAlign w:val="baseline"/>
        </w:rPr>
      </w:pPr>
      <w:bookmarkStart w:colFirst="0" w:colLast="0" w:name="_heading=h.gjdgxs" w:id="0"/>
      <w:bookmarkEnd w:id="0"/>
      <w:r w:rsidDel="00000000" w:rsidR="00000000" w:rsidRPr="00000000">
        <w:rPr>
          <w:vertAlign w:val="baseline"/>
          <w:rtl w:val="0"/>
        </w:rPr>
        <w:t xml:space="preserve">Oracle</w:t>
      </w:r>
    </w:p>
    <w:p w:rsidR="00000000" w:rsidDel="00000000" w:rsidP="00000000" w:rsidRDefault="00000000" w:rsidRPr="00000000" w14:paraId="00000020">
      <w:pPr>
        <w:pStyle w:val="Heading2"/>
        <w:spacing w:before="40" w:lineRule="auto"/>
        <w:rPr>
          <w:vertAlign w:val="baseline"/>
        </w:rPr>
      </w:pPr>
      <w:bookmarkStart w:colFirst="0" w:colLast="0" w:name="_heading=h.30j0zll" w:id="1"/>
      <w:bookmarkEnd w:id="1"/>
      <w:r w:rsidDel="00000000" w:rsidR="00000000" w:rsidRPr="00000000">
        <w:rPr>
          <w:vertAlign w:val="baseline"/>
          <w:rtl w:val="0"/>
        </w:rPr>
        <w:t xml:space="preserve">Análisis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Oracle Database cumple ampliamente con los requisitos técnicos propuestos</w:t>
      </w:r>
      <w:r w:rsidDel="00000000" w:rsidR="00000000" w:rsidRPr="00000000">
        <w:rPr>
          <w:rFonts w:ascii="Arial" w:cs="Arial" w:eastAsia="Arial" w:hAnsi="Arial"/>
          <w:sz w:val="24"/>
          <w:szCs w:val="24"/>
          <w:rtl w:val="0"/>
        </w:rPr>
        <w:t xml:space="preserve">. Además, posee el servicio de “Database - Exadata Database - Cloud@Customer”. Teniendo en cuenta los 8 núcleos y 64GB de Memoria RAM para el proyecto, se pueden seleccionar y especificar los mismos en la calculadora que la página de Oracle ofrece.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spacing w:before="40" w:lineRule="auto"/>
        <w:rPr>
          <w:vertAlign w:val="baseline"/>
        </w:rPr>
      </w:pPr>
      <w:bookmarkStart w:colFirst="0" w:colLast="0" w:name="_heading=h.1fob9te" w:id="2"/>
      <w:bookmarkEnd w:id="2"/>
      <w:r w:rsidDel="00000000" w:rsidR="00000000" w:rsidRPr="00000000">
        <w:rPr>
          <w:vertAlign w:val="baseline"/>
          <w:rtl w:val="0"/>
        </w:rPr>
        <w:t xml:space="preserve">Perfiles técnicos </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operar Oracle Database eficientemente, se necesita personal especializado:</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Administrador de Bases de Datos (DBA):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DBA especializado en Oracle es crucial para gestionar la base de datos, asegurar el rendimiento óptimo, realizar tareas de mantenimiento y garantizar la seguridad de los datos. </w:t>
      </w:r>
      <w:r w:rsidDel="00000000" w:rsidR="00000000" w:rsidRPr="00000000">
        <w:rPr>
          <w:rFonts w:ascii="Arial" w:cs="Arial" w:eastAsia="Arial" w:hAnsi="Arial"/>
          <w:sz w:val="24"/>
          <w:szCs w:val="24"/>
          <w:rtl w:val="0"/>
        </w:rPr>
        <w:t xml:space="preserve">Además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 garantizar tanto un rendimiento óptimo del entorno como su disponibilidad.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debería ser experimentado, con un seniority “Senior”, el cual se dedique a tiempo completo.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Técnico y Mantenimiento: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Además de un DBA, el equipo debería contar con personal para soporte técnico que maneje actualizaciones, parches de seguridad y cualquier incidencia técnica.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contar con experiencia suficiente para resolver los problemas individualmente, es decir, “Semi Senior”. Abocado a tiempo completo.</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Especialista en Seguridad Informática: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Podría incluirse al equipo en cuanto sea necesario, para resguardar la información crítica. Es el encargado de la implementación de seguridad, cifrado de datos, gestión de accesos y auditorías de seguridad.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Debe ser personal con trayectoria y experiencia, Senior. Podría ser contratado a través de una consultora externa.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1"/>
        <w:keepLines w:val="1"/>
        <w:spacing w:after="0" w:before="40" w:lineRule="auto"/>
        <w:rPr>
          <w:vertAlign w:val="baseline"/>
        </w:rPr>
      </w:pPr>
      <w:bookmarkStart w:colFirst="0" w:colLast="0" w:name="_heading=h.2et92p0" w:id="4"/>
      <w:bookmarkEnd w:id="4"/>
      <w:r w:rsidDel="00000000" w:rsidR="00000000" w:rsidRPr="00000000">
        <w:rPr>
          <w:vertAlign w:val="baseline"/>
          <w:rtl w:val="0"/>
        </w:rPr>
        <w:t xml:space="preserve">Selección del modelo de servicio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IaaS</w:t>
      </w:r>
      <w:r w:rsidDel="00000000" w:rsidR="00000000" w:rsidRPr="00000000">
        <w:rPr>
          <w:rFonts w:ascii="Arial" w:cs="Arial" w:eastAsia="Arial" w:hAnsi="Arial"/>
          <w:sz w:val="24"/>
          <w:szCs w:val="24"/>
          <w:rtl w:val="0"/>
        </w:rPr>
        <w:t xml:space="preserve"> (Infrastructure as a Service): El cliente tendría control sobre el sistema operativo, servidores, el almacenamiento y la red, pero aún necesitan un DBA para la gestión de la base de datos.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este modelo de servicio nos va a evitar el tener que adquirir los equipos físicos, tanto para ejecutar el software, como para almacenar los datos, lo cual economizara tanto tiempo como dinero para el cliente y 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Paas plataforma como servicio: desarrollar y gestionar aplicaciones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Saas : aplicaciones de software a través de la web</w:t>
      </w:r>
    </w:p>
    <w:p w:rsidR="00000000" w:rsidDel="00000000" w:rsidP="00000000" w:rsidRDefault="00000000" w:rsidRPr="00000000" w14:paraId="00000032">
      <w:pPr>
        <w:pStyle w:val="Heading2"/>
        <w:keepNext w:val="1"/>
        <w:keepLines w:val="1"/>
        <w:spacing w:after="240" w:before="40" w:line="240" w:lineRule="auto"/>
        <w:jc w:val="both"/>
        <w:rPr>
          <w:vertAlign w:val="baseline"/>
        </w:rPr>
      </w:pPr>
      <w:bookmarkStart w:colFirst="0" w:colLast="0" w:name="_heading=h.n7kevb789p0f" w:id="5"/>
      <w:bookmarkEnd w:id="5"/>
      <w:r w:rsidDel="00000000" w:rsidR="00000000" w:rsidRPr="00000000">
        <w:rPr>
          <w:vertAlign w:val="baseline"/>
          <w:rtl w:val="0"/>
        </w:rPr>
        <w:t xml:space="preserve">CAPEX, OPEX y TCO</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CAPEX (Capital Expenditure), OPEX (Operating Expenditure) y TCO (Total Cost of Ownership) son términos clave en la planificación financiera de proyectos tecnológicos.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cb98teov3k2x"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CAPEX (Capital Expenditure)</w:t>
      </w:r>
    </w:p>
    <w:p w:rsidR="00000000" w:rsidDel="00000000" w:rsidP="00000000" w:rsidRDefault="00000000" w:rsidRPr="00000000" w14:paraId="00000035">
      <w:pPr>
        <w:spacing w:after="240" w:before="240" w:lineRule="auto"/>
        <w:rPr/>
      </w:pPr>
      <w:r w:rsidDel="00000000" w:rsidR="00000000" w:rsidRPr="00000000">
        <w:rPr>
          <w:rtl w:val="0"/>
        </w:rPr>
        <w:t xml:space="preserve">Es el gasto de capital, es decir, las inversiones iniciales en activos físicos o infraestructura a largo plazo. En un proyecto de base de datos, CAPEX incluye costos como:</w:t>
      </w:r>
    </w:p>
    <w:p w:rsidR="00000000" w:rsidDel="00000000" w:rsidP="00000000" w:rsidRDefault="00000000" w:rsidRPr="00000000" w14:paraId="00000036">
      <w:pPr>
        <w:numPr>
          <w:ilvl w:val="0"/>
          <w:numId w:val="21"/>
        </w:numPr>
        <w:spacing w:after="0" w:before="240" w:lineRule="auto"/>
        <w:ind w:left="720" w:hanging="360"/>
        <w:rPr/>
      </w:pPr>
      <w:r w:rsidDel="00000000" w:rsidR="00000000" w:rsidRPr="00000000">
        <w:rPr>
          <w:b w:val="1"/>
          <w:rtl w:val="0"/>
        </w:rPr>
        <w:t xml:space="preserve">Compra de servidores</w:t>
      </w:r>
      <w:r w:rsidDel="00000000" w:rsidR="00000000" w:rsidRPr="00000000">
        <w:rPr>
          <w:rtl w:val="0"/>
        </w:rPr>
        <w:t xml:space="preserve">.</w:t>
      </w:r>
    </w:p>
    <w:p w:rsidR="00000000" w:rsidDel="00000000" w:rsidP="00000000" w:rsidRDefault="00000000" w:rsidRPr="00000000" w14:paraId="00000037">
      <w:pPr>
        <w:numPr>
          <w:ilvl w:val="0"/>
          <w:numId w:val="21"/>
        </w:numPr>
        <w:spacing w:after="0" w:before="0" w:lineRule="auto"/>
        <w:ind w:left="720" w:hanging="360"/>
        <w:rPr/>
      </w:pPr>
      <w:r w:rsidDel="00000000" w:rsidR="00000000" w:rsidRPr="00000000">
        <w:rPr>
          <w:b w:val="1"/>
          <w:rtl w:val="0"/>
        </w:rPr>
        <w:t xml:space="preserve">Licencias de software</w:t>
      </w:r>
      <w:r w:rsidDel="00000000" w:rsidR="00000000" w:rsidRPr="00000000">
        <w:rPr>
          <w:rtl w:val="0"/>
        </w:rPr>
        <w:t xml:space="preserve"> (como licencias de bases de datos o sistemas operativos).</w:t>
      </w:r>
    </w:p>
    <w:p w:rsidR="00000000" w:rsidDel="00000000" w:rsidP="00000000" w:rsidRDefault="00000000" w:rsidRPr="00000000" w14:paraId="00000038">
      <w:pPr>
        <w:numPr>
          <w:ilvl w:val="0"/>
          <w:numId w:val="21"/>
        </w:numPr>
        <w:spacing w:after="0" w:before="0" w:lineRule="auto"/>
        <w:ind w:left="720" w:hanging="360"/>
        <w:rPr/>
      </w:pPr>
      <w:r w:rsidDel="00000000" w:rsidR="00000000" w:rsidRPr="00000000">
        <w:rPr>
          <w:b w:val="1"/>
          <w:rtl w:val="0"/>
        </w:rPr>
        <w:t xml:space="preserve">Equipos de red</w:t>
      </w:r>
      <w:r w:rsidDel="00000000" w:rsidR="00000000" w:rsidRPr="00000000">
        <w:rPr>
          <w:rtl w:val="0"/>
        </w:rPr>
        <w:t xml:space="preserve"> y almacenamiento.</w:t>
      </w:r>
    </w:p>
    <w:p w:rsidR="00000000" w:rsidDel="00000000" w:rsidP="00000000" w:rsidRDefault="00000000" w:rsidRPr="00000000" w14:paraId="00000039">
      <w:pPr>
        <w:numPr>
          <w:ilvl w:val="0"/>
          <w:numId w:val="21"/>
        </w:numPr>
        <w:spacing w:after="240" w:before="0" w:lineRule="auto"/>
        <w:ind w:left="720" w:hanging="360"/>
        <w:rPr/>
      </w:pPr>
      <w:r w:rsidDel="00000000" w:rsidR="00000000" w:rsidRPr="00000000">
        <w:rPr>
          <w:b w:val="1"/>
          <w:rtl w:val="0"/>
        </w:rPr>
        <w:t xml:space="preserve">Implementación inicial</w:t>
      </w:r>
      <w:r w:rsidDel="00000000" w:rsidR="00000000" w:rsidRPr="00000000">
        <w:rPr>
          <w:rtl w:val="0"/>
        </w:rPr>
        <w:t xml:space="preserve"> (por ejemplo, instalación de la infraestructura).</w:t>
      </w:r>
    </w:p>
    <w:p w:rsidR="00000000" w:rsidDel="00000000" w:rsidP="00000000" w:rsidRDefault="00000000" w:rsidRPr="00000000" w14:paraId="0000003A">
      <w:pPr>
        <w:spacing w:after="240" w:before="240" w:lineRule="auto"/>
        <w:rPr/>
      </w:pPr>
      <w:r w:rsidDel="00000000" w:rsidR="00000000" w:rsidRPr="00000000">
        <w:rPr>
          <w:rtl w:val="0"/>
        </w:rPr>
        <w:t xml:space="preserve">CAPEX se paga al principio del proyecto, lo que implica un gasto elevado en un solo momento.</w:t>
      </w:r>
    </w:p>
    <w:p w:rsidR="00000000" w:rsidDel="00000000" w:rsidP="00000000" w:rsidRDefault="00000000" w:rsidRPr="00000000" w14:paraId="0000003B">
      <w:pPr>
        <w:spacing w:after="240" w:before="240" w:lineRule="auto"/>
        <w:rPr/>
      </w:pPr>
      <w:r w:rsidDel="00000000" w:rsidR="00000000" w:rsidRPr="00000000">
        <w:rPr>
          <w:u w:val="single"/>
          <w:rtl w:val="0"/>
        </w:rPr>
        <w:t xml:space="preserve">En el caso de Oracle:</w:t>
      </w:r>
      <w:r w:rsidDel="00000000" w:rsidR="00000000" w:rsidRPr="00000000">
        <w:rPr>
          <w:rtl w:val="0"/>
        </w:rPr>
        <w:br w:type="textWrapping"/>
        <w:t xml:space="preserve">Licencia: $35.000.</w:t>
      </w:r>
    </w:p>
    <w:p w:rsidR="00000000" w:rsidDel="00000000" w:rsidP="00000000" w:rsidRDefault="00000000" w:rsidRPr="00000000" w14:paraId="0000003C">
      <w:pPr>
        <w:spacing w:after="240" w:before="240" w:lineRule="auto"/>
        <w:rPr>
          <w:b w:val="1"/>
          <w:color w:val="000000"/>
          <w:sz w:val="26"/>
          <w:szCs w:val="26"/>
        </w:rPr>
      </w:pPr>
      <w:r w:rsidDel="00000000" w:rsidR="00000000" w:rsidRPr="00000000">
        <w:rPr>
          <w:b w:val="1"/>
          <w:color w:val="000000"/>
          <w:sz w:val="26"/>
          <w:szCs w:val="26"/>
          <w:rtl w:val="0"/>
        </w:rPr>
        <w:t xml:space="preserve">OPEX (Operating Expenditure)</w:t>
      </w:r>
    </w:p>
    <w:p w:rsidR="00000000" w:rsidDel="00000000" w:rsidP="00000000" w:rsidRDefault="00000000" w:rsidRPr="00000000" w14:paraId="0000003D">
      <w:pPr>
        <w:spacing w:after="240" w:before="240" w:lineRule="auto"/>
        <w:rPr/>
      </w:pPr>
      <w:r w:rsidDel="00000000" w:rsidR="00000000" w:rsidRPr="00000000">
        <w:rPr>
          <w:rtl w:val="0"/>
        </w:rPr>
        <w:t xml:space="preserve">Son los gastos operativos recurrentes para mantener y operar un servicio o infraestructura a lo largo del tiempo. En el contexto de un servicio en la nube o de bases de datos, los gastos de OPEX incluyen:</w:t>
      </w:r>
    </w:p>
    <w:p w:rsidR="00000000" w:rsidDel="00000000" w:rsidP="00000000" w:rsidRDefault="00000000" w:rsidRPr="00000000" w14:paraId="0000003E">
      <w:pPr>
        <w:numPr>
          <w:ilvl w:val="0"/>
          <w:numId w:val="20"/>
        </w:numPr>
        <w:spacing w:after="0" w:before="240" w:lineRule="auto"/>
        <w:ind w:left="720" w:hanging="360"/>
        <w:rPr/>
      </w:pPr>
      <w:r w:rsidDel="00000000" w:rsidR="00000000" w:rsidRPr="00000000">
        <w:rPr>
          <w:b w:val="1"/>
          <w:rtl w:val="0"/>
        </w:rPr>
        <w:t xml:space="preserve">Costos mensuales de la nube</w:t>
      </w:r>
      <w:r w:rsidDel="00000000" w:rsidR="00000000" w:rsidRPr="00000000">
        <w:rPr>
          <w:rtl w:val="0"/>
        </w:rPr>
        <w:t xml:space="preserve"> (alojamiento de la base de datos, almacenamiento, procesamiento).</w:t>
      </w:r>
    </w:p>
    <w:p w:rsidR="00000000" w:rsidDel="00000000" w:rsidP="00000000" w:rsidRDefault="00000000" w:rsidRPr="00000000" w14:paraId="0000003F">
      <w:pPr>
        <w:numPr>
          <w:ilvl w:val="0"/>
          <w:numId w:val="20"/>
        </w:numPr>
        <w:spacing w:after="0" w:before="0" w:lineRule="auto"/>
        <w:ind w:left="720" w:hanging="360"/>
        <w:rPr/>
      </w:pPr>
      <w:r w:rsidDel="00000000" w:rsidR="00000000" w:rsidRPr="00000000">
        <w:rPr>
          <w:b w:val="1"/>
          <w:rtl w:val="0"/>
        </w:rPr>
        <w:t xml:space="preserve">Salarios del personal de soporte y DBA</w:t>
      </w:r>
      <w:r w:rsidDel="00000000" w:rsidR="00000000" w:rsidRPr="00000000">
        <w:rPr>
          <w:rtl w:val="0"/>
        </w:rPr>
        <w:t xml:space="preserve">.</w:t>
      </w:r>
    </w:p>
    <w:p w:rsidR="00000000" w:rsidDel="00000000" w:rsidP="00000000" w:rsidRDefault="00000000" w:rsidRPr="00000000" w14:paraId="00000040">
      <w:pPr>
        <w:numPr>
          <w:ilvl w:val="0"/>
          <w:numId w:val="20"/>
        </w:numPr>
        <w:spacing w:after="0" w:before="0" w:lineRule="auto"/>
        <w:ind w:left="720" w:hanging="360"/>
        <w:rPr/>
      </w:pPr>
      <w:r w:rsidDel="00000000" w:rsidR="00000000" w:rsidRPr="00000000">
        <w:rPr>
          <w:b w:val="1"/>
          <w:rtl w:val="0"/>
        </w:rPr>
        <w:t xml:space="preserve">Mantenimiento</w:t>
      </w:r>
      <w:r w:rsidDel="00000000" w:rsidR="00000000" w:rsidRPr="00000000">
        <w:rPr>
          <w:rtl w:val="0"/>
        </w:rPr>
        <w:t xml:space="preserve"> de hardware o software.</w:t>
      </w:r>
    </w:p>
    <w:p w:rsidR="00000000" w:rsidDel="00000000" w:rsidP="00000000" w:rsidRDefault="00000000" w:rsidRPr="00000000" w14:paraId="00000041">
      <w:pPr>
        <w:numPr>
          <w:ilvl w:val="0"/>
          <w:numId w:val="20"/>
        </w:numPr>
        <w:spacing w:after="240" w:before="0" w:lineRule="auto"/>
        <w:ind w:left="720" w:hanging="360"/>
        <w:rPr/>
      </w:pPr>
      <w:r w:rsidDel="00000000" w:rsidR="00000000" w:rsidRPr="00000000">
        <w:rPr>
          <w:b w:val="1"/>
          <w:rtl w:val="0"/>
        </w:rPr>
        <w:t xml:space="preserve">Actualizaciones de seguridad</w:t>
      </w:r>
      <w:r w:rsidDel="00000000" w:rsidR="00000000" w:rsidRPr="00000000">
        <w:rPr>
          <w:rtl w:val="0"/>
        </w:rPr>
        <w:t xml:space="preserve"> y parches.</w:t>
      </w:r>
    </w:p>
    <w:p w:rsidR="00000000" w:rsidDel="00000000" w:rsidP="00000000" w:rsidRDefault="00000000" w:rsidRPr="00000000" w14:paraId="00000042">
      <w:pPr>
        <w:spacing w:after="240" w:before="240" w:lineRule="auto"/>
        <w:rPr/>
      </w:pPr>
      <w:r w:rsidDel="00000000" w:rsidR="00000000" w:rsidRPr="00000000">
        <w:rPr>
          <w:rtl w:val="0"/>
        </w:rPr>
        <w:t xml:space="preserve">OPEX se distribuye durante la vida útil del proyecto y suele ser un gasto recurrente más bajo, pero continuo.</w:t>
      </w:r>
    </w:p>
    <w:p w:rsidR="00000000" w:rsidDel="00000000" w:rsidP="00000000" w:rsidRDefault="00000000" w:rsidRPr="00000000" w14:paraId="00000043">
      <w:pPr>
        <w:spacing w:after="240" w:before="240" w:lineRule="auto"/>
        <w:rPr/>
      </w:pPr>
      <w:r w:rsidDel="00000000" w:rsidR="00000000" w:rsidRPr="00000000">
        <w:rPr>
          <w:u w:val="single"/>
          <w:rtl w:val="0"/>
        </w:rPr>
        <w:t xml:space="preserve">En el caso de Oracle:</w:t>
      </w:r>
      <w:r w:rsidDel="00000000" w:rsidR="00000000" w:rsidRPr="00000000">
        <w:rPr>
          <w:rtl w:val="0"/>
        </w:rPr>
        <w:br w:type="textWrapping"/>
        <w:t xml:space="preserve">Costo del personal: $102.600.</w:t>
        <w:br w:type="textWrapping"/>
        <w:t xml:space="preserve">Soporte técnico: $7.700.</w:t>
        <w:br w:type="textWrapping"/>
        <w:t xml:space="preserve">Costo de la nube: $6.500.</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sr64utqcghg"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TCO (Total Cost of Ownership)</w:t>
      </w:r>
    </w:p>
    <w:p w:rsidR="00000000" w:rsidDel="00000000" w:rsidP="00000000" w:rsidRDefault="00000000" w:rsidRPr="00000000" w14:paraId="00000046">
      <w:pPr>
        <w:spacing w:after="240" w:before="240" w:lineRule="auto"/>
        <w:rPr/>
      </w:pPr>
      <w:r w:rsidDel="00000000" w:rsidR="00000000" w:rsidRPr="00000000">
        <w:rPr>
          <w:rtl w:val="0"/>
        </w:rPr>
        <w:t xml:space="preserve">Es el </w:t>
      </w:r>
      <w:r w:rsidDel="00000000" w:rsidR="00000000" w:rsidRPr="00000000">
        <w:rPr>
          <w:b w:val="1"/>
          <w:rtl w:val="0"/>
        </w:rPr>
        <w:t xml:space="preserve">Costo Total de Propiedad</w:t>
      </w:r>
      <w:r w:rsidDel="00000000" w:rsidR="00000000" w:rsidRPr="00000000">
        <w:rPr>
          <w:rtl w:val="0"/>
        </w:rPr>
        <w:t xml:space="preserve">, que representa la suma de todos los gastos, tanto CAPEX como OPEX, a lo largo de la vida útil del proyecto. El TCO te da una visión completa del costo real de implementar y mantener un sistema. Para calcularlo, debes incluir:</w:t>
      </w:r>
    </w:p>
    <w:p w:rsidR="00000000" w:rsidDel="00000000" w:rsidP="00000000" w:rsidRDefault="00000000" w:rsidRPr="00000000" w14:paraId="00000047">
      <w:pPr>
        <w:numPr>
          <w:ilvl w:val="0"/>
          <w:numId w:val="19"/>
        </w:numPr>
        <w:spacing w:after="0" w:before="240" w:lineRule="auto"/>
        <w:ind w:left="720" w:hanging="360"/>
        <w:rPr/>
      </w:pPr>
      <w:r w:rsidDel="00000000" w:rsidR="00000000" w:rsidRPr="00000000">
        <w:rPr>
          <w:b w:val="1"/>
          <w:rtl w:val="0"/>
        </w:rPr>
        <w:t xml:space="preserve">CAPEX inicial</w:t>
      </w:r>
      <w:r w:rsidDel="00000000" w:rsidR="00000000" w:rsidRPr="00000000">
        <w:rPr>
          <w:rtl w:val="0"/>
        </w:rPr>
        <w:t xml:space="preserve"> (compra de hardware, licencias, implementación).</w:t>
      </w:r>
    </w:p>
    <w:p w:rsidR="00000000" w:rsidDel="00000000" w:rsidP="00000000" w:rsidRDefault="00000000" w:rsidRPr="00000000" w14:paraId="00000048">
      <w:pPr>
        <w:numPr>
          <w:ilvl w:val="0"/>
          <w:numId w:val="19"/>
        </w:numPr>
        <w:spacing w:after="0" w:before="0" w:lineRule="auto"/>
        <w:ind w:left="720" w:hanging="360"/>
        <w:rPr/>
      </w:pPr>
      <w:r w:rsidDel="00000000" w:rsidR="00000000" w:rsidRPr="00000000">
        <w:rPr>
          <w:b w:val="1"/>
          <w:rtl w:val="0"/>
        </w:rPr>
        <w:t xml:space="preserve">OPEX a lo largo del tiempo</w:t>
      </w:r>
      <w:r w:rsidDel="00000000" w:rsidR="00000000" w:rsidRPr="00000000">
        <w:rPr>
          <w:rtl w:val="0"/>
        </w:rPr>
        <w:t xml:space="preserve"> (costos operativos mensuales o anuales).</w:t>
      </w:r>
    </w:p>
    <w:p w:rsidR="00000000" w:rsidDel="00000000" w:rsidP="00000000" w:rsidRDefault="00000000" w:rsidRPr="00000000" w14:paraId="00000049">
      <w:pPr>
        <w:numPr>
          <w:ilvl w:val="0"/>
          <w:numId w:val="19"/>
        </w:numPr>
        <w:spacing w:after="240" w:before="0" w:lineRule="auto"/>
        <w:ind w:left="720" w:hanging="360"/>
        <w:rPr/>
      </w:pPr>
      <w:r w:rsidDel="00000000" w:rsidR="00000000" w:rsidRPr="00000000">
        <w:rPr>
          <w:b w:val="1"/>
          <w:rtl w:val="0"/>
        </w:rPr>
        <w:t xml:space="preserve">Costos adicionales</w:t>
      </w:r>
      <w:r w:rsidDel="00000000" w:rsidR="00000000" w:rsidRPr="00000000">
        <w:rPr>
          <w:rtl w:val="0"/>
        </w:rPr>
        <w:t xml:space="preserve"> (soporte técnico, actualizaciones, energía, espacio físico).</w:t>
      </w:r>
    </w:p>
    <w:p w:rsidR="00000000" w:rsidDel="00000000" w:rsidP="00000000" w:rsidRDefault="00000000" w:rsidRPr="00000000" w14:paraId="0000004A">
      <w:pPr>
        <w:spacing w:after="240" w:before="240" w:lineRule="auto"/>
        <w:rPr/>
      </w:pPr>
      <w:r w:rsidDel="00000000" w:rsidR="00000000" w:rsidRPr="00000000">
        <w:rPr>
          <w:rtl w:val="0"/>
        </w:rPr>
        <w:t xml:space="preserve">El </w:t>
      </w:r>
      <w:r w:rsidDel="00000000" w:rsidR="00000000" w:rsidRPr="00000000">
        <w:rPr>
          <w:b w:val="1"/>
          <w:rtl w:val="0"/>
        </w:rPr>
        <w:t xml:space="preserve">TCO</w:t>
      </w:r>
      <w:r w:rsidDel="00000000" w:rsidR="00000000" w:rsidRPr="00000000">
        <w:rPr>
          <w:rtl w:val="0"/>
        </w:rPr>
        <w:t xml:space="preserve"> es crucial para comparar opciones a largo plazo. Por ejemplo, una solución basada en la nube puede tener un CAPEX bajo (o inexistente), pero un OPEX alto, mientras que un sistema on-premise puede tener un CAPEX elevado al principio, pero un OPEX más controlado.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e842f7xyl2sc" w:id="8"/>
      <w:bookmarkEnd w:id="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Ejemplo:</w:t>
      </w:r>
    </w:p>
    <w:p w:rsidR="00000000" w:rsidDel="00000000" w:rsidP="00000000" w:rsidRDefault="00000000" w:rsidRPr="00000000" w14:paraId="0000004C">
      <w:pPr>
        <w:numPr>
          <w:ilvl w:val="0"/>
          <w:numId w:val="18"/>
        </w:numPr>
        <w:spacing w:after="0" w:before="240" w:lineRule="auto"/>
        <w:ind w:left="720" w:hanging="360"/>
        <w:rPr/>
      </w:pPr>
      <w:r w:rsidDel="00000000" w:rsidR="00000000" w:rsidRPr="00000000">
        <w:rPr>
          <w:b w:val="1"/>
          <w:rtl w:val="0"/>
        </w:rPr>
        <w:t xml:space="preserve">On-Premise</w:t>
      </w:r>
      <w:r w:rsidDel="00000000" w:rsidR="00000000" w:rsidRPr="00000000">
        <w:rPr>
          <w:rtl w:val="0"/>
        </w:rPr>
        <w:t xml:space="preserve">: Alto CAPEX (servidores, licencias) y OPEX moderado (personal, mantenimiento).</w:t>
      </w:r>
    </w:p>
    <w:p w:rsidR="00000000" w:rsidDel="00000000" w:rsidP="00000000" w:rsidRDefault="00000000" w:rsidRPr="00000000" w14:paraId="0000004D">
      <w:pPr>
        <w:numPr>
          <w:ilvl w:val="0"/>
          <w:numId w:val="18"/>
        </w:numPr>
        <w:spacing w:after="240" w:before="0" w:lineRule="auto"/>
        <w:ind w:left="720" w:hanging="360"/>
        <w:rPr/>
      </w:pPr>
      <w:r w:rsidDel="00000000" w:rsidR="00000000" w:rsidRPr="00000000">
        <w:rPr>
          <w:b w:val="1"/>
          <w:rtl w:val="0"/>
        </w:rPr>
        <w:t xml:space="preserve">Cloud</w:t>
      </w:r>
      <w:r w:rsidDel="00000000" w:rsidR="00000000" w:rsidRPr="00000000">
        <w:rPr>
          <w:rtl w:val="0"/>
        </w:rPr>
        <w:t xml:space="preserve">: Bajo CAPEX (poco o nada de inversión inicial) y OPEX recurrente (pago mensual por uso de servicios).</w:t>
      </w:r>
    </w:p>
    <w:p w:rsidR="00000000" w:rsidDel="00000000" w:rsidP="00000000" w:rsidRDefault="00000000" w:rsidRPr="00000000" w14:paraId="0000004E">
      <w:pPr>
        <w:pStyle w:val="Heading2"/>
        <w:keepNext w:val="1"/>
        <w:keepLines w:val="1"/>
        <w:spacing w:after="0" w:before="240" w:lineRule="auto"/>
        <w:rPr>
          <w:vertAlign w:val="baseline"/>
        </w:rPr>
      </w:pPr>
      <w:bookmarkStart w:colFirst="0" w:colLast="0" w:name="_heading=h.tyjcwt" w:id="9"/>
      <w:bookmarkEnd w:id="9"/>
      <w:r w:rsidDel="00000000" w:rsidR="00000000" w:rsidRPr="00000000">
        <w:rPr>
          <w:vertAlign w:val="baseline"/>
          <w:rtl w:val="0"/>
        </w:rPr>
        <w:t xml:space="preserve">Costos</w:t>
      </w:r>
    </w:p>
    <w:p w:rsidR="00000000" w:rsidDel="00000000" w:rsidP="00000000" w:rsidRDefault="00000000" w:rsidRPr="00000000" w14:paraId="0000004F">
      <w:pPr>
        <w:rPr/>
      </w:pPr>
      <w:r w:rsidDel="00000000" w:rsidR="00000000" w:rsidRPr="00000000">
        <w:rPr>
          <w:rtl w:val="0"/>
        </w:rPr>
        <w:t xml:space="preserve">Los costos que se necesitan estimar son los que se encuentran en la tabla.</w:t>
      </w:r>
    </w:p>
    <w:p w:rsidR="00000000" w:rsidDel="00000000" w:rsidP="00000000" w:rsidRDefault="00000000" w:rsidRPr="00000000" w14:paraId="00000050">
      <w:pPr>
        <w:pStyle w:val="Heading3"/>
        <w:keepNext w:val="1"/>
        <w:keepLines w:val="1"/>
        <w:spacing w:after="0" w:before="40" w:lineRule="auto"/>
        <w:rPr>
          <w:vertAlign w:val="baseline"/>
        </w:rPr>
      </w:pPr>
      <w:bookmarkStart w:colFirst="0" w:colLast="0" w:name="_heading=h.3dy6vkm" w:id="10"/>
      <w:bookmarkEnd w:id="10"/>
      <w:r w:rsidDel="00000000" w:rsidR="00000000" w:rsidRPr="00000000">
        <w:rPr>
          <w:vertAlign w:val="baseline"/>
          <w:rtl w:val="0"/>
        </w:rPr>
        <w:t xml:space="preserve">Detalle de costos de perfiles técnicos</w:t>
      </w:r>
    </w:p>
    <w:p w:rsidR="00000000" w:rsidDel="00000000" w:rsidP="00000000" w:rsidRDefault="00000000" w:rsidRPr="00000000" w14:paraId="00000051">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8"/>
        <w:gridCol w:w="2338"/>
        <w:gridCol w:w="2338"/>
        <w:tblGridChange w:id="0">
          <w:tblGrid>
            <w:gridCol w:w="2336"/>
            <w:gridCol w:w="2338"/>
            <w:gridCol w:w="2338"/>
            <w:gridCol w:w="2338"/>
          </w:tblGrid>
        </w:tblGridChange>
      </w:tblGrid>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Perfil</w:t>
            </w:r>
          </w:p>
        </w:tc>
        <w:tc>
          <w:tcPr/>
          <w:p w:rsidR="00000000" w:rsidDel="00000000" w:rsidP="00000000" w:rsidRDefault="00000000" w:rsidRPr="00000000" w14:paraId="00000053">
            <w:pPr>
              <w:jc w:val="both"/>
              <w:rPr/>
            </w:pPr>
            <w:r w:rsidDel="00000000" w:rsidR="00000000" w:rsidRPr="00000000">
              <w:rPr>
                <w:rtl w:val="0"/>
              </w:rPr>
              <w:t xml:space="preserve">Cantidad de personas</w:t>
            </w:r>
          </w:p>
        </w:tc>
        <w:tc>
          <w:tcPr/>
          <w:p w:rsidR="00000000" w:rsidDel="00000000" w:rsidP="00000000" w:rsidRDefault="00000000" w:rsidRPr="00000000" w14:paraId="00000054">
            <w:pPr>
              <w:jc w:val="both"/>
              <w:rPr/>
            </w:pPr>
            <w:r w:rsidDel="00000000" w:rsidR="00000000" w:rsidRPr="00000000">
              <w:rPr>
                <w:rtl w:val="0"/>
              </w:rPr>
              <w:t xml:space="preserve">Valor hora de trabajo</w:t>
            </w:r>
          </w:p>
        </w:tc>
        <w:tc>
          <w:tcPr/>
          <w:p w:rsidR="00000000" w:rsidDel="00000000" w:rsidP="00000000" w:rsidRDefault="00000000" w:rsidRPr="00000000" w14:paraId="00000055">
            <w:pPr>
              <w:jc w:val="both"/>
              <w:rPr/>
            </w:pPr>
            <w:r w:rsidDel="00000000" w:rsidR="00000000" w:rsidRPr="00000000">
              <w:rPr>
                <w:rtl w:val="0"/>
              </w:rPr>
              <w:t xml:space="preserve">Total (mensual)</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Administrador de Base de Datos</w:t>
            </w:r>
          </w:p>
        </w:tc>
        <w:tc>
          <w:tcPr/>
          <w:p w:rsidR="00000000" w:rsidDel="00000000" w:rsidP="00000000" w:rsidRDefault="00000000" w:rsidRPr="00000000" w14:paraId="00000057">
            <w:pPr>
              <w:jc w:val="both"/>
              <w:rPr/>
            </w:pPr>
            <w:r w:rsidDel="00000000" w:rsidR="00000000" w:rsidRPr="00000000">
              <w:rPr>
                <w:rtl w:val="0"/>
              </w:rPr>
              <w:t xml:space="preserve">1</w:t>
            </w:r>
          </w:p>
        </w:tc>
        <w:tc>
          <w:tcPr/>
          <w:p w:rsidR="00000000" w:rsidDel="00000000" w:rsidP="00000000" w:rsidRDefault="00000000" w:rsidRPr="00000000" w14:paraId="00000058">
            <w:pPr>
              <w:jc w:val="both"/>
              <w:rPr/>
            </w:pPr>
            <w:r w:rsidDel="00000000" w:rsidR="00000000" w:rsidRPr="00000000">
              <w:rPr>
                <w:rtl w:val="0"/>
              </w:rPr>
              <w:t xml:space="preserve">US$ 17,85 </w:t>
            </w:r>
          </w:p>
        </w:tc>
        <w:tc>
          <w:tcPr/>
          <w:p w:rsidR="00000000" w:rsidDel="00000000" w:rsidP="00000000" w:rsidRDefault="00000000" w:rsidRPr="00000000" w14:paraId="00000059">
            <w:pPr>
              <w:jc w:val="both"/>
              <w:rPr/>
            </w:pPr>
            <w:r w:rsidDel="00000000" w:rsidR="00000000" w:rsidRPr="00000000">
              <w:rPr>
                <w:rtl w:val="0"/>
              </w:rPr>
              <w:t xml:space="preserve">US$ 4000 </w:t>
            </w:r>
          </w:p>
        </w:tc>
      </w:tr>
      <w:tr>
        <w:trPr>
          <w:cantSplit w:val="0"/>
          <w:tblHeader w:val="0"/>
        </w:trPr>
        <w:tc>
          <w:tcPr/>
          <w:p w:rsidR="00000000" w:rsidDel="00000000" w:rsidP="00000000" w:rsidRDefault="00000000" w:rsidRPr="00000000" w14:paraId="0000005A">
            <w:pPr>
              <w:jc w:val="both"/>
              <w:rPr/>
            </w:pPr>
            <w:r w:rsidDel="00000000" w:rsidR="00000000" w:rsidRPr="00000000">
              <w:rPr>
                <w:rtl w:val="0"/>
              </w:rPr>
              <w:t xml:space="preserve">Soporte Técnico </w:t>
            </w:r>
          </w:p>
        </w:tc>
        <w:tc>
          <w:tcPr/>
          <w:p w:rsidR="00000000" w:rsidDel="00000000" w:rsidP="00000000" w:rsidRDefault="00000000" w:rsidRPr="00000000" w14:paraId="0000005B">
            <w:pPr>
              <w:jc w:val="both"/>
              <w:rPr/>
            </w:pPr>
            <w:r w:rsidDel="00000000" w:rsidR="00000000" w:rsidRPr="00000000">
              <w:rPr>
                <w:rtl w:val="0"/>
              </w:rPr>
              <w:t xml:space="preserve">1</w:t>
            </w:r>
          </w:p>
        </w:tc>
        <w:tc>
          <w:tcPr/>
          <w:p w:rsidR="00000000" w:rsidDel="00000000" w:rsidP="00000000" w:rsidRDefault="00000000" w:rsidRPr="00000000" w14:paraId="0000005C">
            <w:pPr>
              <w:jc w:val="both"/>
              <w:rPr/>
            </w:pPr>
            <w:r w:rsidDel="00000000" w:rsidR="00000000" w:rsidRPr="00000000">
              <w:rPr>
                <w:rtl w:val="0"/>
              </w:rPr>
              <w:t xml:space="preserve">US$ 13,39 </w:t>
            </w:r>
          </w:p>
        </w:tc>
        <w:tc>
          <w:tcPr/>
          <w:p w:rsidR="00000000" w:rsidDel="00000000" w:rsidP="00000000" w:rsidRDefault="00000000" w:rsidRPr="00000000" w14:paraId="0000005D">
            <w:pPr>
              <w:jc w:val="both"/>
              <w:rPr/>
            </w:pPr>
            <w:r w:rsidDel="00000000" w:rsidR="00000000" w:rsidRPr="00000000">
              <w:rPr>
                <w:rtl w:val="0"/>
              </w:rPr>
              <w:t xml:space="preserve">US$ 3000</w:t>
            </w:r>
          </w:p>
        </w:tc>
      </w:tr>
      <w:tr>
        <w:trPr>
          <w:cantSplit w:val="0"/>
          <w:tblHeader w:val="0"/>
        </w:trPr>
        <w:tc>
          <w:tcPr/>
          <w:p w:rsidR="00000000" w:rsidDel="00000000" w:rsidP="00000000" w:rsidRDefault="00000000" w:rsidRPr="00000000" w14:paraId="0000005E">
            <w:pPr>
              <w:jc w:val="both"/>
              <w:rPr/>
            </w:pPr>
            <w:r w:rsidDel="00000000" w:rsidR="00000000" w:rsidRPr="00000000">
              <w:rPr>
                <w:rtl w:val="0"/>
              </w:rPr>
              <w:t xml:space="preserve">Mantenimiento</w:t>
            </w:r>
          </w:p>
        </w:tc>
        <w:tc>
          <w:tcPr/>
          <w:p w:rsidR="00000000" w:rsidDel="00000000" w:rsidP="00000000" w:rsidRDefault="00000000" w:rsidRPr="00000000" w14:paraId="0000005F">
            <w:pPr>
              <w:jc w:val="both"/>
              <w:rPr/>
            </w:pPr>
            <w:r w:rsidDel="00000000" w:rsidR="00000000" w:rsidRPr="00000000">
              <w:rPr>
                <w:rtl w:val="0"/>
              </w:rPr>
              <w:t xml:space="preserve">1</w:t>
            </w:r>
          </w:p>
        </w:tc>
        <w:tc>
          <w:tcPr/>
          <w:p w:rsidR="00000000" w:rsidDel="00000000" w:rsidP="00000000" w:rsidRDefault="00000000" w:rsidRPr="00000000" w14:paraId="00000060">
            <w:pPr>
              <w:jc w:val="both"/>
              <w:rPr/>
            </w:pPr>
            <w:r w:rsidDel="00000000" w:rsidR="00000000" w:rsidRPr="00000000">
              <w:rPr>
                <w:rtl w:val="0"/>
              </w:rPr>
              <w:t xml:space="preserve">US$ 7,14</w:t>
            </w:r>
          </w:p>
        </w:tc>
        <w:tc>
          <w:tcPr/>
          <w:p w:rsidR="00000000" w:rsidDel="00000000" w:rsidP="00000000" w:rsidRDefault="00000000" w:rsidRPr="00000000" w14:paraId="00000061">
            <w:pPr>
              <w:jc w:val="both"/>
              <w:rPr/>
            </w:pPr>
            <w:r w:rsidDel="00000000" w:rsidR="00000000" w:rsidRPr="00000000">
              <w:rPr>
                <w:rtl w:val="0"/>
              </w:rPr>
              <w:t xml:space="preserve">US$ 1550</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3"/>
        <w:keepNext w:val="1"/>
        <w:keepLines w:val="1"/>
        <w:spacing w:after="0" w:before="40" w:lineRule="auto"/>
        <w:rPr>
          <w:vertAlign w:val="baseline"/>
        </w:rPr>
      </w:pPr>
      <w:bookmarkStart w:colFirst="0" w:colLast="0" w:name="_heading=h.1t3h5sf" w:id="11"/>
      <w:bookmarkEnd w:id="11"/>
      <w:r w:rsidDel="00000000" w:rsidR="00000000" w:rsidRPr="00000000">
        <w:rPr>
          <w:vertAlign w:val="baseline"/>
          <w:rtl w:val="0"/>
        </w:rPr>
        <w:t xml:space="preserve">Costo del soporte técnico del motor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Oracle ofrece distintos niveles de soporte técnico, siendo el más común 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Oracle Premier Support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paquete incluye: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Actualizaciones y Parches de Seguridad: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Acceso a nuevas versiones, parches y actualizaciones de seguridad.</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Soporte Técnico 24/7: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Asistencia técnica las 24 horas del día, los 7 días de la semana, para resolver incidencias críticas.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costo del soporte técnico generalmente representa un porcentaje del costo total de la licencia, habitualmente alrededor 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del costo de la licencia por año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pStyle w:val="Heading3"/>
        <w:keepNext w:val="1"/>
        <w:keepLines w:val="1"/>
        <w:spacing w:after="0" w:before="40" w:lineRule="auto"/>
        <w:rPr>
          <w:vertAlign w:val="baseline"/>
        </w:rPr>
      </w:pPr>
      <w:bookmarkStart w:colFirst="0" w:colLast="0" w:name="_heading=h.4d34og8" w:id="12"/>
      <w:bookmarkEnd w:id="12"/>
      <w:r w:rsidDel="00000000" w:rsidR="00000000" w:rsidRPr="00000000">
        <w:rPr>
          <w:vertAlign w:val="baseline"/>
          <w:rtl w:val="0"/>
        </w:rPr>
        <w:t xml:space="preserve">Costo de licencia</w:t>
      </w:r>
    </w:p>
    <w:p w:rsidR="00000000" w:rsidDel="00000000" w:rsidP="00000000" w:rsidRDefault="00000000" w:rsidRPr="00000000" w14:paraId="00000069">
      <w:pPr>
        <w:rPr/>
      </w:pPr>
      <w:r w:rsidDel="00000000" w:rsidR="00000000" w:rsidRPr="00000000">
        <w:rPr>
          <w:rtl w:val="0"/>
        </w:rPr>
        <w:t xml:space="preserve">Tomando la licencia Oracle Database Standard Edition 2 (SE2) que es más económica que la Enterprise Edition, lo que es adecuado dado el tamaño estimado de la base de datos (4 GB en dos años) y el número de usuarios (50), además que ofrece todas las funciones esenciales necesarias para una base de datos de tamaño medio, incluyendo gestión de datos, consultas SQL, y seguridad básica, los gastos son los siguientes:</w:t>
      </w:r>
    </w:p>
    <w:p w:rsidR="00000000" w:rsidDel="00000000" w:rsidP="00000000" w:rsidRDefault="00000000" w:rsidRPr="00000000" w14:paraId="0000006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por Procesador: $17.500</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 por usuario: $350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total, entre licencia y costo por 50 usuarios, serían 35.000 dólares el primer año.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1"/>
        <w:keepLines w:val="1"/>
        <w:spacing w:after="0" w:before="40" w:lineRule="auto"/>
        <w:rPr>
          <w:vertAlign w:val="baseline"/>
        </w:rPr>
      </w:pPr>
      <w:bookmarkStart w:colFirst="0" w:colLast="0" w:name="_heading=h.98orjckihuee" w:id="13"/>
      <w:bookmarkEnd w:id="13"/>
      <w:r w:rsidDel="00000000" w:rsidR="00000000" w:rsidRPr="00000000">
        <w:rPr>
          <w:vertAlign w:val="baseline"/>
          <w:rtl w:val="0"/>
        </w:rPr>
        <w:t xml:space="preserve">Costo en la nube</w:t>
      </w:r>
    </w:p>
    <w:p w:rsidR="00000000" w:rsidDel="00000000" w:rsidP="00000000" w:rsidRDefault="00000000" w:rsidRPr="00000000" w14:paraId="0000006F">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Costo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Oracle Compute Cloud@Customer - Compute - Standard - 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Instancia de computación estándar que se ejecuta en una máquina virtual con procesadores Intel.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after="0" w:line="240" w:lineRule="auto"/>
                  <w:rPr>
                    <w:sz w:val="20"/>
                    <w:szCs w:val="20"/>
                  </w:rPr>
                </w:pPr>
                <w:r w:rsidDel="00000000" w:rsidR="00000000" w:rsidRPr="00000000">
                  <w:rPr>
                    <w:rFonts w:ascii="Arial" w:cs="Arial" w:eastAsia="Arial" w:hAnsi="Arial"/>
                    <w:sz w:val="18"/>
                    <w:szCs w:val="18"/>
                    <w:highlight w:val="white"/>
                    <w:rtl w:val="0"/>
                  </w:rPr>
                  <w:t xml:space="preserve">Oracle Compute Cloud@Customer - Compute - Standard - E5 - 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Combina recursos de cómputo y almacenamiento en un entorno on-premise con las capacidades de la nube de 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sz w:val="20"/>
                    <w:szCs w:val="20"/>
                  </w:rPr>
                </w:pPr>
                <w:r w:rsidDel="00000000" w:rsidR="00000000" w:rsidRPr="00000000">
                  <w:rPr>
                    <w:sz w:val="20"/>
                    <w:szCs w:val="20"/>
                    <w:rtl w:val="0"/>
                  </w:rPr>
                  <w:t xml:space="preserve">US$ 0,002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18"/>
                    <w:szCs w:val="18"/>
                    <w:highlight w:val="white"/>
                    <w:rtl w:val="0"/>
                  </w:rPr>
                  <w:t xml:space="preserve">Oracle Compute Cloud@Customer - Block Volume Storage - Balanced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Almacenamiento en bloques equilibrado, es una opción de almacenamiento de datos en discos virtuales.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0"/>
                    <w:szCs w:val="20"/>
                  </w:rPr>
                </w:pPr>
                <w:r w:rsidDel="00000000" w:rsidR="00000000" w:rsidRPr="00000000">
                  <w:rPr>
                    <w:sz w:val="20"/>
                    <w:szCs w:val="20"/>
                    <w:rtl w:val="0"/>
                  </w:rPr>
                  <w:t xml:space="preserve">US$ 0,045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highlight w:val="white"/>
                    <w:rtl w:val="0"/>
                  </w:rPr>
                  <w:t xml:space="preserve">Oracle Compute Cloud@Customer - File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Servicio de almacenamiento de archivos que permite almacenar y compartir archivos en un sistema de archivos en la nube. Es útil para datos no estructurados o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0"/>
                    <w:szCs w:val="20"/>
                  </w:rPr>
                </w:pPr>
                <w:r w:rsidDel="00000000" w:rsidR="00000000" w:rsidRPr="00000000">
                  <w:rPr>
                    <w:sz w:val="20"/>
                    <w:szCs w:val="20"/>
                    <w:rtl w:val="0"/>
                  </w:rPr>
                  <w:t xml:space="preserve">US$ 0,30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highlight w:val="white"/>
                    <w:rtl w:val="0"/>
                  </w:rPr>
                  <w:t xml:space="preserve">Oracle Compute Cloud@Customer - Object Storage - Storage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almacenamiento de objetos en la nube, que está diseñado para almacenar y gestionar datos no estructurados como archivos multimedia.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sz w:val="20"/>
                    <w:szCs w:val="20"/>
                  </w:rPr>
                </w:pPr>
                <w:r w:rsidDel="00000000" w:rsidR="00000000" w:rsidRPr="00000000">
                  <w:rPr>
                    <w:sz w:val="20"/>
                    <w:szCs w:val="20"/>
                    <w:rtl w:val="0"/>
                  </w:rPr>
                  <w:t xml:space="preserve">US$ 0,0255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w:cs="Arial" w:eastAsia="Arial" w:hAnsi="Arial"/>
                    <w:sz w:val="18"/>
                    <w:szCs w:val="18"/>
                    <w:highlight w:val="white"/>
                    <w:rtl w:val="0"/>
                  </w:rPr>
                  <w:t xml:space="preserve">Oracle Compute Cloud@Customer - Load Balancer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Uso de un balanceador de carga en tu infraestructura de nube. Un balanceador de carga distribuye automáticamente el tráfico de red entre múltiples servidores o instancias para asegurar que ninguno se sobrecargue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0"/>
                    <w:szCs w:val="20"/>
                  </w:rPr>
                </w:pPr>
                <w:r w:rsidDel="00000000" w:rsidR="00000000" w:rsidRPr="00000000">
                  <w:rPr>
                    <w:sz w:val="20"/>
                    <w:szCs w:val="20"/>
                    <w:rtl w:val="0"/>
                  </w:rPr>
                  <w:t xml:space="preserve">US$ 0,0113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744 hs</w:t>
                </w:r>
              </w:p>
            </w:tc>
          </w:tr>
        </w:tbl>
      </w:sdtContent>
    </w:sdt>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 hacer el cálculo mensual, con 744 horas (24 hs x 7 días de la semana). Da un total de </w:t>
      </w:r>
      <w:r w:rsidDel="00000000" w:rsidR="00000000" w:rsidRPr="00000000">
        <w:rPr>
          <w:b w:val="1"/>
          <w:color w:val="161513"/>
          <w:highlight w:val="white"/>
          <w:rtl w:val="0"/>
        </w:rPr>
        <w:t xml:space="preserve">US$ 6.532,43.</w:t>
      </w:r>
      <w:r w:rsidDel="00000000" w:rsidR="00000000" w:rsidRPr="00000000">
        <w:rPr>
          <w:rtl w:val="0"/>
        </w:rPr>
      </w:r>
    </w:p>
    <w:p w:rsidR="00000000" w:rsidDel="00000000" w:rsidP="00000000" w:rsidRDefault="00000000" w:rsidRPr="00000000" w14:paraId="0000008F">
      <w:pPr>
        <w:pStyle w:val="Heading3"/>
        <w:keepNext w:val="1"/>
        <w:keepLines w:val="1"/>
        <w:spacing w:after="0" w:before="40" w:lineRule="auto"/>
        <w:rPr>
          <w:vertAlign w:val="baseline"/>
        </w:rPr>
      </w:pPr>
      <w:bookmarkStart w:colFirst="0" w:colLast="0" w:name="_heading=h.2s8eyo1" w:id="14"/>
      <w:bookmarkEnd w:id="14"/>
      <w:r w:rsidDel="00000000" w:rsidR="00000000" w:rsidRPr="00000000">
        <w:rPr>
          <w:vertAlign w:val="baseline"/>
          <w:rtl w:val="0"/>
        </w:rPr>
        <w:t xml:space="preserve">Costos totales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90">
            <w:pPr>
              <w:spacing w:line="240" w:lineRule="auto"/>
              <w:jc w:val="both"/>
              <w:rPr/>
            </w:pPr>
            <w:r w:rsidDel="00000000" w:rsidR="00000000" w:rsidRPr="00000000">
              <w:rPr>
                <w:rtl w:val="0"/>
              </w:rPr>
            </w:r>
          </w:p>
        </w:tc>
        <w:tc>
          <w:tcPr/>
          <w:p w:rsidR="00000000" w:rsidDel="00000000" w:rsidP="00000000" w:rsidRDefault="00000000" w:rsidRPr="00000000" w14:paraId="00000091">
            <w:pPr>
              <w:spacing w:line="240" w:lineRule="auto"/>
              <w:jc w:val="center"/>
              <w:rPr/>
            </w:pPr>
            <w:r w:rsidDel="00000000" w:rsidR="00000000" w:rsidRPr="00000000">
              <w:rPr>
                <w:rtl w:val="0"/>
              </w:rPr>
              <w:t xml:space="preserve">Importe total $UDS</w:t>
            </w:r>
          </w:p>
          <w:p w:rsidR="00000000" w:rsidDel="00000000" w:rsidP="00000000" w:rsidRDefault="00000000" w:rsidRPr="00000000" w14:paraId="00000092">
            <w:pPr>
              <w:spacing w:line="240" w:lineRule="auto"/>
              <w:jc w:val="center"/>
              <w:rPr/>
            </w:pPr>
            <w:r w:rsidDel="00000000" w:rsidR="00000000" w:rsidRPr="00000000">
              <w:rPr>
                <w:sz w:val="16"/>
                <w:szCs w:val="16"/>
                <w:rtl w:val="0"/>
              </w:rPr>
              <w:t xml:space="preserve">(expresado en moneda dólar americano)</w:t>
            </w:r>
            <w:r w:rsidDel="00000000" w:rsidR="00000000" w:rsidRPr="00000000">
              <w:rPr>
                <w:rtl w:val="0"/>
              </w:rPr>
            </w:r>
          </w:p>
        </w:tc>
      </w:tr>
      <w:tr>
        <w:trPr>
          <w:cantSplit w:val="0"/>
          <w:tblHeader w:val="0"/>
        </w:trPr>
        <w:tc>
          <w:tcPr/>
          <w:p w:rsidR="00000000" w:rsidDel="00000000" w:rsidP="00000000" w:rsidRDefault="00000000" w:rsidRPr="00000000" w14:paraId="00000093">
            <w:pPr>
              <w:spacing w:line="240" w:lineRule="auto"/>
              <w:jc w:val="both"/>
              <w:rPr/>
            </w:pPr>
            <w:r w:rsidDel="00000000" w:rsidR="00000000" w:rsidRPr="00000000">
              <w:rPr>
                <w:rtl w:val="0"/>
              </w:rPr>
              <w:t xml:space="preserve">Costos del personal necesario para la implementación </w:t>
            </w:r>
          </w:p>
        </w:tc>
        <w:tc>
          <w:tcPr/>
          <w:p w:rsidR="00000000" w:rsidDel="00000000" w:rsidP="00000000" w:rsidRDefault="00000000" w:rsidRPr="00000000" w14:paraId="00000094">
            <w:pPr>
              <w:spacing w:line="240" w:lineRule="auto"/>
              <w:jc w:val="both"/>
              <w:rPr/>
            </w:pPr>
            <w:r w:rsidDel="00000000" w:rsidR="00000000" w:rsidRPr="00000000">
              <w:rPr>
                <w:rtl w:val="0"/>
              </w:rPr>
              <w:t xml:space="preserve">US$ 102.600.-</w:t>
            </w:r>
          </w:p>
        </w:tc>
      </w:tr>
      <w:tr>
        <w:trPr>
          <w:cantSplit w:val="0"/>
          <w:tblHeader w:val="0"/>
        </w:trPr>
        <w:tc>
          <w:tcPr/>
          <w:p w:rsidR="00000000" w:rsidDel="00000000" w:rsidP="00000000" w:rsidRDefault="00000000" w:rsidRPr="00000000" w14:paraId="00000095">
            <w:pPr>
              <w:spacing w:line="240" w:lineRule="auto"/>
              <w:jc w:val="both"/>
              <w:rPr/>
            </w:pPr>
            <w:r w:rsidDel="00000000" w:rsidR="00000000" w:rsidRPr="00000000">
              <w:rPr>
                <w:rtl w:val="0"/>
              </w:rPr>
              <w:t xml:space="preserve">Costo del soporte técnico del motor.</w:t>
            </w:r>
          </w:p>
        </w:tc>
        <w:tc>
          <w:tcPr/>
          <w:p w:rsidR="00000000" w:rsidDel="00000000" w:rsidP="00000000" w:rsidRDefault="00000000" w:rsidRPr="00000000" w14:paraId="00000096">
            <w:pPr>
              <w:spacing w:line="240" w:lineRule="auto"/>
              <w:jc w:val="both"/>
              <w:rPr/>
            </w:pPr>
            <w:r w:rsidDel="00000000" w:rsidR="00000000" w:rsidRPr="00000000">
              <w:rPr>
                <w:rtl w:val="0"/>
              </w:rPr>
              <w:t xml:space="preserve">US$ 7700.-</w:t>
            </w:r>
          </w:p>
        </w:tc>
      </w:tr>
      <w:tr>
        <w:trPr>
          <w:cantSplit w:val="0"/>
          <w:tblHeader w:val="0"/>
        </w:trPr>
        <w:tc>
          <w:tcPr/>
          <w:p w:rsidR="00000000" w:rsidDel="00000000" w:rsidP="00000000" w:rsidRDefault="00000000" w:rsidRPr="00000000" w14:paraId="00000097">
            <w:pPr>
              <w:spacing w:line="240" w:lineRule="auto"/>
              <w:jc w:val="both"/>
              <w:rPr/>
            </w:pPr>
            <w:r w:rsidDel="00000000" w:rsidR="00000000" w:rsidRPr="00000000">
              <w:rPr>
                <w:rtl w:val="0"/>
              </w:rPr>
              <w:t xml:space="preserve">Cantidad de horas Soporte técnico si las ofrece y el costo de estas.</w:t>
            </w:r>
          </w:p>
        </w:tc>
        <w:tc>
          <w:tcPr/>
          <w:p w:rsidR="00000000" w:rsidDel="00000000" w:rsidP="00000000" w:rsidRDefault="00000000" w:rsidRPr="00000000" w14:paraId="00000098">
            <w:pPr>
              <w:spacing w:line="240" w:lineRule="auto"/>
              <w:jc w:val="both"/>
              <w:rPr/>
            </w:pPr>
            <w:r w:rsidDel="00000000" w:rsidR="00000000" w:rsidRPr="00000000">
              <w:rPr>
                <w:rtl w:val="0"/>
              </w:rPr>
              <w:t xml:space="preserve">Incluido en contrato</w:t>
            </w:r>
          </w:p>
        </w:tc>
      </w:tr>
      <w:tr>
        <w:trPr>
          <w:cantSplit w:val="0"/>
          <w:tblHeader w:val="0"/>
        </w:trPr>
        <w:tc>
          <w:tcPr/>
          <w:p w:rsidR="00000000" w:rsidDel="00000000" w:rsidP="00000000" w:rsidRDefault="00000000" w:rsidRPr="00000000" w14:paraId="00000099">
            <w:pPr>
              <w:spacing w:line="240" w:lineRule="auto"/>
              <w:jc w:val="both"/>
              <w:rPr/>
            </w:pPr>
            <w:r w:rsidDel="00000000" w:rsidR="00000000" w:rsidRPr="00000000">
              <w:rPr>
                <w:rtl w:val="0"/>
              </w:rPr>
              <w:t xml:space="preserve">Costo de Licencia.</w:t>
            </w:r>
          </w:p>
        </w:tc>
        <w:tc>
          <w:tcPr/>
          <w:p w:rsidR="00000000" w:rsidDel="00000000" w:rsidP="00000000" w:rsidRDefault="00000000" w:rsidRPr="00000000" w14:paraId="0000009A">
            <w:pPr>
              <w:spacing w:line="240" w:lineRule="auto"/>
              <w:jc w:val="both"/>
              <w:rPr/>
            </w:pPr>
            <w:r w:rsidDel="00000000" w:rsidR="00000000" w:rsidRPr="00000000">
              <w:rPr>
                <w:rtl w:val="0"/>
              </w:rPr>
              <w:t xml:space="preserve">US$ 35.000.-</w:t>
            </w:r>
          </w:p>
        </w:tc>
      </w:tr>
      <w:tr>
        <w:trPr>
          <w:cantSplit w:val="0"/>
          <w:tblHeader w:val="0"/>
        </w:trPr>
        <w:tc>
          <w:tcPr/>
          <w:p w:rsidR="00000000" w:rsidDel="00000000" w:rsidP="00000000" w:rsidRDefault="00000000" w:rsidRPr="00000000" w14:paraId="0000009B">
            <w:pPr>
              <w:spacing w:line="240" w:lineRule="auto"/>
              <w:jc w:val="both"/>
              <w:rPr/>
            </w:pPr>
            <w:r w:rsidDel="00000000" w:rsidR="00000000" w:rsidRPr="00000000">
              <w:rPr>
                <w:rtl w:val="0"/>
              </w:rPr>
              <w:t xml:space="preserve">Costo en la nube</w:t>
            </w:r>
          </w:p>
        </w:tc>
        <w:tc>
          <w:tcPr/>
          <w:p w:rsidR="00000000" w:rsidDel="00000000" w:rsidP="00000000" w:rsidRDefault="00000000" w:rsidRPr="00000000" w14:paraId="0000009C">
            <w:pPr>
              <w:spacing w:line="240" w:lineRule="auto"/>
              <w:jc w:val="both"/>
              <w:rPr/>
            </w:pPr>
            <w:r w:rsidDel="00000000" w:rsidR="00000000" w:rsidRPr="00000000">
              <w:rPr>
                <w:rtl w:val="0"/>
              </w:rPr>
              <w:t xml:space="preserve">US$ 6.532,43.-</w:t>
            </w:r>
          </w:p>
        </w:tc>
      </w:tr>
      <w:tr>
        <w:trPr>
          <w:cantSplit w:val="0"/>
          <w:tblHeader w:val="0"/>
        </w:trPr>
        <w:tc>
          <w:tcPr/>
          <w:p w:rsidR="00000000" w:rsidDel="00000000" w:rsidP="00000000" w:rsidRDefault="00000000" w:rsidRPr="00000000" w14:paraId="0000009D">
            <w:pPr>
              <w:spacing w:line="240" w:lineRule="auto"/>
              <w:jc w:val="right"/>
              <w:rPr/>
            </w:pPr>
            <w:r w:rsidDel="00000000" w:rsidR="00000000" w:rsidRPr="00000000">
              <w:rPr>
                <w:rtl w:val="0"/>
              </w:rPr>
              <w:t xml:space="preserve">Total Anual</w:t>
            </w:r>
          </w:p>
        </w:tc>
        <w:tc>
          <w:tcPr/>
          <w:p w:rsidR="00000000" w:rsidDel="00000000" w:rsidP="00000000" w:rsidRDefault="00000000" w:rsidRPr="00000000" w14:paraId="0000009E">
            <w:pPr>
              <w:spacing w:line="240" w:lineRule="auto"/>
              <w:jc w:val="both"/>
              <w:rPr/>
            </w:pPr>
            <w:r w:rsidDel="00000000" w:rsidR="00000000" w:rsidRPr="00000000">
              <w:rPr>
                <w:rtl w:val="0"/>
              </w:rPr>
              <w:t xml:space="preserve">US$ 151.832,43.-</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1"/>
        <w:keepLines w:val="1"/>
        <w:spacing w:after="0" w:before="40" w:lineRule="auto"/>
        <w:rPr>
          <w:vertAlign w:val="baseline"/>
        </w:rPr>
      </w:pPr>
      <w:bookmarkStart w:colFirst="0" w:colLast="0" w:name="_heading=h.17dp8vu" w:id="15"/>
      <w:bookmarkEnd w:id="15"/>
      <w:r w:rsidDel="00000000" w:rsidR="00000000" w:rsidRPr="00000000">
        <w:rPr>
          <w:vertAlign w:val="baseline"/>
          <w:rtl w:val="0"/>
        </w:rPr>
        <w:t xml:space="preserve">Conclusiones</w:t>
      </w:r>
    </w:p>
    <w:p w:rsidR="00000000" w:rsidDel="00000000" w:rsidP="00000000" w:rsidRDefault="00000000" w:rsidRPr="00000000" w14:paraId="000000A1">
      <w:pPr>
        <w:spacing w:after="280" w:before="280" w:line="240" w:lineRule="auto"/>
        <w:rPr/>
      </w:pPr>
      <w:r w:rsidDel="00000000" w:rsidR="00000000" w:rsidRPr="00000000">
        <w:rPr>
          <w:rtl w:val="0"/>
        </w:rPr>
        <w:t xml:space="preserve">Oracle Database se presenta como una solución robusta y de alto rendimiento para "Aurora SA", cumpliendo con los estrictos requisitos técnicos y de seguridad necesarios para la operación de datos críticos. Su amplia compatibilidad con sistemas operativos y capacidad de escalabilidad la convierten en una opción flexible y adaptable para diferentes entornos empresariales.</w:t>
      </w:r>
    </w:p>
    <w:p w:rsidR="00000000" w:rsidDel="00000000" w:rsidP="00000000" w:rsidRDefault="00000000" w:rsidRPr="00000000" w14:paraId="000000A2">
      <w:pPr>
        <w:spacing w:after="280" w:before="280" w:line="240" w:lineRule="auto"/>
        <w:rPr/>
      </w:pPr>
      <w:r w:rsidDel="00000000" w:rsidR="00000000" w:rsidRPr="00000000">
        <w:rPr>
          <w:b w:val="1"/>
          <w:rtl w:val="0"/>
        </w:rPr>
        <w:t xml:space="preserve">Ventajas:</w:t>
      </w:r>
      <w:r w:rsidDel="00000000" w:rsidR="00000000" w:rsidRPr="00000000">
        <w:rPr>
          <w:rtl w:val="0"/>
        </w:rPr>
      </w:r>
    </w:p>
    <w:p w:rsidR="00000000" w:rsidDel="00000000" w:rsidP="00000000" w:rsidRDefault="00000000" w:rsidRPr="00000000" w14:paraId="000000A3">
      <w:pPr>
        <w:numPr>
          <w:ilvl w:val="0"/>
          <w:numId w:val="15"/>
        </w:numPr>
        <w:spacing w:after="0" w:before="280" w:line="240" w:lineRule="auto"/>
        <w:ind w:left="720" w:hanging="360"/>
        <w:rPr/>
      </w:pPr>
      <w:r w:rsidDel="00000000" w:rsidR="00000000" w:rsidRPr="00000000">
        <w:rPr>
          <w:b w:val="1"/>
          <w:rtl w:val="0"/>
        </w:rPr>
        <w:t xml:space="preserve">Alta disponibilidad y confiabilidad:</w:t>
      </w:r>
      <w:r w:rsidDel="00000000" w:rsidR="00000000" w:rsidRPr="00000000">
        <w:rPr>
          <w:rtl w:val="0"/>
        </w:rPr>
        <w:t xml:space="preserve"> Oracle garantiza un rendimiento constante y una infraestructura resistente, ideal para sistemas de misión crítica.</w:t>
      </w:r>
    </w:p>
    <w:p w:rsidR="00000000" w:rsidDel="00000000" w:rsidP="00000000" w:rsidRDefault="00000000" w:rsidRPr="00000000" w14:paraId="000000A4">
      <w:pPr>
        <w:numPr>
          <w:ilvl w:val="0"/>
          <w:numId w:val="15"/>
        </w:numPr>
        <w:spacing w:after="0" w:before="0" w:line="240" w:lineRule="auto"/>
        <w:ind w:left="720" w:hanging="360"/>
        <w:rPr/>
      </w:pPr>
      <w:r w:rsidDel="00000000" w:rsidR="00000000" w:rsidRPr="00000000">
        <w:rPr>
          <w:b w:val="1"/>
          <w:rtl w:val="0"/>
        </w:rPr>
        <w:t xml:space="preserve">Seguridad avanzada:</w:t>
      </w:r>
      <w:r w:rsidDel="00000000" w:rsidR="00000000" w:rsidRPr="00000000">
        <w:rPr>
          <w:rtl w:val="0"/>
        </w:rPr>
        <w:t xml:space="preserve"> Con características como cifrado de datos y control de acceso basado en roles, Oracle proporciona un entorno seguro para la gestión de información sensible.</w:t>
      </w:r>
    </w:p>
    <w:p w:rsidR="00000000" w:rsidDel="00000000" w:rsidP="00000000" w:rsidRDefault="00000000" w:rsidRPr="00000000" w14:paraId="000000A5">
      <w:pPr>
        <w:numPr>
          <w:ilvl w:val="0"/>
          <w:numId w:val="15"/>
        </w:numPr>
        <w:spacing w:after="280" w:before="0" w:line="240" w:lineRule="auto"/>
        <w:ind w:left="720" w:hanging="360"/>
        <w:rPr/>
      </w:pPr>
      <w:r w:rsidDel="00000000" w:rsidR="00000000" w:rsidRPr="00000000">
        <w:rPr>
          <w:b w:val="1"/>
          <w:rtl w:val="0"/>
        </w:rPr>
        <w:t xml:space="preserve">Soporte global y comunidad activa:</w:t>
      </w:r>
      <w:r w:rsidDel="00000000" w:rsidR="00000000" w:rsidRPr="00000000">
        <w:rPr>
          <w:rtl w:val="0"/>
        </w:rPr>
        <w:t xml:space="preserve"> La extensa red de soporte y la comunidad de usuarios facilitan la resolución de problemas y la implementación de mejoras.</w:t>
      </w:r>
    </w:p>
    <w:p w:rsidR="00000000" w:rsidDel="00000000" w:rsidP="00000000" w:rsidRDefault="00000000" w:rsidRPr="00000000" w14:paraId="000000A6">
      <w:pPr>
        <w:spacing w:after="280" w:before="280" w:line="240" w:lineRule="auto"/>
        <w:rPr/>
      </w:pPr>
      <w:r w:rsidDel="00000000" w:rsidR="00000000" w:rsidRPr="00000000">
        <w:rPr>
          <w:b w:val="1"/>
          <w:rtl w:val="0"/>
        </w:rPr>
        <w:t xml:space="preserve">Consideraciones:</w:t>
      </w:r>
      <w:r w:rsidDel="00000000" w:rsidR="00000000" w:rsidRPr="00000000">
        <w:rPr>
          <w:rtl w:val="0"/>
        </w:rPr>
      </w:r>
    </w:p>
    <w:p w:rsidR="00000000" w:rsidDel="00000000" w:rsidP="00000000" w:rsidRDefault="00000000" w:rsidRPr="00000000" w14:paraId="000000A7">
      <w:pPr>
        <w:numPr>
          <w:ilvl w:val="0"/>
          <w:numId w:val="16"/>
        </w:numPr>
        <w:spacing w:after="0" w:before="280" w:line="240" w:lineRule="auto"/>
        <w:ind w:left="720" w:hanging="360"/>
        <w:rPr/>
      </w:pPr>
      <w:r w:rsidDel="00000000" w:rsidR="00000000" w:rsidRPr="00000000">
        <w:rPr>
          <w:b w:val="1"/>
          <w:rtl w:val="0"/>
        </w:rPr>
        <w:t xml:space="preserve">Costos elevados:</w:t>
      </w:r>
      <w:r w:rsidDel="00000000" w:rsidR="00000000" w:rsidRPr="00000000">
        <w:rPr>
          <w:rtl w:val="0"/>
        </w:rPr>
        <w:t xml:space="preserve"> La inversión inicial en licencias, así como el costo recurrente de soporte técnico, puede ser significativa. Esto podría representar un desafío financiero para “Aurora SA” que no cuenta con personal especializado en Oracle.</w:t>
      </w:r>
    </w:p>
    <w:p w:rsidR="00000000" w:rsidDel="00000000" w:rsidP="00000000" w:rsidRDefault="00000000" w:rsidRPr="00000000" w14:paraId="000000A8">
      <w:pPr>
        <w:numPr>
          <w:ilvl w:val="0"/>
          <w:numId w:val="16"/>
        </w:numPr>
        <w:spacing w:after="280" w:before="0" w:line="240" w:lineRule="auto"/>
        <w:ind w:left="720" w:hanging="360"/>
        <w:rPr/>
      </w:pPr>
      <w:r w:rsidDel="00000000" w:rsidR="00000000" w:rsidRPr="00000000">
        <w:rPr>
          <w:b w:val="1"/>
          <w:rtl w:val="0"/>
        </w:rPr>
        <w:t xml:space="preserve">Dependencia de personal especializado:</w:t>
      </w:r>
      <w:r w:rsidDel="00000000" w:rsidR="00000000" w:rsidRPr="00000000">
        <w:rPr>
          <w:rtl w:val="0"/>
        </w:rPr>
        <w:t xml:space="preserve"> La implementación y mantenimiento de Oracle requieren profesionales altamente capacitados, lo que añade un costo adicional en términos de recursos humanos.</w:t>
      </w:r>
    </w:p>
    <w:p w:rsidR="00000000" w:rsidDel="00000000" w:rsidP="00000000" w:rsidRDefault="00000000" w:rsidRPr="00000000" w14:paraId="000000A9">
      <w:pPr>
        <w:spacing w:before="280" w:line="240" w:lineRule="auto"/>
        <w:ind w:left="360" w:firstLine="0"/>
        <w:rPr/>
      </w:pPr>
      <w:r w:rsidDel="00000000" w:rsidR="00000000" w:rsidRPr="00000000">
        <w:rPr>
          <w:rtl w:val="0"/>
        </w:rPr>
        <w:t xml:space="preserve">En resumen, aunque la adopción de Oracle Database representa una opción confiable y robusta en términos de seguridad y rendimiento, consideramos que no se justifica la inversión de licenciamiento, ni el costo de mantenimiento propio del software. Se recomienda otro Sistema de Gestión de Base de Datos, cuyo costo sea menor, a pesar de la pérdida de calidad.</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sd4xjwmqnl4v" w:id="16"/>
      <w:bookmarkEnd w:id="16"/>
      <w:r w:rsidDel="00000000" w:rsidR="00000000" w:rsidRPr="00000000">
        <w:rPr>
          <w:rtl w:val="0"/>
        </w:rPr>
      </w:r>
    </w:p>
    <w:p w:rsidR="00000000" w:rsidDel="00000000" w:rsidP="00000000" w:rsidRDefault="00000000" w:rsidRPr="00000000" w14:paraId="000000AB">
      <w:pPr>
        <w:pStyle w:val="Heading2"/>
        <w:keepNext w:val="1"/>
        <w:keepLines w:val="1"/>
        <w:spacing w:after="0" w:before="240" w:lineRule="auto"/>
        <w:rPr>
          <w:vertAlign w:val="baseline"/>
        </w:rPr>
      </w:pPr>
      <w:bookmarkStart w:colFirst="0" w:colLast="0" w:name="_heading=h.3rdcrjn" w:id="17"/>
      <w:bookmarkEnd w:id="17"/>
      <w:r w:rsidDel="00000000" w:rsidR="00000000" w:rsidRPr="00000000">
        <w:rPr>
          <w:vertAlign w:val="baseline"/>
          <w:rtl w:val="0"/>
        </w:rPr>
        <w:t xml:space="preserve">Bibliografía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SA. (s.f.). Obtenido de https://www.oracle.com/ar/database/base-database-service/pricing/</w:t>
      </w:r>
    </w:p>
    <w:p w:rsidR="00000000" w:rsidDel="00000000" w:rsidP="00000000" w:rsidRDefault="00000000" w:rsidRPr="00000000" w14:paraId="000000AD">
      <w:pPr>
        <w:rPr/>
      </w:pPr>
      <w:hyperlink r:id="rId7">
        <w:r w:rsidDel="00000000" w:rsidR="00000000" w:rsidRPr="00000000">
          <w:rPr>
            <w:color w:val="1155cc"/>
            <w:u w:val="single"/>
            <w:rtl w:val="0"/>
          </w:rPr>
          <w:t xml:space="preserve">Cloud Cost Estimator | Oracle España</w:t>
        </w:r>
      </w:hyperlink>
      <w:r w:rsidDel="00000000" w:rsidR="00000000" w:rsidRPr="00000000">
        <w:rPr>
          <w:rtl w:val="0"/>
        </w:rPr>
        <w:t xml:space="preserve"> :  </w:t>
      </w:r>
      <w:hyperlink r:id="rId8">
        <w:r w:rsidDel="00000000" w:rsidR="00000000" w:rsidRPr="00000000">
          <w:rPr>
            <w:color w:val="1155cc"/>
            <w:u w:val="single"/>
            <w:rtl w:val="0"/>
          </w:rPr>
          <w:t xml:space="preserve">https://www.oracle.com/es/cloud/costestimator.html</w:t>
        </w:r>
      </w:hyperlink>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pStyle w:val="Heading1"/>
        <w:rPr/>
      </w:pPr>
      <w:bookmarkStart w:colFirst="0" w:colLast="0" w:name="_heading=h.cr68ohzbb2g3" w:id="18"/>
      <w:bookmarkEnd w:id="18"/>
      <w:r w:rsidDel="00000000" w:rsidR="00000000" w:rsidRPr="00000000">
        <w:rPr>
          <w:rtl w:val="0"/>
        </w:rPr>
        <w:t xml:space="preserve">Entrega 3</w:t>
      </w:r>
    </w:p>
    <w:p w:rsidR="00000000" w:rsidDel="00000000" w:rsidP="00000000" w:rsidRDefault="00000000" w:rsidRPr="00000000" w14:paraId="000000B3">
      <w:pPr>
        <w:pStyle w:val="Heading2"/>
        <w:spacing w:line="276" w:lineRule="auto"/>
        <w:rPr>
          <w:rFonts w:ascii="Arial" w:cs="Arial" w:eastAsia="Arial" w:hAnsi="Arial"/>
        </w:rPr>
      </w:pPr>
      <w:bookmarkStart w:colFirst="0" w:colLast="0" w:name="_heading=h.cjlc3cpwrl4d" w:id="19"/>
      <w:bookmarkEnd w:id="19"/>
      <w:r w:rsidDel="00000000" w:rsidR="00000000" w:rsidRPr="00000000">
        <w:rPr>
          <w:rtl w:val="0"/>
        </w:rPr>
        <w:t xml:space="preserve">DBMS: SQL SERVER </w:t>
      </w:r>
      <w:r w:rsidDel="00000000" w:rsidR="00000000" w:rsidRPr="00000000">
        <w:rPr>
          <w:rtl w:val="0"/>
        </w:rPr>
      </w:r>
    </w:p>
    <w:p w:rsidR="00000000" w:rsidDel="00000000" w:rsidP="00000000" w:rsidRDefault="00000000" w:rsidRPr="00000000" w14:paraId="000000B4">
      <w:pPr>
        <w:pStyle w:val="Heading3"/>
        <w:rPr/>
      </w:pPr>
      <w:bookmarkStart w:colFirst="0" w:colLast="0" w:name="_heading=h.dw5qqwi6bqar" w:id="20"/>
      <w:bookmarkEnd w:id="20"/>
      <w:r w:rsidDel="00000000" w:rsidR="00000000" w:rsidRPr="00000000">
        <w:rPr>
          <w:rtl w:val="0"/>
        </w:rPr>
        <w:t xml:space="preserve">Instalación y Configuración de SQL Server 2019 Express (Versión: 15.0.2000.5)</w:t>
      </w:r>
    </w:p>
    <w:p w:rsidR="00000000" w:rsidDel="00000000" w:rsidP="00000000" w:rsidRDefault="00000000" w:rsidRPr="00000000" w14:paraId="000000B5">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Edición:</w:t>
      </w:r>
      <w:r w:rsidDel="00000000" w:rsidR="00000000" w:rsidRPr="00000000">
        <w:rPr>
          <w:rFonts w:ascii="Arial" w:cs="Arial" w:eastAsia="Arial" w:hAnsi="Arial"/>
          <w:rtl w:val="0"/>
        </w:rPr>
        <w:t xml:space="preserve"> SQL Server 2019 Express</w:t>
        <w:br w:type="textWrapping"/>
      </w:r>
      <w:r w:rsidDel="00000000" w:rsidR="00000000" w:rsidRPr="00000000">
        <w:rPr>
          <w:rFonts w:ascii="Arial" w:cs="Arial" w:eastAsia="Arial" w:hAnsi="Arial"/>
          <w:b w:val="1"/>
          <w:rtl w:val="0"/>
        </w:rPr>
        <w:t xml:space="preserve">Versión:</w:t>
      </w:r>
      <w:r w:rsidDel="00000000" w:rsidR="00000000" w:rsidRPr="00000000">
        <w:rPr>
          <w:rFonts w:ascii="Arial" w:cs="Arial" w:eastAsia="Arial" w:hAnsi="Arial"/>
          <w:rtl w:val="0"/>
        </w:rPr>
        <w:t xml:space="preserve"> 15.0.2000.5 (lanzamiento RTM, 24 de septiembre de 2019)</w:t>
        <w:br w:type="textWrapping"/>
      </w:r>
      <w:r w:rsidDel="00000000" w:rsidR="00000000" w:rsidRPr="00000000">
        <w:rPr>
          <w:rFonts w:ascii="Arial" w:cs="Arial" w:eastAsia="Arial" w:hAnsi="Arial"/>
          <w:b w:val="1"/>
          <w:rtl w:val="0"/>
        </w:rPr>
        <w:t xml:space="preserve">Modo de instalación:</w:t>
      </w:r>
      <w:r w:rsidDel="00000000" w:rsidR="00000000" w:rsidRPr="00000000">
        <w:rPr>
          <w:rFonts w:ascii="Arial" w:cs="Arial" w:eastAsia="Arial" w:hAnsi="Arial"/>
          <w:rtl w:val="0"/>
        </w:rPr>
        <w:t xml:space="preserve"> Personalizada</w:t>
      </w:r>
    </w:p>
    <w:p w:rsidR="00000000" w:rsidDel="00000000" w:rsidP="00000000" w:rsidRDefault="00000000" w:rsidRPr="00000000" w14:paraId="000000B6">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Componentes seleccionados:</w:t>
      </w:r>
    </w:p>
    <w:p w:rsidR="00000000" w:rsidDel="00000000" w:rsidP="00000000" w:rsidRDefault="00000000" w:rsidRPr="00000000" w14:paraId="000000B7">
      <w:pPr>
        <w:numPr>
          <w:ilvl w:val="0"/>
          <w:numId w:val="7"/>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Database Engine Services:</w:t>
      </w:r>
      <w:r w:rsidDel="00000000" w:rsidR="00000000" w:rsidRPr="00000000">
        <w:rPr>
          <w:rFonts w:ascii="Arial" w:cs="Arial" w:eastAsia="Arial" w:hAnsi="Arial"/>
          <w:rtl w:val="0"/>
        </w:rPr>
        <w:t xml:space="preserve"> Necesario para la creación y administración de bases de datos.</w:t>
      </w:r>
    </w:p>
    <w:p w:rsidR="00000000" w:rsidDel="00000000" w:rsidP="00000000" w:rsidRDefault="00000000" w:rsidRPr="00000000" w14:paraId="000000B8">
      <w:pPr>
        <w:numPr>
          <w:ilvl w:val="0"/>
          <w:numId w:val="7"/>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SQL Server Replication:</w:t>
      </w:r>
      <w:r w:rsidDel="00000000" w:rsidR="00000000" w:rsidRPr="00000000">
        <w:rPr>
          <w:rFonts w:ascii="Arial" w:cs="Arial" w:eastAsia="Arial" w:hAnsi="Arial"/>
          <w:rtl w:val="0"/>
        </w:rPr>
        <w:t xml:space="preserve"> Activado para la replicación en entornos distribuidos (sincronización de datos entre sucursales).</w:t>
      </w:r>
    </w:p>
    <w:p w:rsidR="00000000" w:rsidDel="00000000" w:rsidP="00000000" w:rsidRDefault="00000000" w:rsidRPr="00000000" w14:paraId="000000B9">
      <w:pPr>
        <w:numPr>
          <w:ilvl w:val="0"/>
          <w:numId w:val="7"/>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Client Tools Connectivity:</w:t>
      </w:r>
      <w:r w:rsidDel="00000000" w:rsidR="00000000" w:rsidRPr="00000000">
        <w:rPr>
          <w:rFonts w:ascii="Arial" w:cs="Arial" w:eastAsia="Arial" w:hAnsi="Arial"/>
          <w:rtl w:val="0"/>
        </w:rPr>
        <w:t xml:space="preserve"> Habilitado para permitir conexiones a la base de datos desde otros sistemas en la red.</w:t>
      </w:r>
    </w:p>
    <w:p w:rsidR="00000000" w:rsidDel="00000000" w:rsidP="00000000" w:rsidRDefault="00000000" w:rsidRPr="00000000" w14:paraId="000000B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Se excluyeron servicios no requeridos en el entorno actual:</w:t>
      </w:r>
    </w:p>
    <w:p w:rsidR="00000000" w:rsidDel="00000000" w:rsidP="00000000" w:rsidRDefault="00000000" w:rsidRPr="00000000" w14:paraId="000000BB">
      <w:pPr>
        <w:numPr>
          <w:ilvl w:val="0"/>
          <w:numId w:val="3"/>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Machine Learning Services</w:t>
      </w:r>
    </w:p>
    <w:p w:rsidR="00000000" w:rsidDel="00000000" w:rsidP="00000000" w:rsidRDefault="00000000" w:rsidRPr="00000000" w14:paraId="000000BC">
      <w:pPr>
        <w:numPr>
          <w:ilvl w:val="0"/>
          <w:numId w:val="3"/>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PolyBase Query Service for External Data</w:t>
      </w:r>
    </w:p>
    <w:p w:rsidR="00000000" w:rsidDel="00000000" w:rsidP="00000000" w:rsidRDefault="00000000" w:rsidRPr="00000000" w14:paraId="000000BD">
      <w:pPr>
        <w:numPr>
          <w:ilvl w:val="0"/>
          <w:numId w:val="3"/>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Full-Text and Semantic Extractions for Search</w:t>
      </w:r>
    </w:p>
    <w:p w:rsidR="00000000" w:rsidDel="00000000" w:rsidP="00000000" w:rsidRDefault="00000000" w:rsidRPr="00000000" w14:paraId="000000BE">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Configuración de Autenticación:</w:t>
      </w:r>
    </w:p>
    <w:p w:rsidR="00000000" w:rsidDel="00000000" w:rsidP="00000000" w:rsidRDefault="00000000" w:rsidRPr="00000000" w14:paraId="000000BF">
      <w:pPr>
        <w:numPr>
          <w:ilvl w:val="0"/>
          <w:numId w:val="23"/>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Modo de autenticación:</w:t>
      </w:r>
      <w:r w:rsidDel="00000000" w:rsidR="00000000" w:rsidRPr="00000000">
        <w:rPr>
          <w:rFonts w:ascii="Arial" w:cs="Arial" w:eastAsia="Arial" w:hAnsi="Arial"/>
          <w:rtl w:val="0"/>
        </w:rPr>
        <w:t xml:space="preserve"> Mixed Mode (autenticación de Windows y SQL Server).</w:t>
      </w:r>
    </w:p>
    <w:p w:rsidR="00000000" w:rsidDel="00000000" w:rsidP="00000000" w:rsidRDefault="00000000" w:rsidRPr="00000000" w14:paraId="000000C0">
      <w:pPr>
        <w:numPr>
          <w:ilvl w:val="0"/>
          <w:numId w:val="23"/>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Usuario administrador:</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sa</w:t>
      </w:r>
      <w:r w:rsidDel="00000000" w:rsidR="00000000" w:rsidRPr="00000000">
        <w:rPr>
          <w:rFonts w:ascii="Arial" w:cs="Arial" w:eastAsia="Arial" w:hAnsi="Arial"/>
          <w:rtl w:val="0"/>
        </w:rPr>
        <w:t xml:space="preserve"> con</w:t>
      </w:r>
      <w:r w:rsidDel="00000000" w:rsidR="00000000" w:rsidRPr="00000000">
        <w:rPr>
          <w:rFonts w:ascii="Arial" w:cs="Arial" w:eastAsia="Arial" w:hAnsi="Arial"/>
          <w:rtl w:val="0"/>
        </w:rPr>
        <w:t xml:space="preserve"> contraseña definida durante la instalación.</w:t>
      </w:r>
    </w:p>
    <w:p w:rsidR="00000000" w:rsidDel="00000000" w:rsidP="00000000" w:rsidRDefault="00000000" w:rsidRPr="00000000" w14:paraId="000000C1">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Configuración de Almacenamiento y Directorios de Datos:</w:t>
      </w:r>
    </w:p>
    <w:p w:rsidR="00000000" w:rsidDel="00000000" w:rsidP="00000000" w:rsidRDefault="00000000" w:rsidRPr="00000000" w14:paraId="000000C2">
      <w:pPr>
        <w:numPr>
          <w:ilvl w:val="0"/>
          <w:numId w:val="11"/>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Directorio de instalación:</w:t>
      </w:r>
      <w:r w:rsidDel="00000000" w:rsidR="00000000" w:rsidRPr="00000000">
        <w:rPr>
          <w:rFonts w:ascii="Arial" w:cs="Arial" w:eastAsia="Arial" w:hAnsi="Arial"/>
          <w:rtl w:val="0"/>
        </w:rPr>
        <w:t xml:space="preserve"> Carpeta especificada durante la configuración personalizada.</w:t>
      </w:r>
    </w:p>
    <w:p w:rsidR="00000000" w:rsidDel="00000000" w:rsidP="00000000" w:rsidRDefault="00000000" w:rsidRPr="00000000" w14:paraId="000000C3">
      <w:pPr>
        <w:numPr>
          <w:ilvl w:val="0"/>
          <w:numId w:val="11"/>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Data Directories:</w:t>
      </w:r>
      <w:r w:rsidDel="00000000" w:rsidR="00000000" w:rsidRPr="00000000">
        <w:rPr>
          <w:rFonts w:ascii="Arial" w:cs="Arial" w:eastAsia="Arial" w:hAnsi="Arial"/>
          <w:rtl w:val="0"/>
        </w:rPr>
        <w:t xml:space="preserve"> Configuración según buenas prácticas:</w:t>
      </w:r>
    </w:p>
    <w:p w:rsidR="00000000" w:rsidDel="00000000" w:rsidP="00000000" w:rsidRDefault="00000000" w:rsidRPr="00000000" w14:paraId="000000C4">
      <w:pPr>
        <w:numPr>
          <w:ilvl w:val="1"/>
          <w:numId w:val="11"/>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Archivos de datos:</w:t>
      </w:r>
      <w:r w:rsidDel="00000000" w:rsidR="00000000" w:rsidRPr="00000000">
        <w:rPr>
          <w:rFonts w:ascii="Arial" w:cs="Arial" w:eastAsia="Arial" w:hAnsi="Arial"/>
          <w:rtl w:val="0"/>
        </w:rPr>
        <w:t xml:space="preserve"> D:\SQLData</w:t>
      </w:r>
    </w:p>
    <w:p w:rsidR="00000000" w:rsidDel="00000000" w:rsidP="00000000" w:rsidRDefault="00000000" w:rsidRPr="00000000" w14:paraId="000000C5">
      <w:pPr>
        <w:numPr>
          <w:ilvl w:val="1"/>
          <w:numId w:val="11"/>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Archivos de registro:</w:t>
      </w:r>
      <w:r w:rsidDel="00000000" w:rsidR="00000000" w:rsidRPr="00000000">
        <w:rPr>
          <w:rFonts w:ascii="Arial" w:cs="Arial" w:eastAsia="Arial" w:hAnsi="Arial"/>
          <w:rtl w:val="0"/>
        </w:rPr>
        <w:t xml:space="preserve"> E:\SQLLogs</w:t>
      </w:r>
    </w:p>
    <w:p w:rsidR="00000000" w:rsidDel="00000000" w:rsidP="00000000" w:rsidRDefault="00000000" w:rsidRPr="00000000" w14:paraId="000000C6">
      <w:pPr>
        <w:numPr>
          <w:ilvl w:val="1"/>
          <w:numId w:val="11"/>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Directorio de backups:</w:t>
      </w:r>
      <w:r w:rsidDel="00000000" w:rsidR="00000000" w:rsidRPr="00000000">
        <w:rPr>
          <w:rFonts w:ascii="Arial" w:cs="Arial" w:eastAsia="Arial" w:hAnsi="Arial"/>
          <w:rtl w:val="0"/>
        </w:rPr>
        <w:t xml:space="preserve"> F:\SQLBackups</w:t>
      </w:r>
    </w:p>
    <w:p w:rsidR="00000000" w:rsidDel="00000000" w:rsidP="00000000" w:rsidRDefault="00000000" w:rsidRPr="00000000" w14:paraId="000000C7">
      <w:pPr>
        <w:numPr>
          <w:ilvl w:val="1"/>
          <w:numId w:val="11"/>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TempDB:</w:t>
      </w:r>
      <w:r w:rsidDel="00000000" w:rsidR="00000000" w:rsidRPr="00000000">
        <w:rPr>
          <w:rFonts w:ascii="Arial" w:cs="Arial" w:eastAsia="Arial" w:hAnsi="Arial"/>
          <w:rtl w:val="0"/>
        </w:rPr>
        <w:t xml:space="preserve"> Ubicado en la ruta predeterminada de SQL Server Express.</w:t>
      </w:r>
    </w:p>
    <w:p w:rsidR="00000000" w:rsidDel="00000000" w:rsidP="00000000" w:rsidRDefault="00000000" w:rsidRPr="00000000" w14:paraId="000000C8">
      <w:pPr>
        <w:numPr>
          <w:ilvl w:val="0"/>
          <w:numId w:val="11"/>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TempDB configuración adicional:</w:t>
      </w:r>
      <w:r w:rsidDel="00000000" w:rsidR="00000000" w:rsidRPr="00000000">
        <w:rPr>
          <w:rFonts w:ascii="Arial" w:cs="Arial" w:eastAsia="Arial" w:hAnsi="Arial"/>
          <w:rtl w:val="0"/>
        </w:rPr>
        <w:t xml:space="preserve"> Se utilizaron los valores por defecto, adecuados para la carga de trabajo esperada en esta instalación.</w:t>
      </w:r>
    </w:p>
    <w:p w:rsidR="00000000" w:rsidDel="00000000" w:rsidP="00000000" w:rsidRDefault="00000000" w:rsidRPr="00000000" w14:paraId="000000C9">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Configuración de Memoria:</w:t>
      </w:r>
    </w:p>
    <w:p w:rsidR="00000000" w:rsidDel="00000000" w:rsidP="00000000" w:rsidRDefault="00000000" w:rsidRPr="00000000" w14:paraId="000000CA">
      <w:pPr>
        <w:numPr>
          <w:ilvl w:val="0"/>
          <w:numId w:val="8"/>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Límite de uso de memoria:</w:t>
      </w:r>
      <w:r w:rsidDel="00000000" w:rsidR="00000000" w:rsidRPr="00000000">
        <w:rPr>
          <w:rFonts w:ascii="Arial" w:cs="Arial" w:eastAsia="Arial" w:hAnsi="Arial"/>
          <w:rtl w:val="0"/>
        </w:rPr>
        <w:t xml:space="preserve"> 1 GB de RAM, conforme a la limitación de SQL Server Express.</w:t>
      </w:r>
    </w:p>
    <w:p w:rsidR="00000000" w:rsidDel="00000000" w:rsidP="00000000" w:rsidRDefault="00000000" w:rsidRPr="00000000" w14:paraId="000000CB">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Puerto de Conexión:</w:t>
      </w:r>
    </w:p>
    <w:p w:rsidR="00000000" w:rsidDel="00000000" w:rsidP="00000000" w:rsidRDefault="00000000" w:rsidRPr="00000000" w14:paraId="000000CC">
      <w:pPr>
        <w:numPr>
          <w:ilvl w:val="0"/>
          <w:numId w:val="4"/>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Puerto TCP/IP:</w:t>
      </w:r>
      <w:r w:rsidDel="00000000" w:rsidR="00000000" w:rsidRPr="00000000">
        <w:rPr>
          <w:rFonts w:ascii="Arial" w:cs="Arial" w:eastAsia="Arial" w:hAnsi="Arial"/>
          <w:rtl w:val="0"/>
        </w:rPr>
        <w:t xml:space="preserve"> 1433 (puerto por defecto para conexiones de SQL Server).</w:t>
      </w:r>
    </w:p>
    <w:p w:rsidR="00000000" w:rsidDel="00000000" w:rsidP="00000000" w:rsidRDefault="00000000" w:rsidRPr="00000000" w14:paraId="000000CD">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Collation:</w:t>
      </w:r>
    </w:p>
    <w:p w:rsidR="00000000" w:rsidDel="00000000" w:rsidP="00000000" w:rsidRDefault="00000000" w:rsidRPr="00000000" w14:paraId="000000CE">
      <w:pPr>
        <w:numPr>
          <w:ilvl w:val="0"/>
          <w:numId w:val="6"/>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Collate utilizado:</w:t>
      </w:r>
      <w:r w:rsidDel="00000000" w:rsidR="00000000" w:rsidRPr="00000000">
        <w:rPr>
          <w:rFonts w:ascii="Arial" w:cs="Arial" w:eastAsia="Arial" w:hAnsi="Arial"/>
          <w:rtl w:val="0"/>
        </w:rPr>
        <w:t xml:space="preserve"> Latin1_General_CS_AS</w:t>
      </w:r>
    </w:p>
    <w:p w:rsidR="00000000" w:rsidDel="00000000" w:rsidP="00000000" w:rsidRDefault="00000000" w:rsidRPr="00000000" w14:paraId="000000CF">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Instalación de Herramientas de Administración:</w:t>
      </w:r>
      <w:r w:rsidDel="00000000" w:rsidR="00000000" w:rsidRPr="00000000">
        <w:rPr>
          <w:rFonts w:ascii="Arial" w:cs="Arial" w:eastAsia="Arial" w:hAnsi="Arial"/>
          <w:rtl w:val="0"/>
        </w:rPr>
        <w:t xml:space="preserve"> SQL Server Management Studio (SSMS) se instaló desde el sitio oficial de Microsoft para facilitar la administración del servidor. Se utilizó el directorio predeterminado de instalación.</w:t>
      </w:r>
    </w:p>
    <w:p w:rsidR="00000000" w:rsidDel="00000000" w:rsidP="00000000" w:rsidRDefault="00000000" w:rsidRPr="00000000" w14:paraId="000000D0">
      <w:pPr>
        <w:spacing w:after="240" w:before="240" w:line="276"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POLÍTICA DE RESPALDO</w:t>
      </w:r>
    </w:p>
    <w:p w:rsidR="00000000" w:rsidDel="00000000" w:rsidP="00000000" w:rsidRDefault="00000000" w:rsidRPr="00000000" w14:paraId="000000D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Copia de seguridad completa</w:t>
      </w:r>
      <w:r w:rsidDel="00000000" w:rsidR="00000000" w:rsidRPr="00000000">
        <w:rPr>
          <w:rFonts w:ascii="Arial" w:cs="Arial" w:eastAsia="Arial" w:hAnsi="Arial"/>
          <w:rtl w:val="0"/>
        </w:rPr>
        <w:t xml:space="preserve">:</w:t>
      </w:r>
    </w:p>
    <w:p w:rsidR="00000000" w:rsidDel="00000000" w:rsidP="00000000" w:rsidRDefault="00000000" w:rsidRPr="00000000" w14:paraId="000000D2">
      <w:pPr>
        <w:numPr>
          <w:ilvl w:val="0"/>
          <w:numId w:val="2"/>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 realizará una copia de seguridad completa de la base de datos cada domingo entre las 00:00 y las 05:00, ya que este es un horario de baja actividad. Esta copia incluirá toda la base de datos y se almacenará tanto en disco local como en la nube, específicamente en AWS S3.</w:t>
      </w:r>
    </w:p>
    <w:p w:rsidR="00000000" w:rsidDel="00000000" w:rsidP="00000000" w:rsidRDefault="00000000" w:rsidRPr="00000000" w14:paraId="000000D3">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Copia de seguridad incremental</w:t>
      </w:r>
      <w:r w:rsidDel="00000000" w:rsidR="00000000" w:rsidRPr="00000000">
        <w:rPr>
          <w:rFonts w:ascii="Arial" w:cs="Arial" w:eastAsia="Arial" w:hAnsi="Arial"/>
          <w:rtl w:val="0"/>
        </w:rPr>
        <w:t xml:space="preserve">:</w:t>
      </w:r>
    </w:p>
    <w:p w:rsidR="00000000" w:rsidDel="00000000" w:rsidP="00000000" w:rsidRDefault="00000000" w:rsidRPr="00000000" w14:paraId="000000D4">
      <w:pPr>
        <w:numPr>
          <w:ilvl w:val="0"/>
          <w:numId w:val="10"/>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Durante el resto de la semana (lunes a sábado), se ejecutará una copia de seguridad incremental diariamente en el mismo horario, entre las 00:00 y las 05:00. Estas copias solo incluirán los cambios realizados desde la última copia completa, optimizando el uso de espacio y reduciendo el tiempo de backup. Las copias incrementales se almacenarán en el disco local, y semanalmente, cada domingo, la copia completa se enviará a AWS S3.</w:t>
      </w:r>
    </w:p>
    <w:p w:rsidR="00000000" w:rsidDel="00000000" w:rsidP="00000000" w:rsidRDefault="00000000" w:rsidRPr="00000000" w14:paraId="000000D5">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Almacenamiento de los respaldos</w:t>
      </w:r>
      <w:r w:rsidDel="00000000" w:rsidR="00000000" w:rsidRPr="00000000">
        <w:rPr>
          <w:rFonts w:ascii="Arial" w:cs="Arial" w:eastAsia="Arial" w:hAnsi="Arial"/>
          <w:rtl w:val="0"/>
        </w:rPr>
        <w:t xml:space="preserve">:</w:t>
      </w:r>
    </w:p>
    <w:p w:rsidR="00000000" w:rsidDel="00000000" w:rsidP="00000000" w:rsidRDefault="00000000" w:rsidRPr="00000000" w14:paraId="000000D6">
      <w:pPr>
        <w:numPr>
          <w:ilvl w:val="0"/>
          <w:numId w:val="22"/>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Las copias completas e incrementales se almacenarán en un disco local por un período de 30 días. Las copias completas en la nube en AWS S3 se conservarán durante 6 meses, con una política de rotación para eliminar copias antiguas y optimizar el espacio disponible.</w:t>
      </w:r>
    </w:p>
    <w:p w:rsidR="00000000" w:rsidDel="00000000" w:rsidP="00000000" w:rsidRDefault="00000000" w:rsidRPr="00000000" w14:paraId="000000D7">
      <w:pPr>
        <w:spacing w:after="240" w:before="240" w:line="276" w:lineRule="auto"/>
        <w:jc w:val="both"/>
        <w:rPr>
          <w:rFonts w:ascii="Arial" w:cs="Arial" w:eastAsia="Arial" w:hAnsi="Arial"/>
        </w:rPr>
      </w:pPr>
      <w:r w:rsidDel="00000000" w:rsidR="00000000" w:rsidRPr="00000000">
        <w:rPr>
          <w:rFonts w:ascii="Arial" w:cs="Arial" w:eastAsia="Arial" w:hAnsi="Arial"/>
          <w:b w:val="1"/>
          <w:rtl w:val="0"/>
        </w:rPr>
        <w:t xml:space="preserve">Procedimiento de restauración</w:t>
      </w:r>
      <w:r w:rsidDel="00000000" w:rsidR="00000000" w:rsidRPr="00000000">
        <w:rPr>
          <w:rFonts w:ascii="Arial" w:cs="Arial" w:eastAsia="Arial" w:hAnsi="Arial"/>
          <w:rtl w:val="0"/>
        </w:rPr>
        <w:t xml:space="preserve">:</w:t>
      </w:r>
    </w:p>
    <w:p w:rsidR="00000000" w:rsidDel="00000000" w:rsidP="00000000" w:rsidRDefault="00000000" w:rsidRPr="00000000" w14:paraId="000000D8">
      <w:pPr>
        <w:numPr>
          <w:ilvl w:val="0"/>
          <w:numId w:val="5"/>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En caso de recuperación, se </w:t>
      </w:r>
      <w:r w:rsidDel="00000000" w:rsidR="00000000" w:rsidRPr="00000000">
        <w:rPr>
          <w:rFonts w:ascii="Arial" w:cs="Arial" w:eastAsia="Arial" w:hAnsi="Arial"/>
          <w:rtl w:val="0"/>
        </w:rPr>
        <w:t xml:space="preserve">restaurará</w:t>
      </w:r>
      <w:r w:rsidDel="00000000" w:rsidR="00000000" w:rsidRPr="00000000">
        <w:rPr>
          <w:rFonts w:ascii="Arial" w:cs="Arial" w:eastAsia="Arial" w:hAnsi="Arial"/>
          <w:rtl w:val="0"/>
        </w:rPr>
        <w:t xml:space="preserve"> la base de datos utilizando la copia de seguridad completa más reciente y aplicando las copias incrementales en el orden cronológico hasta el último respaldo disponible.</w:t>
      </w:r>
    </w:p>
    <w:p w:rsidR="00000000" w:rsidDel="00000000" w:rsidP="00000000" w:rsidRDefault="00000000" w:rsidRPr="00000000" w14:paraId="000000D9">
      <w:pPr>
        <w:numPr>
          <w:ilvl w:val="0"/>
          <w:numId w:val="5"/>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La base de datos se dejará en estado </w:t>
      </w:r>
      <w:r w:rsidDel="00000000" w:rsidR="00000000" w:rsidRPr="00000000">
        <w:rPr>
          <w:rFonts w:ascii="Arial" w:cs="Arial" w:eastAsia="Arial" w:hAnsi="Arial"/>
          <w:b w:val="1"/>
          <w:rtl w:val="0"/>
        </w:rPr>
        <w:t xml:space="preserve">Recovery</w:t>
      </w:r>
      <w:r w:rsidDel="00000000" w:rsidR="00000000" w:rsidRPr="00000000">
        <w:rPr>
          <w:rFonts w:ascii="Arial" w:cs="Arial" w:eastAsia="Arial" w:hAnsi="Arial"/>
          <w:rtl w:val="0"/>
        </w:rPr>
        <w:t xml:space="preserve">, lista para ser utilizada, pero sin acceso directo a los respaldos anteriores.</w:t>
      </w:r>
    </w:p>
    <w:p w:rsidR="00000000" w:rsidDel="00000000" w:rsidP="00000000" w:rsidRDefault="00000000" w:rsidRPr="00000000" w14:paraId="000000DA">
      <w:pPr>
        <w:numPr>
          <w:ilvl w:val="0"/>
          <w:numId w:val="5"/>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Después de la restauración, se llevará a cabo una verificación de integridad para asegurar que los datos se han restaurado correctamente y se notificará a los usuarios sobre el restablecimiento del sistema.</w:t>
      </w:r>
    </w:p>
    <w:p w:rsidR="00000000" w:rsidDel="00000000" w:rsidP="00000000" w:rsidRDefault="00000000" w:rsidRPr="00000000" w14:paraId="000000DB">
      <w:pPr>
        <w:numPr>
          <w:ilvl w:val="0"/>
          <w:numId w:val="5"/>
        </w:numPr>
        <w:spacing w:after="24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Durante el proceso de restauración, se reemplazará la base de datos actual por la copia de seguridad seleccionada (la más reciente o la que corresponda según los requerimientos de recuperación). Esto implica que </w:t>
      </w:r>
      <w:r w:rsidDel="00000000" w:rsidR="00000000" w:rsidRPr="00000000">
        <w:rPr>
          <w:rFonts w:ascii="Arial" w:cs="Arial" w:eastAsia="Arial" w:hAnsi="Arial"/>
          <w:b w:val="1"/>
          <w:rtl w:val="0"/>
        </w:rPr>
        <w:t xml:space="preserve">todos los datos actuales serán sobrescritos</w:t>
      </w:r>
      <w:r w:rsidDel="00000000" w:rsidR="00000000" w:rsidRPr="00000000">
        <w:rPr>
          <w:rFonts w:ascii="Arial" w:cs="Arial" w:eastAsia="Arial" w:hAnsi="Arial"/>
          <w:rtl w:val="0"/>
        </w:rPr>
        <w:t xml:space="preserve">, y la base de datos será restaurada al estado en el que estaba al momento de la última copia de seguridad válida.</w:t>
      </w:r>
    </w:p>
    <w:p w:rsidR="00000000" w:rsidDel="00000000" w:rsidP="00000000" w:rsidRDefault="00000000" w:rsidRPr="00000000" w14:paraId="000000DC">
      <w:pPr>
        <w:spacing w:after="240" w:before="24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after="240" w:before="240" w:line="276" w:lineRule="auto"/>
        <w:ind w:left="0" w:firstLine="0"/>
        <w:jc w:val="both"/>
        <w:rPr>
          <w:rFonts w:ascii="Arial" w:cs="Arial" w:eastAsia="Arial" w:hAnsi="Arial"/>
          <w:b w:val="1"/>
          <w:u w:val="single"/>
        </w:rPr>
      </w:pPr>
      <w:r w:rsidDel="00000000" w:rsidR="00000000" w:rsidRPr="00000000">
        <w:rPr>
          <w:color w:val="2f5496"/>
          <w:sz w:val="32"/>
          <w:szCs w:val="32"/>
          <w:rtl w:val="0"/>
        </w:rPr>
        <w:t xml:space="preserve">ARCHIVOS</w:t>
      </w:r>
      <w:r w:rsidDel="00000000" w:rsidR="00000000" w:rsidRPr="00000000">
        <w:rPr>
          <w:rtl w:val="0"/>
        </w:rPr>
      </w:r>
    </w:p>
    <w:p w:rsidR="00000000" w:rsidDel="00000000" w:rsidP="00000000" w:rsidRDefault="00000000" w:rsidRPr="00000000" w14:paraId="000000DE">
      <w:pPr>
        <w:numPr>
          <w:ilvl w:val="0"/>
          <w:numId w:val="12"/>
        </w:numPr>
        <w:spacing w:after="0" w:afterAutospacing="0" w:before="24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DER.PNG (entrega 3)</w:t>
      </w:r>
    </w:p>
    <w:p w:rsidR="00000000" w:rsidDel="00000000" w:rsidP="00000000" w:rsidRDefault="00000000" w:rsidRPr="00000000" w14:paraId="000000DF">
      <w:pPr>
        <w:numPr>
          <w:ilvl w:val="0"/>
          <w:numId w:val="12"/>
        </w:numPr>
        <w:spacing w:after="0" w:afterAutospacing="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Com2900_Grupo01_Entrega06.DOCX</w:t>
      </w:r>
      <w:r w:rsidDel="00000000" w:rsidR="00000000" w:rsidRPr="00000000">
        <w:rPr>
          <w:rtl w:val="0"/>
        </w:rPr>
      </w:r>
    </w:p>
    <w:p w:rsidR="00000000" w:rsidDel="00000000" w:rsidP="00000000" w:rsidRDefault="00000000" w:rsidRPr="00000000" w14:paraId="000000E0">
      <w:pPr>
        <w:numPr>
          <w:ilvl w:val="0"/>
          <w:numId w:val="12"/>
        </w:numPr>
        <w:spacing w:after="0" w:afterAutospacing="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AuroraSA_solucion</w:t>
      </w:r>
      <w:r w:rsidDel="00000000" w:rsidR="00000000" w:rsidRPr="00000000">
        <w:rPr>
          <w:rtl w:val="0"/>
        </w:rPr>
      </w:r>
    </w:p>
    <w:p w:rsidR="00000000" w:rsidDel="00000000" w:rsidP="00000000" w:rsidRDefault="00000000" w:rsidRPr="00000000" w14:paraId="000000E1">
      <w:pPr>
        <w:numPr>
          <w:ilvl w:val="1"/>
          <w:numId w:val="12"/>
        </w:numPr>
        <w:spacing w:after="0" w:afterAutospacing="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00_Creacion_Esquemas_Tablas</w:t>
      </w:r>
      <w:r w:rsidDel="00000000" w:rsidR="00000000" w:rsidRPr="00000000">
        <w:rPr>
          <w:rFonts w:ascii="Arial" w:cs="Arial" w:eastAsia="Arial" w:hAnsi="Arial"/>
          <w:rtl w:val="0"/>
        </w:rPr>
        <w:t xml:space="preserve"> (entrega 3)</w:t>
      </w:r>
    </w:p>
    <w:p w:rsidR="00000000" w:rsidDel="00000000" w:rsidP="00000000" w:rsidRDefault="00000000" w:rsidRPr="00000000" w14:paraId="000000E2">
      <w:pPr>
        <w:numPr>
          <w:ilvl w:val="1"/>
          <w:numId w:val="12"/>
        </w:numPr>
        <w:spacing w:after="0" w:afterAutospacing="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01_SP_Insertar_Modificar_Borrado_logico</w:t>
      </w:r>
      <w:r w:rsidDel="00000000" w:rsidR="00000000" w:rsidRPr="00000000">
        <w:rPr>
          <w:rFonts w:ascii="Arial" w:cs="Arial" w:eastAsia="Arial" w:hAnsi="Arial"/>
          <w:rtl w:val="0"/>
        </w:rPr>
        <w:t xml:space="preserve"> (entrega 3)</w:t>
      </w:r>
    </w:p>
    <w:p w:rsidR="00000000" w:rsidDel="00000000" w:rsidP="00000000" w:rsidRDefault="00000000" w:rsidRPr="00000000" w14:paraId="000000E3">
      <w:pPr>
        <w:numPr>
          <w:ilvl w:val="1"/>
          <w:numId w:val="12"/>
        </w:numPr>
        <w:spacing w:after="0" w:afterAutospacing="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02_Importar_Archivos</w:t>
      </w:r>
      <w:r w:rsidDel="00000000" w:rsidR="00000000" w:rsidRPr="00000000">
        <w:rPr>
          <w:rFonts w:ascii="Arial" w:cs="Arial" w:eastAsia="Arial" w:hAnsi="Arial"/>
          <w:rtl w:val="0"/>
        </w:rPr>
        <w:t xml:space="preserve"> (entrega 4)</w:t>
      </w:r>
    </w:p>
    <w:p w:rsidR="00000000" w:rsidDel="00000000" w:rsidP="00000000" w:rsidRDefault="00000000" w:rsidRPr="00000000" w14:paraId="000000E4">
      <w:pPr>
        <w:numPr>
          <w:ilvl w:val="1"/>
          <w:numId w:val="12"/>
        </w:numPr>
        <w:spacing w:after="0" w:afterAutospacing="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03_Roles</w:t>
      </w:r>
      <w:r w:rsidDel="00000000" w:rsidR="00000000" w:rsidRPr="00000000">
        <w:rPr>
          <w:rFonts w:ascii="Arial" w:cs="Arial" w:eastAsia="Arial" w:hAnsi="Arial"/>
          <w:rtl w:val="0"/>
        </w:rPr>
        <w:t xml:space="preserve"> (entrega 5)</w:t>
      </w:r>
    </w:p>
    <w:p w:rsidR="00000000" w:rsidDel="00000000" w:rsidP="00000000" w:rsidRDefault="00000000" w:rsidRPr="00000000" w14:paraId="000000E5">
      <w:pPr>
        <w:numPr>
          <w:ilvl w:val="1"/>
          <w:numId w:val="12"/>
        </w:numPr>
        <w:spacing w:after="0" w:afterAutospacing="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04_Reportes</w:t>
      </w:r>
      <w:r w:rsidDel="00000000" w:rsidR="00000000" w:rsidRPr="00000000">
        <w:rPr>
          <w:rFonts w:ascii="Arial" w:cs="Arial" w:eastAsia="Arial" w:hAnsi="Arial"/>
          <w:rtl w:val="0"/>
        </w:rPr>
        <w:t xml:space="preserve"> (entrega 5)</w:t>
      </w:r>
    </w:p>
    <w:p w:rsidR="00000000" w:rsidDel="00000000" w:rsidP="00000000" w:rsidRDefault="00000000" w:rsidRPr="00000000" w14:paraId="000000E6">
      <w:pPr>
        <w:numPr>
          <w:ilvl w:val="1"/>
          <w:numId w:val="12"/>
        </w:numPr>
        <w:spacing w:after="240" w:before="0" w:beforeAutospacing="0" w:line="276"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05_Pruebas</w:t>
      </w:r>
      <w:r w:rsidDel="00000000" w:rsidR="00000000" w:rsidRPr="00000000">
        <w:rPr>
          <w:rtl w:val="0"/>
        </w:rPr>
      </w:r>
    </w:p>
    <w:p w:rsidR="00000000" w:rsidDel="00000000" w:rsidP="00000000" w:rsidRDefault="00000000" w:rsidRPr="00000000" w14:paraId="000000E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after="240" w:before="240" w:line="276" w:lineRule="auto"/>
        <w:rPr/>
        <w:sectPr>
          <w:headerReference r:id="rId9" w:type="default"/>
          <w:footerReference r:id="rId10" w:type="default"/>
          <w:pgSz w:h="15840" w:w="12240"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E9">
      <w:pPr>
        <w:pStyle w:val="Heading2"/>
        <w:spacing w:after="240" w:before="240" w:line="276" w:lineRule="auto"/>
        <w:rPr/>
      </w:pPr>
      <w:bookmarkStart w:colFirst="0" w:colLast="0" w:name="_heading=h.bhm0nic4nlc8" w:id="21"/>
      <w:bookmarkEnd w:id="21"/>
      <w:r w:rsidDel="00000000" w:rsidR="00000000" w:rsidRPr="00000000">
        <w:rPr>
          <w:rtl w:val="0"/>
        </w:rPr>
        <w:t xml:space="preserve">Consideraciones Generales</w:t>
      </w:r>
    </w:p>
    <w:p w:rsidR="00000000" w:rsidDel="00000000" w:rsidP="00000000" w:rsidRDefault="00000000" w:rsidRPr="00000000" w14:paraId="000000EA">
      <w:pPr>
        <w:pStyle w:val="Heading3"/>
        <w:rPr/>
      </w:pPr>
      <w:bookmarkStart w:colFirst="0" w:colLast="0" w:name="_heading=h.xmtfy08ue5ek" w:id="22"/>
      <w:bookmarkEnd w:id="22"/>
      <w:r w:rsidDel="00000000" w:rsidR="00000000" w:rsidRPr="00000000">
        <w:rPr>
          <w:rtl w:val="0"/>
        </w:rPr>
        <w:t xml:space="preserve">Tablas de productos</w:t>
      </w:r>
    </w:p>
    <w:p w:rsidR="00000000" w:rsidDel="00000000" w:rsidP="00000000" w:rsidRDefault="00000000" w:rsidRPr="00000000" w14:paraId="000000EB">
      <w:pPr>
        <w:jc w:val="both"/>
        <w:rPr/>
      </w:pPr>
      <w:r w:rsidDel="00000000" w:rsidR="00000000" w:rsidRPr="00000000">
        <w:rPr>
          <w:rtl w:val="0"/>
        </w:rPr>
        <w:t xml:space="preserve">Se decidió una tabla “</w:t>
      </w:r>
      <w:r w:rsidDel="00000000" w:rsidR="00000000" w:rsidRPr="00000000">
        <w:rPr>
          <w:b w:val="1"/>
          <w:rtl w:val="0"/>
        </w:rPr>
        <w:t xml:space="preserve">productos</w:t>
      </w:r>
      <w:r w:rsidDel="00000000" w:rsidR="00000000" w:rsidRPr="00000000">
        <w:rPr>
          <w:rtl w:val="0"/>
        </w:rPr>
        <w:t xml:space="preserve">” la cual posee 5 campos: </w:t>
      </w:r>
      <w:r w:rsidDel="00000000" w:rsidR="00000000" w:rsidRPr="00000000">
        <w:rPr>
          <w:rtl w:val="0"/>
        </w:rPr>
        <w:t xml:space="preserve">idProducto</w:t>
      </w:r>
      <w:r w:rsidDel="00000000" w:rsidR="00000000" w:rsidRPr="00000000">
        <w:rPr>
          <w:rtl w:val="0"/>
        </w:rPr>
        <w:t xml:space="preserve">, nombre, precio, </w:t>
      </w:r>
      <w:r w:rsidDel="00000000" w:rsidR="00000000" w:rsidRPr="00000000">
        <w:rPr>
          <w:rtl w:val="0"/>
        </w:rPr>
        <w:t xml:space="preserve">clasificacion</w:t>
      </w:r>
      <w:r w:rsidDel="00000000" w:rsidR="00000000" w:rsidRPr="00000000">
        <w:rPr>
          <w:rtl w:val="0"/>
        </w:rPr>
        <w:t xml:space="preserve"> y </w:t>
      </w:r>
      <w:r w:rsidDel="00000000" w:rsidR="00000000" w:rsidRPr="00000000">
        <w:rPr>
          <w:rtl w:val="0"/>
        </w:rPr>
        <w:t xml:space="preserve">fechaBaja</w:t>
      </w:r>
      <w:r w:rsidDel="00000000" w:rsidR="00000000" w:rsidRPr="00000000">
        <w:rPr>
          <w:rtl w:val="0"/>
        </w:rPr>
        <w:t xml:space="preserve">. En ella están cargados los productos de catálogo, productos importados y electronic accessories. </w:t>
      </w:r>
    </w:p>
    <w:p w:rsidR="00000000" w:rsidDel="00000000" w:rsidP="00000000" w:rsidRDefault="00000000" w:rsidRPr="00000000" w14:paraId="000000EC">
      <w:pPr>
        <w:jc w:val="both"/>
        <w:rPr/>
      </w:pPr>
      <w:r w:rsidDel="00000000" w:rsidR="00000000" w:rsidRPr="00000000">
        <w:rPr>
          <w:rtl w:val="0"/>
        </w:rPr>
        <w:t xml:space="preserve">Cabe aclarar que “</w:t>
      </w:r>
      <w:r w:rsidDel="00000000" w:rsidR="00000000" w:rsidRPr="00000000">
        <w:rPr>
          <w:rtl w:val="0"/>
        </w:rPr>
        <w:t xml:space="preserve">idProducto</w:t>
      </w:r>
      <w:r w:rsidDel="00000000" w:rsidR="00000000" w:rsidRPr="00000000">
        <w:rPr>
          <w:rtl w:val="0"/>
        </w:rPr>
        <w:t xml:space="preserve">” es un identity(1,1) y “</w:t>
      </w:r>
      <w:r w:rsidDel="00000000" w:rsidR="00000000" w:rsidRPr="00000000">
        <w:rPr>
          <w:rtl w:val="0"/>
        </w:rPr>
        <w:t xml:space="preserve">clasificacion</w:t>
      </w:r>
      <w:r w:rsidDel="00000000" w:rsidR="00000000" w:rsidRPr="00000000">
        <w:rPr>
          <w:rtl w:val="0"/>
        </w:rPr>
        <w:t xml:space="preserve">” se rige de la siguiente manera:</w:t>
      </w:r>
    </w:p>
    <w:p w:rsidR="00000000" w:rsidDel="00000000" w:rsidP="00000000" w:rsidRDefault="00000000" w:rsidRPr="00000000" w14:paraId="000000ED">
      <w:pPr>
        <w:numPr>
          <w:ilvl w:val="0"/>
          <w:numId w:val="1"/>
        </w:numPr>
        <w:spacing w:after="0" w:afterAutospacing="0"/>
        <w:ind w:left="720" w:hanging="360"/>
        <w:jc w:val="both"/>
        <w:rPr>
          <w:u w:val="none"/>
        </w:rPr>
      </w:pPr>
      <w:r w:rsidDel="00000000" w:rsidR="00000000" w:rsidRPr="00000000">
        <w:rPr>
          <w:rtl w:val="0"/>
        </w:rPr>
        <w:t xml:space="preserve">Si el producto proviene de “catálogo”, se respeta su clasificación original.</w:t>
      </w:r>
    </w:p>
    <w:p w:rsidR="00000000" w:rsidDel="00000000" w:rsidP="00000000" w:rsidRDefault="00000000" w:rsidRPr="00000000" w14:paraId="000000EE">
      <w:pPr>
        <w:numPr>
          <w:ilvl w:val="0"/>
          <w:numId w:val="1"/>
        </w:numPr>
        <w:ind w:left="720" w:hanging="360"/>
        <w:jc w:val="both"/>
        <w:rPr>
          <w:u w:val="none"/>
        </w:rPr>
      </w:pPr>
      <w:r w:rsidDel="00000000" w:rsidR="00000000" w:rsidRPr="00000000">
        <w:rPr>
          <w:rtl w:val="0"/>
        </w:rPr>
        <w:t xml:space="preserve">Si el mismo proviene de “productos importados” o “electronic accessories” su clasificación pasa a ser “Importado” o “Electrónica”, respectivamente.</w:t>
      </w:r>
    </w:p>
    <w:p w:rsidR="00000000" w:rsidDel="00000000" w:rsidP="00000000" w:rsidRDefault="00000000" w:rsidRPr="00000000" w14:paraId="000000EF">
      <w:pPr>
        <w:pStyle w:val="Heading3"/>
        <w:rPr/>
      </w:pPr>
      <w:bookmarkStart w:colFirst="0" w:colLast="0" w:name="_heading=h.qyvib1424zay" w:id="23"/>
      <w:bookmarkEnd w:id="23"/>
      <w:r w:rsidDel="00000000" w:rsidR="00000000" w:rsidRPr="00000000">
        <w:rPr>
          <w:rtl w:val="0"/>
        </w:rPr>
        <w:t xml:space="preserve">Sucursal</w:t>
      </w:r>
    </w:p>
    <w:p w:rsidR="00000000" w:rsidDel="00000000" w:rsidP="00000000" w:rsidRDefault="00000000" w:rsidRPr="00000000" w14:paraId="000000F0">
      <w:pPr>
        <w:rPr/>
      </w:pPr>
      <w:r w:rsidDel="00000000" w:rsidR="00000000" w:rsidRPr="00000000">
        <w:rPr>
          <w:rtl w:val="0"/>
        </w:rPr>
        <w:t xml:space="preserve">En la tabla “Sucursal”, la “ciudad” fue cargada directamente con el contenido de “reemplazarPor”. Así también coincide con la sucursal cargada en la tabla de “Empleados”. </w:t>
      </w:r>
    </w:p>
    <w:p w:rsidR="00000000" w:rsidDel="00000000" w:rsidP="00000000" w:rsidRDefault="00000000" w:rsidRPr="00000000" w14:paraId="000000F1">
      <w:pPr>
        <w:rPr/>
      </w:pPr>
      <w:r w:rsidDel="00000000" w:rsidR="00000000" w:rsidRPr="00000000">
        <w:rPr/>
        <w:drawing>
          <wp:inline distB="114300" distT="114300" distL="114300" distR="114300">
            <wp:extent cx="5943600" cy="1536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3"/>
        <w:rPr/>
      </w:pPr>
      <w:bookmarkStart w:colFirst="0" w:colLast="0" w:name="_heading=h.8kwt4x8lmxps" w:id="24"/>
      <w:bookmarkEnd w:id="24"/>
      <w:r w:rsidDel="00000000" w:rsidR="00000000" w:rsidRPr="00000000">
        <w:rPr>
          <w:rtl w:val="0"/>
        </w:rPr>
        <w:t xml:space="preserve">Permisos</w:t>
      </w:r>
    </w:p>
    <w:p w:rsidR="00000000" w:rsidDel="00000000" w:rsidP="00000000" w:rsidRDefault="00000000" w:rsidRPr="00000000" w14:paraId="000000F3">
      <w:pPr>
        <w:rPr/>
      </w:pPr>
      <w:r w:rsidDel="00000000" w:rsidR="00000000" w:rsidRPr="00000000">
        <w:rPr>
          <w:rtl w:val="0"/>
        </w:rPr>
        <w:t xml:space="preserve">Se crearon esquemas específicos para otorgarles permisos según quién los podría manejar en un futuro:</w:t>
      </w:r>
    </w:p>
    <w:p w:rsidR="00000000" w:rsidDel="00000000" w:rsidP="00000000" w:rsidRDefault="00000000" w:rsidRPr="00000000" w14:paraId="000000F4">
      <w:pPr>
        <w:rPr/>
      </w:pPr>
      <w:r w:rsidDel="00000000" w:rsidR="00000000" w:rsidRPr="00000000">
        <w:rPr>
          <w:rtl w:val="0"/>
        </w:rPr>
        <w:t xml:space="preserve">ddbba (creaciones), reporte, sucursal, producto, facturación (factura y detalle de venta), </w:t>
      </w:r>
      <w:r w:rsidDel="00000000" w:rsidR="00000000" w:rsidRPr="00000000">
        <w:rPr>
          <w:rtl w:val="0"/>
        </w:rPr>
        <w:t xml:space="preserve">dolar</w:t>
      </w:r>
      <w:r w:rsidDel="00000000" w:rsidR="00000000" w:rsidRPr="00000000">
        <w:rPr>
          <w:rtl w:val="0"/>
        </w:rPr>
        <w:t xml:space="preserve"> (para la tabla de cotizaciones), borrar (para borrado lógico de las tablas), importar, nota (para nota de crédito) y empleados.</w:t>
      </w:r>
    </w:p>
    <w:p w:rsidR="00000000" w:rsidDel="00000000" w:rsidP="00000000" w:rsidRDefault="00000000" w:rsidRPr="00000000" w14:paraId="000000F5">
      <w:pPr>
        <w:rPr/>
      </w:pPr>
      <w:r w:rsidDel="00000000" w:rsidR="00000000" w:rsidRPr="00000000">
        <w:rPr>
          <w:rtl w:val="0"/>
        </w:rPr>
        <w:t xml:space="preserve">Además, se crearon diferentes roles:</w:t>
      </w:r>
    </w:p>
    <w:p w:rsidR="00000000" w:rsidDel="00000000" w:rsidP="00000000" w:rsidRDefault="00000000" w:rsidRPr="00000000" w14:paraId="000000F6">
      <w:pPr>
        <w:numPr>
          <w:ilvl w:val="0"/>
          <w:numId w:val="9"/>
        </w:numPr>
        <w:spacing w:after="0" w:afterAutospacing="0"/>
        <w:ind w:left="720" w:hanging="360"/>
        <w:rPr>
          <w:u w:val="none"/>
        </w:rPr>
      </w:pPr>
      <w:r w:rsidDel="00000000" w:rsidR="00000000" w:rsidRPr="00000000">
        <w:rPr>
          <w:rtl w:val="0"/>
        </w:rPr>
        <w:t xml:space="preserve">Supervisor: tiene acceso a todos los esquemas</w:t>
      </w:r>
    </w:p>
    <w:p w:rsidR="00000000" w:rsidDel="00000000" w:rsidP="00000000" w:rsidRDefault="00000000" w:rsidRPr="00000000" w14:paraId="000000F7">
      <w:pPr>
        <w:numPr>
          <w:ilvl w:val="0"/>
          <w:numId w:val="9"/>
        </w:numPr>
        <w:spacing w:after="0" w:afterAutospacing="0"/>
        <w:ind w:left="720" w:hanging="360"/>
        <w:rPr>
          <w:u w:val="none"/>
        </w:rPr>
      </w:pPr>
      <w:r w:rsidDel="00000000" w:rsidR="00000000" w:rsidRPr="00000000">
        <w:rPr>
          <w:rtl w:val="0"/>
        </w:rPr>
        <w:t xml:space="preserve">Cajero: solo tiene acceso a facturación, para emitir las mismas.</w:t>
      </w:r>
    </w:p>
    <w:p w:rsidR="00000000" w:rsidDel="00000000" w:rsidP="00000000" w:rsidRDefault="00000000" w:rsidRPr="00000000" w14:paraId="000000F8">
      <w:pPr>
        <w:numPr>
          <w:ilvl w:val="0"/>
          <w:numId w:val="9"/>
        </w:numPr>
        <w:ind w:left="720" w:hanging="360"/>
        <w:rPr>
          <w:u w:val="none"/>
        </w:rPr>
      </w:pPr>
      <w:r w:rsidDel="00000000" w:rsidR="00000000" w:rsidRPr="00000000">
        <w:rPr>
          <w:rtl w:val="0"/>
        </w:rPr>
        <w:t xml:space="preserve">Repositor: solo tiene acceso a producto, para modificarlos o agregar. </w:t>
      </w:r>
    </w:p>
    <w:p w:rsidR="00000000" w:rsidDel="00000000" w:rsidP="00000000" w:rsidRDefault="00000000" w:rsidRPr="00000000" w14:paraId="000000F9">
      <w:pPr>
        <w:ind w:left="0" w:firstLine="0"/>
        <w:rPr/>
      </w:pPr>
      <w:r w:rsidDel="00000000" w:rsidR="00000000" w:rsidRPr="00000000">
        <w:rPr>
          <w:rtl w:val="0"/>
        </w:rPr>
        <w:t xml:space="preserve">Se crearon, también, diferentes logins y usuarios a los cuales se les </w:t>
      </w:r>
      <w:r w:rsidDel="00000000" w:rsidR="00000000" w:rsidRPr="00000000">
        <w:rPr>
          <w:rtl w:val="0"/>
        </w:rPr>
        <w:t xml:space="preserve">asignó</w:t>
      </w:r>
      <w:r w:rsidDel="00000000" w:rsidR="00000000" w:rsidRPr="00000000">
        <w:rPr>
          <w:rtl w:val="0"/>
        </w:rPr>
        <w:t xml:space="preserve"> roles específicos.</w:t>
      </w:r>
    </w:p>
    <w:p w:rsidR="00000000" w:rsidDel="00000000" w:rsidP="00000000" w:rsidRDefault="00000000" w:rsidRPr="00000000" w14:paraId="000000FA">
      <w:pPr>
        <w:spacing w:after="0" w:line="276" w:lineRule="auto"/>
        <w:rPr>
          <w:rFonts w:ascii="Arial" w:cs="Arial" w:eastAsia="Arial" w:hAnsi="Arial"/>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01</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Estimación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costos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Aurora SA</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33E1"/>
    <w:pPr>
      <w:spacing w:after="200" w:line="276" w:lineRule="auto"/>
    </w:pPr>
    <w:rPr/>
  </w:style>
  <w:style w:type="paragraph" w:styleId="Ttulo1">
    <w:name w:val="heading 1"/>
    <w:basedOn w:val="Normal"/>
    <w:next w:val="Normal"/>
    <w:link w:val="Ttulo1Car"/>
    <w:uiPriority w:val="9"/>
    <w:qFormat w:val="1"/>
    <w:rsid w:val="00F432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1448E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D3255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65BD6"/>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65BD6"/>
    <w:rPr/>
  </w:style>
  <w:style w:type="paragraph" w:styleId="Piedepgina">
    <w:name w:val="footer"/>
    <w:basedOn w:val="Normal"/>
    <w:link w:val="PiedepginaCar"/>
    <w:uiPriority w:val="99"/>
    <w:unhideWhenUsed w:val="1"/>
    <w:rsid w:val="00165BD6"/>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65BD6"/>
    <w:rPr/>
  </w:style>
  <w:style w:type="table" w:styleId="Tablaconcuadrcula">
    <w:name w:val="Table Grid"/>
    <w:basedOn w:val="Tablanormal"/>
    <w:uiPriority w:val="39"/>
    <w:rsid w:val="00165B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B11D7"/>
    <w:pPr>
      <w:spacing w:after="0"/>
      <w:ind w:left="720"/>
      <w:contextualSpacing w:val="1"/>
    </w:pPr>
    <w:rPr>
      <w:rFonts w:ascii="Arial" w:cs="Arial" w:eastAsia="Arial" w:hAnsi="Arial"/>
      <w:lang w:eastAsia="es-AR" w:val="es-419"/>
    </w:rPr>
  </w:style>
  <w:style w:type="character" w:styleId="Ttulo2Car" w:customStyle="1">
    <w:name w:val="Título 2 Car"/>
    <w:basedOn w:val="Fuentedeprrafopredeter"/>
    <w:link w:val="Ttulo2"/>
    <w:uiPriority w:val="9"/>
    <w:rsid w:val="001448EC"/>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D32553"/>
    <w:rPr>
      <w:rFonts w:asciiTheme="majorHAnsi" w:cstheme="majorBidi" w:eastAsiaTheme="majorEastAsia" w:hAnsiTheme="majorHAnsi"/>
      <w:color w:val="1f3763" w:themeColor="accent1" w:themeShade="00007F"/>
      <w:sz w:val="24"/>
      <w:szCs w:val="24"/>
    </w:rPr>
  </w:style>
  <w:style w:type="character" w:styleId="Ttulo1Car" w:customStyle="1">
    <w:name w:val="Título 1 Car"/>
    <w:basedOn w:val="Fuentedeprrafopredeter"/>
    <w:link w:val="Ttulo1"/>
    <w:uiPriority w:val="9"/>
    <w:rsid w:val="00F432F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F432F1"/>
    <w:pPr>
      <w:spacing w:line="259" w:lineRule="auto"/>
      <w:outlineLvl w:val="9"/>
    </w:pPr>
    <w:rPr>
      <w:lang w:eastAsia="es-AR"/>
    </w:rPr>
  </w:style>
  <w:style w:type="paragraph" w:styleId="TDC2">
    <w:name w:val="toc 2"/>
    <w:basedOn w:val="Normal"/>
    <w:next w:val="Normal"/>
    <w:autoRedefine w:val="1"/>
    <w:uiPriority w:val="39"/>
    <w:unhideWhenUsed w:val="1"/>
    <w:rsid w:val="00F432F1"/>
    <w:pPr>
      <w:spacing w:after="100"/>
      <w:ind w:left="220"/>
    </w:pPr>
  </w:style>
  <w:style w:type="paragraph" w:styleId="TDC3">
    <w:name w:val="toc 3"/>
    <w:basedOn w:val="Normal"/>
    <w:next w:val="Normal"/>
    <w:autoRedefine w:val="1"/>
    <w:uiPriority w:val="39"/>
    <w:unhideWhenUsed w:val="1"/>
    <w:rsid w:val="00F432F1"/>
    <w:pPr>
      <w:spacing w:after="100"/>
      <w:ind w:left="440"/>
    </w:pPr>
  </w:style>
  <w:style w:type="character" w:styleId="Hipervnculo">
    <w:name w:val="Hyperlink"/>
    <w:basedOn w:val="Fuentedeprrafopredeter"/>
    <w:uiPriority w:val="99"/>
    <w:unhideWhenUsed w:val="1"/>
    <w:rsid w:val="00F432F1"/>
    <w:rPr>
      <w:color w:val="0563c1" w:themeColor="hyperlink"/>
      <w:u w:val="single"/>
    </w:rPr>
  </w:style>
  <w:style w:type="paragraph" w:styleId="TDC1">
    <w:name w:val="toc 1"/>
    <w:basedOn w:val="Normal"/>
    <w:next w:val="Normal"/>
    <w:autoRedefine w:val="1"/>
    <w:uiPriority w:val="39"/>
    <w:unhideWhenUsed w:val="1"/>
    <w:rsid w:val="00F2533A"/>
    <w:pPr>
      <w:spacing w:after="100"/>
    </w:pPr>
  </w:style>
  <w:style w:type="paragraph" w:styleId="NormalWeb">
    <w:name w:val="Normal (Web)"/>
    <w:basedOn w:val="Normal"/>
    <w:uiPriority w:val="99"/>
    <w:unhideWhenUsed w:val="1"/>
    <w:rsid w:val="00C36566"/>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Textoennegrita">
    <w:name w:val="Strong"/>
    <w:basedOn w:val="Fuentedeprrafopredeter"/>
    <w:uiPriority w:val="22"/>
    <w:qFormat w:val="1"/>
    <w:rsid w:val="005D0B2A"/>
    <w:rPr>
      <w:b w:val="1"/>
      <w:bCs w:val="1"/>
    </w:rPr>
  </w:style>
  <w:style w:type="paragraph" w:styleId="Bibliografa">
    <w:name w:val="Bibliography"/>
    <w:basedOn w:val="Normal"/>
    <w:next w:val="Normal"/>
    <w:uiPriority w:val="37"/>
    <w:unhideWhenUsed w:val="1"/>
    <w:rsid w:val="002B45A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racle.com/es/cloud/costestimator.html" TargetMode="External"/><Relationship Id="rId8" Type="http://schemas.openxmlformats.org/officeDocument/2006/relationships/hyperlink" Target="https://www.oracle.com/es/cloud/costestimat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ACR0EzA+8uhggLy/9fgLTK0Sw==">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2024-07-25T17:34:00Z</dcterms:created>
  <dc:creator>Valeria De Rosa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MediaServiceImageTags</vt:lpwstr>
  </property>
</Properties>
</file>