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[42]</w:t>
      </w:r>
    </w:p>
    <w:p w:rsidR="00000000" w:rsidDel="00000000" w:rsidP="00000000" w:rsidRDefault="00000000" w:rsidRPr="00000000" w14:paraId="00000002">
      <w:pPr>
        <w:rPr/>
      </w:pPr>
      <w:r w:rsidDel="00000000" w:rsidR="00000000" w:rsidRPr="00000000">
        <w:rPr>
          <w:rtl w:val="0"/>
        </w:rPr>
        <w:t xml:space="preserve">De Renzis, A., Garriga, M., Flores, A., Cechich, A., Mateos, C., &amp; Zunino, A. (2017). A domain independent readability metric for web service descriptions. Computer Standards &amp; Interfaces, 50, 124–141. </w:t>
      </w:r>
      <w:hyperlink r:id="rId6">
        <w:r w:rsidDel="00000000" w:rsidR="00000000" w:rsidRPr="00000000">
          <w:rPr>
            <w:color w:val="1155cc"/>
            <w:u w:val="single"/>
            <w:rtl w:val="0"/>
          </w:rPr>
          <w:t xml:space="preserve">https://doi.org/10.1016/j.csi.2016.09.005</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KEYWORDS AUTOR: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Readability,Web Service Descriptions,WordNet, Domain Independent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Una métrica de legibilidad independiente del dominio para descripciones de servicios web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DATASET</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HERRAMIENTAS:</w:t>
      </w:r>
    </w:p>
    <w:p w:rsidR="00000000" w:rsidDel="00000000" w:rsidP="00000000" w:rsidRDefault="00000000" w:rsidRPr="00000000" w14:paraId="0000000D">
      <w:pPr>
        <w:rPr/>
      </w:pPr>
      <w:hyperlink r:id="rId7">
        <w:r w:rsidDel="00000000" w:rsidR="00000000" w:rsidRPr="00000000">
          <w:rPr>
            <w:color w:val="1155cc"/>
            <w:u w:val="single"/>
            <w:rtl w:val="0"/>
          </w:rPr>
          <w:t xml:space="preserve">https://github.com/ipeirotis/ReadabilityMetrics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LENGUAJE DE PROGRAMACIÓN:</w:t>
      </w:r>
    </w:p>
    <w:p w:rsidR="00000000" w:rsidDel="00000000" w:rsidP="00000000" w:rsidRDefault="00000000" w:rsidRPr="00000000" w14:paraId="00000010">
      <w:pPr>
        <w:rPr/>
      </w:pPr>
      <w:r w:rsidDel="00000000" w:rsidR="00000000" w:rsidRPr="00000000">
        <w:rPr>
          <w:rtl w:val="0"/>
        </w:rPr>
        <w:t xml:space="preserve">WSDL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TAGS</w:t>
      </w:r>
    </w:p>
    <w:p w:rsidR="00000000" w:rsidDel="00000000" w:rsidP="00000000" w:rsidRDefault="00000000" w:rsidRPr="00000000" w14:paraId="00000013">
      <w:pPr>
        <w:rPr/>
      </w:pPr>
      <w:r w:rsidDel="00000000" w:rsidR="00000000" w:rsidRPr="00000000">
        <w:rPr>
          <w:rtl w:val="0"/>
        </w:rPr>
        <w:t xml:space="preserve">LEGIBILIDAD; WSDL; WEB SERVICES; BUENAS PRACTICAS; METRICAS; CARACTERISTICAS;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PARA ANEXAR A DOCUMENTO:</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 INICIO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Buenas prácticas para escribir WSDL: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Convenciones de nomenclatura adecuadas.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Identificadores descriptivos para las operaciones, mensajes y los parámetros, que representan la funcionalidad de una operación.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Conceptos específicos para reducir la ambigüedad.</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Nombres de parámetros no crípticos, que describen el uso.</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Nombres de mensajes relacionados a sus operaciones.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Acrónimos y abreviaturas familiares, que se auto describen.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MÉTRICA DE LEGIBILIDAD</w:t>
      </w:r>
    </w:p>
    <w:p w:rsidR="00000000" w:rsidDel="00000000" w:rsidP="00000000" w:rsidRDefault="00000000" w:rsidRPr="00000000" w14:paraId="00000023">
      <w:pPr>
        <w:jc w:val="both"/>
        <w:rPr/>
      </w:pPr>
      <w:r w:rsidDel="00000000" w:rsidR="00000000" w:rsidRPr="00000000">
        <w:rPr>
          <w:rtl w:val="0"/>
        </w:rPr>
        <w:t xml:space="preserve">La métrica de legibilidad centrada en el servicio web (WSCR) para un documento WSDL d determina el puntaje de legibilidad al considerar las características: el alcance del documento, la cohesión del documento y el índice simplificado de Dale-Chall.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3352800" cy="381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528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En el modelo utiliza los términos existentes del diccionario de WordNet como entrada para calcular el valor de legibilidad.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Métricas de legibilidad utilizadas (para análisis de texto):</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Índice de legibilidad automático.</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Índice Coleman-Liau.</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Grado del nivel Flesch-Kincaid.</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Índice de Gunning-Fog.</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Puntaje SMOG.</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Índice SMOG.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RETO</w:t>
      </w:r>
    </w:p>
    <w:p w:rsidR="00000000" w:rsidDel="00000000" w:rsidP="00000000" w:rsidRDefault="00000000" w:rsidRPr="00000000" w14:paraId="00000031">
      <w:pPr>
        <w:rPr/>
      </w:pPr>
      <w:r w:rsidDel="00000000" w:rsidR="00000000" w:rsidRPr="00000000">
        <w:rPr>
          <w:rtl w:val="0"/>
        </w:rPr>
        <w:t xml:space="preserve">Reemplazar WordNet por otras alternativas como  DISCO y NER.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 FIN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RESUMEN COMPLETO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WEB SERVICE: es un programa con una interfaz bien definida que puede ser publicada, localizada e invocada usando un protocolo de estándar web.</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 métrica de legibilidad centrada en el servicio web (WSCR) para un documento WSDL d determina el puntaje de legibilidad al considerar las características: el alcance del documento, la cohesión del documento y el índice simplificado de Dale-Chall.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3352800" cy="381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528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En el modelo centrado en el servicio web, para un documento WSDL dado, los términos que pertenecen al diccionario WordNet se consideran términos existentes y se utilizan como entrada para calcular el valor de legibilidad.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MEJORES PRÁCTICAS DE LEGIBILIDAD PARA WSDL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EXPERIMENTO</w:t>
      </w:r>
    </w:p>
    <w:p w:rsidR="00000000" w:rsidDel="00000000" w:rsidP="00000000" w:rsidRDefault="00000000" w:rsidRPr="00000000" w14:paraId="00000048">
      <w:pPr>
        <w:rPr/>
      </w:pPr>
      <w:r w:rsidDel="00000000" w:rsidR="00000000" w:rsidRPr="00000000">
        <w:rPr>
          <w:rtl w:val="0"/>
        </w:rPr>
        <w:t xml:space="preserve">fragmentos = 56 documentos WSDL de la plataforma Mashape.com</w:t>
      </w:r>
    </w:p>
    <w:p w:rsidR="00000000" w:rsidDel="00000000" w:rsidP="00000000" w:rsidRDefault="00000000" w:rsidRPr="00000000" w14:paraId="0000004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rPr/>
            </w:pPr>
            <w:r w:rsidDel="00000000" w:rsidR="00000000" w:rsidRPr="00000000">
              <w:rPr>
                <w:rtl w:val="0"/>
              </w:rPr>
              <w:t xml:space="preserve">Práctica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Porcentaje de cumplimiento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rPr/>
            </w:pPr>
            <w:r w:rsidDel="00000000" w:rsidR="00000000" w:rsidRPr="00000000">
              <w:rPr>
                <w:rtl w:val="0"/>
              </w:rPr>
              <w:t xml:space="preserve">Convenciones de nomenclatura adecuadas.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rPr/>
            </w:pPr>
            <w:r w:rsidDel="00000000" w:rsidR="00000000" w:rsidRPr="00000000">
              <w:rPr>
                <w:rtl w:val="0"/>
              </w:rPr>
              <w:t xml:space="preserve">Identificadores descriptivos para las operaciones, mensajes y los parámetros, que representan la funcionalidad de una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rPr/>
            </w:pPr>
            <w:r w:rsidDel="00000000" w:rsidR="00000000" w:rsidRPr="00000000">
              <w:rPr>
                <w:rtl w:val="0"/>
              </w:rPr>
              <w:t xml:space="preserve">Conceptos específicos para reducir la ambigüedad.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0" w:firstLine="0"/>
              <w:rPr/>
            </w:pPr>
            <w:r w:rsidDel="00000000" w:rsidR="00000000" w:rsidRPr="00000000">
              <w:rPr>
                <w:rtl w:val="0"/>
              </w:rPr>
              <w:t xml:space="preserve">Nombres de parámetros no crípticos, que describen el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rPr/>
            </w:pPr>
            <w:r w:rsidDel="00000000" w:rsidR="00000000" w:rsidRPr="00000000">
              <w:rPr>
                <w:rtl w:val="0"/>
              </w:rPr>
              <w:t xml:space="preserve">Nombres de mensajes relacionados a sus operaciones.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pPr>
            <w:r w:rsidDel="00000000" w:rsidR="00000000" w:rsidRPr="00000000">
              <w:rPr>
                <w:rtl w:val="0"/>
              </w:rPr>
              <w:t xml:space="preserve">Acrónimos y abreviaturas familiares, que se auto describen.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Métricas de legibilidad utilizadas (para análisis de texto):</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Índice de legibilidad automático.</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Índice Coleman-Liau.</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Grado del nivel Flesch-Kincaid.</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Índice de Gunning-Fog.</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Puntaje SMOG.</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Índice SMOG.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El uso de conceptos específicos de dominio permitió a los autores definir una fórmula de legibilidad desarrollada para materiales textuales. Propusieron el uso de WordNet como la jerarquía conceptual subyacente, en reemplazo de una ontología específica de dominio para cada dominio posible.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RETO</w:t>
      </w:r>
    </w:p>
    <w:p w:rsidR="00000000" w:rsidDel="00000000" w:rsidP="00000000" w:rsidRDefault="00000000" w:rsidRPr="00000000" w14:paraId="00000064">
      <w:pPr>
        <w:rPr/>
      </w:pPr>
      <w:r w:rsidDel="00000000" w:rsidR="00000000" w:rsidRPr="00000000">
        <w:rPr>
          <w:rtl w:val="0"/>
        </w:rPr>
        <w:t xml:space="preserve">Reemplazar WordNet por otras alternativas como  DISCO y NER.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csi.2016.09.005" TargetMode="External"/><Relationship Id="rId7" Type="http://schemas.openxmlformats.org/officeDocument/2006/relationships/hyperlink" Target="https://github.com/ipeirotis/ReadabilityMetric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