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[43]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dos Santos, R. M., &amp; Gerosa, M. A. (2018). Impacts of coding practices on readability. In Proceedings of the 26th Conference on Program Comprehension - ICPC ’18 (pp. 277–285). New York, New York, USA: ACM Press.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https://doi.org/10.1145/3196321.3196342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KEYWORDS AUTOR: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Readability, Code Comprehension, Programming Style, Coding Best Practices, Software Developers’ Opinions Survey;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Impactos de las prácticas de codificación en la legibilidad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DE PROGRAMACIÓN: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LEGIBILIDAD; </w:t>
      </w:r>
      <w:r w:rsidDel="00000000" w:rsidR="00000000" w:rsidRPr="00000000">
        <w:rPr>
          <w:rtl w:val="0"/>
        </w:rPr>
        <w:t xml:space="preserve">BUENAS PRÁCTICAS; JAVA; CARACTERISTICAS;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ANEXAR A DOCUMENTO: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INICIO 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Encuesta virtual: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participantes: 55 estudiantes y 7 programadores profesionales de compañías brasileñas.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Herramienta: Google Forms y Survey Monkey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Fragmentos: archivos con extensión .java y que contengan cláusulas import.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CARACTERISTICAS (literatura)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Buse y Weimer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de líneas en blanco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de palabras clave por línea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de indentación por línea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máximo de identificadores en una simple línea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de caracteres punto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 máxima de una línea sencilla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de “(“ y “{“ por línea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 promedio de línea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promedio de identificadores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Scalabrino et 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identificadores usando palabras del diccionario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BUENAS PRÁCTICAS PARA LEGIBILIDAD EN 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Nota: ** son relevantes para la legibilidad, según los resultados. XXX no hay suficiente evidencia, y no se puede afirmar que esas prácticas afectaron la legibilidad.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Debe haber una línea en blanco después del bloque de código que abre y cierra llaves; excepción: llaves cerradas que terminan bloques de código de declaraciones que contienen rutas secundarias de ejecución, por ejemplo: llaves cerradas de declaraciones if seguidas de otra cosa; cerrar llaves de declaraciones try seguidas de una captura;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Las llaves que abren un bloque de código deben residir en la misma línea de sus declaraciones, en caso de que haya una; las llaves de cierre deben residir en sus propias líneas; **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Las líneas en blanco deben usarse para crear una separación vertical entre las instrucciones relacionadas; XXX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Las longitudes de línea deben mantenerse dentro del límite de 80 caracteres;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 marcadores de sangría deben estar formados por 4 caracteres de espacio; XXX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debe haber más de tres niveles de anidación de bloque de código;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Evite escribir varias declaraciones separadas por un "‘; ’" en una sola línea. Cada declaración debe estar en una línea propia;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Evite, siempre que sea posible, el uso de nombres completos para hacer referencia a los nombres de clase en el código; use cláusulas de importación en su lugar.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Las llamadas frecuentes a las subpropiedades de las propiedades de los miembros de la clase deben hacerse almacenando una referencia a esa subpropiedad, evitando múltiples declaraciones que contengan largas cadenas de objetos y subpropiedades;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 cálculos intermedios en expresiones lógicas largas deben almacenarse en variables separadas y posteriormente compuestas en una sola expresión; evite escribir largas cadenas de expresiones lógicas; XXX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 nombres de los identificadores deben usar palabras del diccionario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FIN ***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145/3196321.3196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