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w:t>
      </w:r>
      <w:proofErr w:type="spellStart"/>
      <w:r w:rsidRPr="00D62F3C">
        <w:rPr>
          <w:rFonts w:ascii="Times New Roman" w:eastAsia="Times New Roman" w:hAnsi="Times New Roman" w:cs="Times New Roman"/>
          <w:color w:val="000000"/>
          <w:kern w:val="0"/>
          <w:lang w:eastAsia="es-MX"/>
          <w14:ligatures w14:val="none"/>
        </w:rPr>
        <w:t>Shiny</w:t>
      </w:r>
      <w:proofErr w:type="spellEnd"/>
      <w:r w:rsidRPr="00D62F3C">
        <w:rPr>
          <w:rFonts w:ascii="Times New Roman" w:eastAsia="Times New Roman" w:hAnsi="Times New Roman" w:cs="Times New Roman"/>
          <w:color w:val="000000"/>
          <w:kern w:val="0"/>
          <w:lang w:eastAsia="es-MX"/>
          <w14:ligatures w14:val="none"/>
        </w:rPr>
        <w:t xml:space="preserve">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71C3305E" w:rsid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7AD24CEB" w14:textId="77777777" w:rsidR="00C74C65" w:rsidRPr="00C74C65" w:rsidRDefault="00C74C65" w:rsidP="00C74C65">
      <w:pPr>
        <w:pStyle w:val="Ttulo1"/>
        <w:spacing w:before="480" w:after="120"/>
        <w:jc w:val="both"/>
        <w:rPr>
          <w:rFonts w:ascii="Times New Roman" w:hAnsi="Times New Roman" w:cs="Times New Roman"/>
          <w:b/>
          <w:bCs/>
        </w:rPr>
      </w:pPr>
      <w:r w:rsidRPr="00C74C65">
        <w:rPr>
          <w:rFonts w:ascii="Times New Roman" w:hAnsi="Times New Roman" w:cs="Times New Roman"/>
          <w:b/>
          <w:bCs/>
          <w:color w:val="000000"/>
          <w:sz w:val="24"/>
          <w:szCs w:val="24"/>
        </w:rPr>
        <w:t>6. Calidad y Robustez del Modelo</w:t>
      </w:r>
    </w:p>
    <w:p w14:paraId="70DDD5BE" w14:textId="77777777" w:rsidR="00C74C65" w:rsidRDefault="00C74C65" w:rsidP="00C74C65">
      <w:pPr>
        <w:pStyle w:val="NormalWeb"/>
        <w:spacing w:before="240" w:beforeAutospacing="0" w:after="240" w:afterAutospacing="0"/>
        <w:jc w:val="both"/>
      </w:pPr>
      <w:r>
        <w:rPr>
          <w:color w:val="000000"/>
        </w:rPr>
        <w:t>El modelo fue sometido a diferentes pruebas estadísticas para validar su consistencia y robustez econométrica.</w:t>
      </w:r>
    </w:p>
    <w:p w14:paraId="095DDC54" w14:textId="77F49811" w:rsidR="00C74C65" w:rsidRDefault="00C74C65" w:rsidP="00C74C65">
      <w:pPr>
        <w:pStyle w:val="NormalWeb"/>
        <w:spacing w:before="240" w:beforeAutospacing="0" w:after="240" w:afterAutospacing="0"/>
        <w:jc w:val="both"/>
      </w:pPr>
      <w:r>
        <w:rPr>
          <w:noProof/>
        </w:rPr>
        <w:lastRenderedPageBreak/>
        <w:drawing>
          <wp:inline distT="0" distB="0" distL="0" distR="0" wp14:anchorId="056124ED" wp14:editId="24B968C2">
            <wp:extent cx="5612130" cy="420751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4207510"/>
                    </a:xfrm>
                    <a:prstGeom prst="rect">
                      <a:avLst/>
                    </a:prstGeom>
                    <a:noFill/>
                    <a:ln>
                      <a:noFill/>
                    </a:ln>
                  </pic:spPr>
                </pic:pic>
              </a:graphicData>
            </a:graphic>
          </wp:inline>
        </w:drawing>
      </w:r>
    </w:p>
    <w:p w14:paraId="70DA3131" w14:textId="77777777" w:rsidR="00C74C65" w:rsidRDefault="00C74C65" w:rsidP="00C74C65">
      <w:pPr>
        <w:pStyle w:val="NormalWeb"/>
        <w:spacing w:before="240" w:beforeAutospacing="0" w:after="240" w:afterAutospacing="0"/>
        <w:jc w:val="both"/>
      </w:pPr>
      <w:r>
        <w:rPr>
          <w:i/>
          <w:iCs/>
          <w:color w:val="000000"/>
        </w:rPr>
        <w:t>Gráfica 2. Matriz de correlación entre variables numéricas</w:t>
      </w:r>
    </w:p>
    <w:p w14:paraId="7D9E2B38" w14:textId="77777777" w:rsidR="00C74C65" w:rsidRDefault="00C74C65" w:rsidP="00C74C65">
      <w:pPr>
        <w:pStyle w:val="NormalWeb"/>
        <w:spacing w:before="240" w:beforeAutospacing="0" w:after="240" w:afterAutospacing="0"/>
        <w:jc w:val="both"/>
      </w:pPr>
      <w:r>
        <w:rPr>
          <w:color w:val="000000"/>
        </w:rPr>
        <w:t xml:space="preserve">El análisis de correlaciones a nivel SKU-día reveló una correlación de </w:t>
      </w:r>
      <w:r>
        <w:rPr>
          <w:b/>
          <w:bCs/>
          <w:color w:val="000000"/>
        </w:rPr>
        <w:t>r = -0.667</w:t>
      </w:r>
      <w:r>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Pr>
          <w:b/>
          <w:bCs/>
          <w:color w:val="000000"/>
        </w:rPr>
        <w:t>r = +0.578</w:t>
      </w:r>
      <w:r>
        <w:rPr>
          <w:color w:val="000000"/>
        </w:rPr>
        <w:t xml:space="preserve">, lo </w:t>
      </w:r>
      <w:proofErr w:type="gramStart"/>
      <w:r>
        <w:rPr>
          <w:color w:val="000000"/>
        </w:rPr>
        <w:t>que</w:t>
      </w:r>
      <w:proofErr w:type="gramEnd"/>
      <w:r>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37ECFE74" w14:textId="77777777" w:rsidR="00C74C65" w:rsidRDefault="00C74C65" w:rsidP="00C74C65">
      <w:pPr>
        <w:pStyle w:val="NormalWeb"/>
        <w:spacing w:before="240" w:beforeAutospacing="0" w:after="240" w:afterAutospacing="0"/>
        <w:jc w:val="both"/>
      </w:pPr>
      <w:r>
        <w:rPr>
          <w:color w:val="000000"/>
        </w:rPr>
        <w:t>Por otro lado, el costo no presenta correlación significativa con las ventas (</w:t>
      </w:r>
      <w:r>
        <w:rPr>
          <w:b/>
          <w:bCs/>
          <w:color w:val="000000"/>
        </w:rPr>
        <w:t>r ≈ 0</w:t>
      </w:r>
      <w:r>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9EA6C67" w14:textId="77777777" w:rsidR="00C74C65" w:rsidRDefault="00C74C65" w:rsidP="00C74C65">
      <w:pPr>
        <w:spacing w:after="240"/>
      </w:pPr>
      <w:r>
        <w:br/>
      </w:r>
      <w:r>
        <w:br/>
      </w:r>
    </w:p>
    <w:p w14:paraId="514D711A" w14:textId="77777777" w:rsidR="00C74C65" w:rsidRPr="00C74C65" w:rsidRDefault="00C74C65" w:rsidP="00C74C65">
      <w:pPr>
        <w:pStyle w:val="Ttulo2"/>
        <w:spacing w:before="360"/>
        <w:jc w:val="both"/>
        <w:rPr>
          <w:rFonts w:ascii="Times New Roman" w:hAnsi="Times New Roman" w:cs="Times New Roman"/>
          <w:b/>
          <w:bCs/>
        </w:rPr>
      </w:pPr>
      <w:r w:rsidRPr="00C74C65">
        <w:rPr>
          <w:rFonts w:ascii="Times New Roman" w:hAnsi="Times New Roman" w:cs="Times New Roman"/>
          <w:b/>
          <w:bCs/>
          <w:color w:val="000000"/>
          <w:sz w:val="24"/>
          <w:szCs w:val="24"/>
        </w:rPr>
        <w:lastRenderedPageBreak/>
        <w:t>6.1 Pruebas de Robustez </w:t>
      </w:r>
    </w:p>
    <w:p w14:paraId="22F8C970" w14:textId="77777777" w:rsidR="00C74C65" w:rsidRDefault="00C74C65" w:rsidP="00C74C65">
      <w:pPr>
        <w:pStyle w:val="NormalWeb"/>
        <w:spacing w:before="240" w:beforeAutospacing="0" w:after="240" w:afterAutospacing="0"/>
        <w:jc w:val="both"/>
      </w:pPr>
      <w:r>
        <w:rPr>
          <w:color w:val="000000"/>
        </w:rPr>
        <w:t>Se realizaron diferentes pruebas econométricas para validar la consistencia estadística del modelo estimado.</w:t>
      </w:r>
    </w:p>
    <w:p w14:paraId="3D54A31B" w14:textId="77777777" w:rsidR="00C74C65" w:rsidRDefault="00C74C65" w:rsidP="00C74C65">
      <w:pPr>
        <w:pStyle w:val="NormalWeb"/>
        <w:spacing w:before="240" w:beforeAutospacing="0" w:after="240" w:afterAutospacing="0"/>
        <w:jc w:val="both"/>
      </w:pPr>
      <w:r>
        <w:rPr>
          <w:color w:val="000000"/>
        </w:rPr>
        <w:t xml:space="preserve">El test de </w:t>
      </w:r>
      <w:proofErr w:type="spellStart"/>
      <w:r>
        <w:rPr>
          <w:color w:val="000000"/>
        </w:rPr>
        <w:t>Breusch</w:t>
      </w:r>
      <w:proofErr w:type="spellEnd"/>
      <w:r>
        <w:rPr>
          <w:color w:val="000000"/>
        </w:rPr>
        <w:t>-Pagan arrojó un estadístico de 1465.43 con p &lt; 0.001, evidenciando la presencia de heterocedasticidad. Debido a ello, se utilizaron errores estándar robustos HC3 para corregir posibles sesgos en la inferencia estadística.</w:t>
      </w:r>
    </w:p>
    <w:p w14:paraId="73021F58" w14:textId="77777777" w:rsidR="00C74C65" w:rsidRDefault="00C74C65" w:rsidP="00C74C65">
      <w:pPr>
        <w:pStyle w:val="NormalWeb"/>
        <w:spacing w:before="240" w:beforeAutospacing="0" w:after="240" w:afterAutospacing="0"/>
        <w:jc w:val="both"/>
      </w:pPr>
      <w:r>
        <w:rPr>
          <w:color w:val="000000"/>
        </w:rPr>
        <w:t>El test de Durbin-Watson produjo un valor de 1.5405. Aunque el valor ideal es cercano a 2, el resultado indica únicamente una leve autocorrelación positiva, sin comprometer de manera severa la validez del modelo.</w:t>
      </w:r>
    </w:p>
    <w:p w14:paraId="33795952" w14:textId="77777777" w:rsidR="00C74C65" w:rsidRDefault="00C74C65" w:rsidP="00C74C65">
      <w:pPr>
        <w:pStyle w:val="NormalWeb"/>
        <w:spacing w:before="240" w:beforeAutospacing="0" w:after="240" w:afterAutospacing="0"/>
        <w:jc w:val="both"/>
      </w:pPr>
      <w:r>
        <w:rPr>
          <w:color w:val="000000"/>
        </w:rPr>
        <w:t>Asimismo, el test de Jarque-</w:t>
      </w:r>
      <w:proofErr w:type="spellStart"/>
      <w:r>
        <w:rPr>
          <w:color w:val="000000"/>
        </w:rPr>
        <w:t>Bera</w:t>
      </w:r>
      <w:proofErr w:type="spellEnd"/>
      <w:r>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51647D6C" w14:textId="77777777" w:rsidR="00C74C65" w:rsidRDefault="00C74C65" w:rsidP="00C74C65">
      <w:pPr>
        <w:pStyle w:val="NormalWeb"/>
        <w:spacing w:before="240" w:beforeAutospacing="0" w:after="240" w:afterAutospacing="0"/>
        <w:jc w:val="both"/>
      </w:pPr>
      <w:r>
        <w:rPr>
          <w:color w:val="000000"/>
        </w:rPr>
        <w:t>Finalmente, el análisis de VIF no evidenció problemas severos de multicolinealidad, ya que los factores de inflación de varianza se mantuvieron por debajo de los niveles críticos.</w:t>
      </w:r>
    </w:p>
    <w:p w14:paraId="67B0C91A" w14:textId="77777777" w:rsidR="00976A40" w:rsidRPr="00976A40" w:rsidRDefault="00976A40" w:rsidP="00976A40">
      <w:pPr>
        <w:pStyle w:val="Ttulo1"/>
        <w:spacing w:before="480" w:after="120"/>
        <w:jc w:val="both"/>
        <w:rPr>
          <w:rFonts w:ascii="Times New Roman" w:hAnsi="Times New Roman" w:cs="Times New Roman"/>
          <w:b/>
          <w:bCs/>
        </w:rPr>
      </w:pPr>
      <w:r w:rsidRPr="00976A40">
        <w:rPr>
          <w:rFonts w:ascii="Times New Roman" w:hAnsi="Times New Roman" w:cs="Times New Roman"/>
          <w:b/>
          <w:bCs/>
          <w:color w:val="000000"/>
          <w:sz w:val="24"/>
          <w:szCs w:val="24"/>
        </w:rPr>
        <w:t xml:space="preserve">7. </w:t>
      </w:r>
      <w:proofErr w:type="spellStart"/>
      <w:r w:rsidRPr="00976A40">
        <w:rPr>
          <w:rFonts w:ascii="Times New Roman" w:hAnsi="Times New Roman" w:cs="Times New Roman"/>
          <w:b/>
          <w:bCs/>
          <w:color w:val="000000"/>
          <w:sz w:val="24"/>
          <w:szCs w:val="24"/>
        </w:rPr>
        <w:t>Forecasting</w:t>
      </w:r>
      <w:proofErr w:type="spellEnd"/>
      <w:r w:rsidRPr="00976A40">
        <w:rPr>
          <w:rFonts w:ascii="Times New Roman" w:hAnsi="Times New Roman" w:cs="Times New Roman"/>
          <w:b/>
          <w:bCs/>
          <w:color w:val="000000"/>
          <w:sz w:val="24"/>
          <w:szCs w:val="24"/>
        </w:rPr>
        <w:t xml:space="preserve"> y Proyección de Ventas</w:t>
      </w:r>
    </w:p>
    <w:p w14:paraId="041FD5E5" w14:textId="49A2BA90" w:rsidR="00976A40" w:rsidRDefault="00976A40" w:rsidP="00976A40">
      <w:pPr>
        <w:pStyle w:val="NormalWeb"/>
        <w:spacing w:before="0" w:beforeAutospacing="0" w:after="0" w:afterAutospacing="0"/>
        <w:jc w:val="both"/>
      </w:pPr>
      <w:r>
        <w:rPr>
          <w:noProof/>
        </w:rPr>
        <w:drawing>
          <wp:inline distT="0" distB="0" distL="0" distR="0" wp14:anchorId="21AF9340" wp14:editId="4BE920F8">
            <wp:extent cx="5612130" cy="280606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45D77CD" w14:textId="77777777" w:rsidR="00976A40" w:rsidRDefault="00976A40" w:rsidP="00976A40">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20C9C380" w14:textId="77777777" w:rsidR="00976A40" w:rsidRDefault="00976A40" w:rsidP="00976A40">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775DB8AC" w14:textId="77777777" w:rsidR="00976A40" w:rsidRDefault="00976A40" w:rsidP="00976A40">
      <w:pPr>
        <w:pStyle w:val="NormalWeb"/>
        <w:spacing w:before="240" w:beforeAutospacing="0" w:after="240" w:afterAutospacing="0"/>
        <w:jc w:val="both"/>
      </w:pPr>
      <w:r>
        <w:rPr>
          <w:color w:val="000000"/>
        </w:rPr>
        <w:lastRenderedPageBreak/>
        <w:t>Las proyecciones muestran que existen patrones estacionales claros en las ventas, donde algunos días presentan mayor volumen comercial y el comportamiento futuro mantiene una tendencia relativamente estable.</w:t>
      </w:r>
    </w:p>
    <w:p w14:paraId="6182A102" w14:textId="26161978" w:rsidR="00976A40" w:rsidRDefault="00976A40" w:rsidP="00976A40">
      <w:pPr>
        <w:pStyle w:val="NormalWeb"/>
        <w:spacing w:before="240" w:beforeAutospacing="0" w:after="240" w:afterAutospacing="0"/>
        <w:jc w:val="both"/>
        <w:rPr>
          <w:color w:val="000000"/>
        </w:rPr>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indican ventas promedio diarias cercanas a 5,395,950 unidades y ventas acumuladas aproximadas de 971,271,000 unidades para el horizonte proyectado de seis meses. </w:t>
      </w:r>
    </w:p>
    <w:p w14:paraId="38AC6F28" w14:textId="77777777" w:rsidR="004C1B0B" w:rsidRPr="004C1B0B" w:rsidRDefault="004C1B0B" w:rsidP="004C1B0B">
      <w:pPr>
        <w:pStyle w:val="Ttulo1"/>
        <w:spacing w:before="480" w:after="120"/>
        <w:jc w:val="both"/>
        <w:rPr>
          <w:rFonts w:ascii="Times New Roman" w:hAnsi="Times New Roman" w:cs="Times New Roman"/>
          <w:b/>
          <w:bCs/>
        </w:rPr>
      </w:pPr>
      <w:r w:rsidRPr="004C1B0B">
        <w:rPr>
          <w:rFonts w:ascii="Times New Roman" w:hAnsi="Times New Roman" w:cs="Times New Roman"/>
          <w:b/>
          <w:bCs/>
          <w:color w:val="000000"/>
          <w:sz w:val="24"/>
          <w:szCs w:val="24"/>
          <w:shd w:val="clear" w:color="auto" w:fill="FFFFFF"/>
        </w:rPr>
        <w:t>8. Modelo alternativo y validez</w:t>
      </w:r>
    </w:p>
    <w:p w14:paraId="4A312527" w14:textId="77777777" w:rsidR="004C1B0B" w:rsidRDefault="004C1B0B" w:rsidP="004C1B0B">
      <w:pPr>
        <w:pStyle w:val="NormalWeb"/>
        <w:spacing w:before="240" w:beforeAutospacing="0" w:after="240" w:afterAutospacing="0"/>
        <w:jc w:val="both"/>
      </w:pPr>
      <w:r>
        <w:rPr>
          <w:color w:val="000000"/>
        </w:rPr>
        <w:t xml:space="preserve">Como parte del análisis de robustez, se estimó un modelo alternativo reemplazando la variable continua de precio en logaritmos </w:t>
      </w:r>
      <w:r>
        <w:rPr>
          <w:i/>
          <w:iCs/>
          <w:color w:val="000000"/>
        </w:rPr>
        <w:t>(</w:t>
      </w:r>
      <w:proofErr w:type="spellStart"/>
      <w:r>
        <w:rPr>
          <w:i/>
          <w:iCs/>
          <w:color w:val="000000"/>
        </w:rPr>
        <w:t>ln_precio</w:t>
      </w:r>
      <w:proofErr w:type="spellEnd"/>
      <w:r>
        <w:rPr>
          <w:i/>
          <w:iCs/>
          <w:color w:val="000000"/>
        </w:rPr>
        <w:t>)</w:t>
      </w:r>
      <w:r>
        <w:rPr>
          <w:color w:val="000000"/>
        </w:rPr>
        <w:t xml:space="preserve"> por la variable categórica</w:t>
      </w:r>
      <w:r>
        <w:rPr>
          <w:i/>
          <w:iCs/>
          <w:color w:val="000000"/>
        </w:rPr>
        <w:t xml:space="preserve"> </w:t>
      </w:r>
      <w:proofErr w:type="spellStart"/>
      <w:r>
        <w:rPr>
          <w:i/>
          <w:iCs/>
          <w:color w:val="000000"/>
        </w:rPr>
        <w:t>price_tier</w:t>
      </w:r>
      <w:proofErr w:type="spellEnd"/>
      <w:r>
        <w:rPr>
          <w:color w:val="000000"/>
        </w:rPr>
        <w:t>, la cual clasifica los productos en diferentes niveles de precio. El objetivo de este ejercicio fue evaluar si una segmentación discreta de precios podía explicar el comportamiento de las ventas con una capacidad similar al modelo principal.</w:t>
      </w:r>
    </w:p>
    <w:p w14:paraId="5A6B17EB" w14:textId="77777777" w:rsidR="004C1B0B" w:rsidRDefault="004C1B0B" w:rsidP="004C1B0B">
      <w:pPr>
        <w:pStyle w:val="NormalWeb"/>
        <w:spacing w:before="240" w:beforeAutospacing="0" w:after="240" w:afterAutospacing="0"/>
        <w:jc w:val="both"/>
      </w:pPr>
      <w:r>
        <w:rPr>
          <w:color w:val="000000"/>
        </w:rPr>
        <w:t>El modelo alternativo obtuvo un coeficiente de determinación:</w:t>
      </w:r>
    </w:p>
    <w:p w14:paraId="5981688A" w14:textId="77777777" w:rsidR="004C1B0B" w:rsidRDefault="004C1B0B" w:rsidP="004C1B0B">
      <w:pPr>
        <w:pStyle w:val="NormalWeb"/>
        <w:spacing w:before="240" w:beforeAutospacing="0" w:after="240" w:afterAutospacing="0"/>
        <w:jc w:val="both"/>
      </w:pPr>
      <w:r>
        <w:rPr>
          <w:color w:val="000000"/>
        </w:rPr>
        <w:t>R2=0.0066</w:t>
      </w:r>
    </w:p>
    <w:p w14:paraId="54944BA0" w14:textId="77777777" w:rsidR="004C1B0B" w:rsidRDefault="004C1B0B" w:rsidP="004C1B0B">
      <w:pPr>
        <w:pStyle w:val="NormalWeb"/>
        <w:spacing w:before="240" w:beforeAutospacing="0" w:after="240" w:afterAutospacing="0"/>
        <w:jc w:val="both"/>
      </w:pPr>
      <w:r>
        <w:rPr>
          <w:color w:val="000000"/>
        </w:rPr>
        <w:t>mientras que el modelo principal presentó:</w:t>
      </w:r>
    </w:p>
    <w:p w14:paraId="58261CA1" w14:textId="77777777" w:rsidR="004C1B0B" w:rsidRDefault="004C1B0B" w:rsidP="004C1B0B">
      <w:pPr>
        <w:pStyle w:val="NormalWeb"/>
        <w:spacing w:before="240" w:beforeAutospacing="0" w:after="240" w:afterAutospacing="0"/>
        <w:jc w:val="both"/>
      </w:pPr>
      <w:r>
        <w:rPr>
          <w:color w:val="000000"/>
        </w:rPr>
        <w:t>R2=0.5654</w:t>
      </w:r>
    </w:p>
    <w:p w14:paraId="49252EB8" w14:textId="77777777" w:rsidR="004C1B0B" w:rsidRDefault="004C1B0B" w:rsidP="004C1B0B">
      <w:pPr>
        <w:pStyle w:val="NormalWeb"/>
        <w:spacing w:before="240" w:beforeAutospacing="0" w:after="240" w:afterAutospacing="0"/>
        <w:jc w:val="both"/>
      </w:pPr>
      <w:r>
        <w:rPr>
          <w:color w:val="000000"/>
        </w:rPr>
        <w:t>La diferencia entre ambos resultados es sustancial. Un R2de 0.0066 implica que el modelo alternativo únicamente logra explicar aproximadamente el 0.66% de la variación observada en las ventas, lo cual evidencia una capacidad explicativa extremadamente baja. En contraste, el modelo principal explica más del 56% de la variabilidad de la demanda, mostrando un desempeño considerablemente superior.</w:t>
      </w:r>
    </w:p>
    <w:p w14:paraId="327E27B4" w14:textId="77777777" w:rsidR="004C1B0B" w:rsidRDefault="004C1B0B" w:rsidP="004C1B0B">
      <w:pPr>
        <w:pStyle w:val="NormalWeb"/>
        <w:spacing w:before="240" w:beforeAutospacing="0" w:after="240" w:afterAutospacing="0"/>
        <w:jc w:val="both"/>
      </w:pPr>
      <w:r>
        <w:rPr>
          <w:color w:val="000000"/>
        </w:rPr>
        <w:t>Estos resultados indican que el precio como variable continua contiene información mucho más precisa y relevante para capturar el comportamiento de los consumidores que una clasificación general por rangos de precios. Al transformar el precio en categorías (</w:t>
      </w:r>
      <w:proofErr w:type="spellStart"/>
      <w:r>
        <w:rPr>
          <w:i/>
          <w:iCs/>
          <w:color w:val="000000"/>
        </w:rPr>
        <w:t>price_tier</w:t>
      </w:r>
      <w:proofErr w:type="spellEnd"/>
      <w:r>
        <w:rPr>
          <w:color w:val="000000"/>
        </w:rPr>
        <w:t>), se pierde variabilidad e información económica importante, reduciendo significativamente la capacidad predictiva del modelo.</w:t>
      </w:r>
    </w:p>
    <w:p w14:paraId="2CC5FC95" w14:textId="77777777" w:rsidR="004C1B0B" w:rsidRDefault="004C1B0B" w:rsidP="004C1B0B">
      <w:pPr>
        <w:pStyle w:val="NormalWeb"/>
        <w:spacing w:before="240" w:beforeAutospacing="0" w:after="240" w:afterAutospacing="0"/>
        <w:jc w:val="both"/>
      </w:pPr>
      <w:r>
        <w:rPr>
          <w:color w:val="000000"/>
        </w:rPr>
        <w:t xml:space="preserve">Desde una perspectiva econométrica y estratégica, esto valida la elección de una especificación logarítmica basada en elasticidades. El modelo principal no solo presenta mayor poder explicativo, sino que también permite interpretar directamente la sensibilidad de la demanda ante cambios porcentuales en el precio, lo cual resulta fundamental para la toma de decisiones comerciales y de </w:t>
      </w:r>
      <w:proofErr w:type="spellStart"/>
      <w:r>
        <w:rPr>
          <w:color w:val="000000"/>
        </w:rPr>
        <w:t>pricing</w:t>
      </w:r>
      <w:proofErr w:type="spellEnd"/>
      <w:r>
        <w:rPr>
          <w:color w:val="000000"/>
        </w:rPr>
        <w:t xml:space="preserve"> en el sector moda.</w:t>
      </w:r>
    </w:p>
    <w:p w14:paraId="4277B1F3" w14:textId="1B40CED6" w:rsidR="004C1B0B" w:rsidRDefault="004C1B0B" w:rsidP="004C1B0B">
      <w:pPr>
        <w:pStyle w:val="NormalWeb"/>
        <w:spacing w:before="240" w:beforeAutospacing="0" w:after="240" w:afterAutospacing="0"/>
        <w:jc w:val="both"/>
        <w:rPr>
          <w:color w:val="000000"/>
        </w:rPr>
      </w:pPr>
      <w:r>
        <w:rPr>
          <w:color w:val="000000"/>
        </w:rPr>
        <w:t>En consecuencia, el modelo log-log utilizado en el análisis principal puede considerarse el enfoque más adecuado para estudiar la relación entre precios y ventas, tanto por su consistencia teórica como por su superior desempeño estadístico.</w:t>
      </w:r>
    </w:p>
    <w:p w14:paraId="65BA773F" w14:textId="77777777" w:rsidR="00017A4D" w:rsidRPr="00017A4D" w:rsidRDefault="00017A4D" w:rsidP="00017A4D">
      <w:pPr>
        <w:pStyle w:val="Ttulo1"/>
        <w:spacing w:before="480" w:after="120"/>
        <w:jc w:val="both"/>
        <w:rPr>
          <w:rFonts w:ascii="Times New Roman" w:hAnsi="Times New Roman" w:cs="Times New Roman"/>
          <w:b/>
          <w:bCs/>
        </w:rPr>
      </w:pPr>
      <w:r w:rsidRPr="00017A4D">
        <w:rPr>
          <w:rFonts w:ascii="Times New Roman" w:hAnsi="Times New Roman" w:cs="Times New Roman"/>
          <w:b/>
          <w:bCs/>
          <w:color w:val="000000"/>
          <w:sz w:val="24"/>
          <w:szCs w:val="24"/>
          <w:shd w:val="clear" w:color="auto" w:fill="FFFFFF"/>
        </w:rPr>
        <w:lastRenderedPageBreak/>
        <w:t xml:space="preserve">9. </w:t>
      </w:r>
      <w:proofErr w:type="spellStart"/>
      <w:r w:rsidRPr="00017A4D">
        <w:rPr>
          <w:rFonts w:ascii="Times New Roman" w:hAnsi="Times New Roman" w:cs="Times New Roman"/>
          <w:b/>
          <w:bCs/>
          <w:color w:val="000000"/>
          <w:sz w:val="24"/>
          <w:szCs w:val="24"/>
          <w:shd w:val="clear" w:color="auto" w:fill="FFFFFF"/>
        </w:rPr>
        <w:t>Dashboard</w:t>
      </w:r>
      <w:proofErr w:type="spellEnd"/>
      <w:r w:rsidRPr="00017A4D">
        <w:rPr>
          <w:rFonts w:ascii="Times New Roman" w:hAnsi="Times New Roman" w:cs="Times New Roman"/>
          <w:b/>
          <w:bCs/>
          <w:color w:val="000000"/>
          <w:sz w:val="24"/>
          <w:szCs w:val="24"/>
          <w:shd w:val="clear" w:color="auto" w:fill="FFFFFF"/>
        </w:rPr>
        <w:t xml:space="preserve"> Interactivo</w:t>
      </w:r>
    </w:p>
    <w:p w14:paraId="3D7D9563" w14:textId="08DDDD4B" w:rsidR="00017A4D" w:rsidRDefault="00017A4D" w:rsidP="00017A4D">
      <w:pPr>
        <w:pStyle w:val="NormalWeb"/>
        <w:spacing w:before="240" w:beforeAutospacing="0" w:after="240" w:afterAutospacing="0"/>
        <w:jc w:val="both"/>
      </w:pPr>
      <w:r>
        <w:rPr>
          <w:noProof/>
        </w:rPr>
        <w:drawing>
          <wp:inline distT="0" distB="0" distL="0" distR="0" wp14:anchorId="178BB564" wp14:editId="06BC8242">
            <wp:extent cx="5612130" cy="2771775"/>
            <wp:effectExtent l="0" t="0" r="762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771775"/>
                    </a:xfrm>
                    <a:prstGeom prst="rect">
                      <a:avLst/>
                    </a:prstGeom>
                    <a:noFill/>
                    <a:ln>
                      <a:noFill/>
                    </a:ln>
                  </pic:spPr>
                </pic:pic>
              </a:graphicData>
            </a:graphic>
          </wp:inline>
        </w:drawing>
      </w:r>
    </w:p>
    <w:p w14:paraId="15D8C737" w14:textId="77777777" w:rsidR="00017A4D" w:rsidRDefault="00017A4D" w:rsidP="00017A4D">
      <w:pPr>
        <w:pStyle w:val="NormalWeb"/>
        <w:spacing w:before="240" w:beforeAutospacing="0" w:after="240" w:afterAutospacing="0"/>
        <w:jc w:val="both"/>
      </w:pPr>
      <w:hyperlink r:id="rId12" w:history="1">
        <w:r>
          <w:rPr>
            <w:rStyle w:val="Hipervnculo"/>
            <w:rFonts w:eastAsiaTheme="majorEastAsia"/>
            <w:i/>
            <w:iCs/>
            <w:color w:val="1155CC"/>
          </w:rPr>
          <w:t xml:space="preserve">Imagen de referencia del </w:t>
        </w:r>
        <w:proofErr w:type="spellStart"/>
        <w:r>
          <w:rPr>
            <w:rStyle w:val="Hipervnculo"/>
            <w:rFonts w:eastAsiaTheme="majorEastAsia"/>
            <w:i/>
            <w:iCs/>
            <w:color w:val="1155CC"/>
          </w:rPr>
          <w:t>Dashboard</w:t>
        </w:r>
        <w:proofErr w:type="spellEnd"/>
        <w:r>
          <w:rPr>
            <w:rStyle w:val="Hipervnculo"/>
            <w:rFonts w:eastAsiaTheme="majorEastAsia"/>
            <w:i/>
            <w:iCs/>
            <w:color w:val="1155CC"/>
          </w:rPr>
          <w:t xml:space="preserve"> interactivo</w:t>
        </w:r>
      </w:hyperlink>
    </w:p>
    <w:p w14:paraId="385F5110" w14:textId="77777777" w:rsidR="00017A4D" w:rsidRDefault="00017A4D" w:rsidP="00017A4D">
      <w:pPr>
        <w:pStyle w:val="NormalWeb"/>
        <w:spacing w:before="240" w:beforeAutospacing="0" w:after="240" w:afterAutospacing="0"/>
        <w:jc w:val="both"/>
      </w:pPr>
      <w:r>
        <w:rPr>
          <w:color w:val="000000"/>
        </w:rPr>
        <w:t xml:space="preserve">Se desarrolló un </w:t>
      </w:r>
      <w:proofErr w:type="spellStart"/>
      <w:r>
        <w:rPr>
          <w:color w:val="000000"/>
        </w:rPr>
        <w:t>dashboard</w:t>
      </w:r>
      <w:proofErr w:type="spellEnd"/>
      <w:r>
        <w:rPr>
          <w:color w:val="000000"/>
        </w:rPr>
        <w:t xml:space="preserve"> interactivo utilizando </w:t>
      </w:r>
      <w:proofErr w:type="spellStart"/>
      <w:r>
        <w:rPr>
          <w:color w:val="000000"/>
        </w:rPr>
        <w:t>Shiny</w:t>
      </w:r>
      <w:proofErr w:type="spellEnd"/>
      <w:r>
        <w:rPr>
          <w:color w:val="000000"/>
        </w:rPr>
        <w:t xml:space="preserve"> y </w:t>
      </w:r>
      <w:proofErr w:type="spellStart"/>
      <w:r>
        <w:rPr>
          <w:color w:val="000000"/>
        </w:rPr>
        <w:t>Plotly</w:t>
      </w:r>
      <w:proofErr w:type="spellEnd"/>
      <w:r>
        <w:rPr>
          <w:color w:val="000000"/>
        </w:rPr>
        <w:t xml:space="preserve"> con cinco módulos principales:</w:t>
      </w:r>
    </w:p>
    <w:p w14:paraId="3BB5A29D" w14:textId="77777777" w:rsidR="00017A4D" w:rsidRDefault="00017A4D" w:rsidP="00017A4D">
      <w:pPr>
        <w:pStyle w:val="NormalWeb"/>
        <w:numPr>
          <w:ilvl w:val="0"/>
          <w:numId w:val="14"/>
        </w:numPr>
        <w:spacing w:before="240" w:beforeAutospacing="0" w:after="0" w:afterAutospacing="0"/>
        <w:textAlignment w:val="baseline"/>
        <w:rPr>
          <w:color w:val="000000"/>
        </w:rPr>
      </w:pPr>
      <w:proofErr w:type="spellStart"/>
      <w:r>
        <w:rPr>
          <w:color w:val="000000"/>
        </w:rPr>
        <w:t>Forecasting</w:t>
      </w:r>
      <w:proofErr w:type="spellEnd"/>
      <w:r>
        <w:rPr>
          <w:color w:val="000000"/>
        </w:rPr>
        <w:t xml:space="preserve"> de ventas.</w:t>
      </w:r>
    </w:p>
    <w:p w14:paraId="422C25AB"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Resultados del modelo econométrico.</w:t>
      </w:r>
    </w:p>
    <w:p w14:paraId="32ADF9A6"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Correlaciones entre variables.</w:t>
      </w:r>
    </w:p>
    <w:p w14:paraId="574F17B1" w14:textId="77777777" w:rsidR="00017A4D" w:rsidRDefault="00017A4D" w:rsidP="00017A4D">
      <w:pPr>
        <w:pStyle w:val="NormalWeb"/>
        <w:numPr>
          <w:ilvl w:val="0"/>
          <w:numId w:val="14"/>
        </w:numPr>
        <w:spacing w:before="0" w:beforeAutospacing="0" w:after="0" w:afterAutospacing="0"/>
        <w:textAlignment w:val="baseline"/>
        <w:rPr>
          <w:color w:val="000000"/>
        </w:rPr>
      </w:pPr>
      <w:r>
        <w:rPr>
          <w:color w:val="000000"/>
        </w:rPr>
        <w:t>Pruebas de robustez.</w:t>
      </w:r>
    </w:p>
    <w:p w14:paraId="104CB898" w14:textId="77777777" w:rsidR="00017A4D" w:rsidRDefault="00017A4D" w:rsidP="00017A4D">
      <w:pPr>
        <w:pStyle w:val="NormalWeb"/>
        <w:numPr>
          <w:ilvl w:val="0"/>
          <w:numId w:val="14"/>
        </w:numPr>
        <w:spacing w:before="0" w:beforeAutospacing="0" w:after="240" w:afterAutospacing="0"/>
        <w:textAlignment w:val="baseline"/>
        <w:rPr>
          <w:color w:val="000000"/>
        </w:rPr>
      </w:pPr>
      <w:r>
        <w:rPr>
          <w:color w:val="000000"/>
        </w:rPr>
        <w:t>Predictor interactivo y curva de demanda.</w:t>
      </w:r>
    </w:p>
    <w:p w14:paraId="6A526A25" w14:textId="77777777" w:rsidR="00017A4D" w:rsidRDefault="00017A4D" w:rsidP="00017A4D">
      <w:pPr>
        <w:pStyle w:val="NormalWeb"/>
        <w:spacing w:before="240" w:beforeAutospacing="0" w:after="240" w:afterAutospacing="0"/>
        <w:jc w:val="both"/>
      </w:pPr>
      <w:r>
        <w:rPr>
          <w:color w:val="000000"/>
        </w:rPr>
        <w:t xml:space="preserve">El </w:t>
      </w:r>
      <w:proofErr w:type="spellStart"/>
      <w:r>
        <w:rPr>
          <w:color w:val="000000"/>
        </w:rPr>
        <w:t>dashboard</w:t>
      </w:r>
      <w:proofErr w:type="spellEnd"/>
      <w:r>
        <w:rPr>
          <w:color w:val="000000"/>
        </w:rPr>
        <w:t xml:space="preserve"> permite visualizar métricas clave, explorar relaciones entre variables y simular escenarios de precios para apoyar decisiones estratégicas de </w:t>
      </w:r>
      <w:proofErr w:type="spellStart"/>
      <w:r>
        <w:rPr>
          <w:color w:val="000000"/>
        </w:rPr>
        <w:t>pricing</w:t>
      </w:r>
      <w:proofErr w:type="spellEnd"/>
      <w:r>
        <w:rPr>
          <w:color w:val="000000"/>
        </w:rPr>
        <w:t>.</w:t>
      </w:r>
    </w:p>
    <w:p w14:paraId="204BB54C" w14:textId="77777777" w:rsidR="00017A4D" w:rsidRDefault="00017A4D" w:rsidP="004C1B0B">
      <w:pPr>
        <w:pStyle w:val="NormalWeb"/>
        <w:spacing w:before="240" w:beforeAutospacing="0" w:after="240" w:afterAutospacing="0"/>
        <w:jc w:val="both"/>
      </w:pPr>
    </w:p>
    <w:p w14:paraId="38DBD7A0" w14:textId="77777777" w:rsidR="004C1B0B" w:rsidRDefault="004C1B0B" w:rsidP="00976A40">
      <w:pPr>
        <w:pStyle w:val="NormalWeb"/>
        <w:spacing w:before="240" w:beforeAutospacing="0" w:after="240" w:afterAutospacing="0"/>
        <w:jc w:val="both"/>
      </w:pPr>
    </w:p>
    <w:p w14:paraId="68237D22" w14:textId="77777777" w:rsidR="009704F0" w:rsidRPr="00A64B20" w:rsidRDefault="009704F0" w:rsidP="00A64B20">
      <w:pPr>
        <w:spacing w:before="240" w:after="240" w:line="240" w:lineRule="auto"/>
        <w:jc w:val="both"/>
        <w:rPr>
          <w:rFonts w:ascii="Times New Roman" w:eastAsia="Times New Roman" w:hAnsi="Times New Roman" w:cs="Times New Roman"/>
          <w:kern w:val="0"/>
          <w:lang w:eastAsia="es-MX"/>
          <w14:ligatures w14:val="none"/>
        </w:rPr>
      </w:pP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69559F"/>
    <w:multiLevelType w:val="multilevel"/>
    <w:tmpl w:val="E4B0C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7"/>
  </w:num>
  <w:num w:numId="4">
    <w:abstractNumId w:val="13"/>
  </w:num>
  <w:num w:numId="5">
    <w:abstractNumId w:val="1"/>
  </w:num>
  <w:num w:numId="6">
    <w:abstractNumId w:val="11"/>
  </w:num>
  <w:num w:numId="7">
    <w:abstractNumId w:val="4"/>
  </w:num>
  <w:num w:numId="8">
    <w:abstractNumId w:val="5"/>
  </w:num>
  <w:num w:numId="9">
    <w:abstractNumId w:val="12"/>
  </w:num>
  <w:num w:numId="10">
    <w:abstractNumId w:val="2"/>
  </w:num>
  <w:num w:numId="11">
    <w:abstractNumId w:val="10"/>
  </w:num>
  <w:num w:numId="12">
    <w:abstractNumId w:val="0"/>
  </w:num>
  <w:num w:numId="13">
    <w:abstractNumId w:val="6"/>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17A4D"/>
    <w:rsid w:val="00050971"/>
    <w:rsid w:val="001C2A25"/>
    <w:rsid w:val="002376FA"/>
    <w:rsid w:val="004C1B0B"/>
    <w:rsid w:val="00506AD4"/>
    <w:rsid w:val="005B03F7"/>
    <w:rsid w:val="00697C00"/>
    <w:rsid w:val="008F6B17"/>
    <w:rsid w:val="009704F0"/>
    <w:rsid w:val="00976A40"/>
    <w:rsid w:val="00A64B20"/>
    <w:rsid w:val="00C74C65"/>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Hipervnculo">
    <w:name w:val="Hyperlink"/>
    <w:basedOn w:val="Fuentedeprrafopredeter"/>
    <w:uiPriority w:val="99"/>
    <w:semiHidden/>
    <w:unhideWhenUsed/>
    <w:rsid w:val="00017A4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9495833">
      <w:bodyDiv w:val="1"/>
      <w:marLeft w:val="0"/>
      <w:marRight w:val="0"/>
      <w:marTop w:val="0"/>
      <w:marBottom w:val="0"/>
      <w:divBdr>
        <w:top w:val="none" w:sz="0" w:space="0" w:color="auto"/>
        <w:left w:val="none" w:sz="0" w:space="0" w:color="auto"/>
        <w:bottom w:val="none" w:sz="0" w:space="0" w:color="auto"/>
        <w:right w:val="none" w:sz="0" w:space="0" w:color="auto"/>
      </w:divBdr>
    </w:div>
    <w:div w:id="296377941">
      <w:bodyDiv w:val="1"/>
      <w:marLeft w:val="0"/>
      <w:marRight w:val="0"/>
      <w:marTop w:val="0"/>
      <w:marBottom w:val="0"/>
      <w:divBdr>
        <w:top w:val="none" w:sz="0" w:space="0" w:color="auto"/>
        <w:left w:val="none" w:sz="0" w:space="0" w:color="auto"/>
        <w:bottom w:val="none" w:sz="0" w:space="0" w:color="auto"/>
        <w:right w:val="none" w:sz="0" w:space="0" w:color="auto"/>
      </w:divBdr>
    </w:div>
    <w:div w:id="1339193411">
      <w:bodyDiv w:val="1"/>
      <w:marLeft w:val="0"/>
      <w:marRight w:val="0"/>
      <w:marTop w:val="0"/>
      <w:marBottom w:val="0"/>
      <w:divBdr>
        <w:top w:val="none" w:sz="0" w:space="0" w:color="auto"/>
        <w:left w:val="none" w:sz="0" w:space="0" w:color="auto"/>
        <w:bottom w:val="none" w:sz="0" w:space="0" w:color="auto"/>
        <w:right w:val="none" w:sz="0" w:space="0" w:color="auto"/>
      </w:divBdr>
    </w:div>
    <w:div w:id="201313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00c30-maria0jose0castro.shinyapps.io/dashboard-mod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2214</Words>
  <Characters>12622</Characters>
  <Application>Microsoft Office Word</Application>
  <DocSecurity>0</DocSecurity>
  <Lines>105</Lines>
  <Paragraphs>29</Paragraphs>
  <ScaleCrop>false</ScaleCrop>
  <Company/>
  <LinksUpToDate>false</LinksUpToDate>
  <CharactersWithSpaces>14807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11</cp:revision>
  <dcterms:created xsi:type="dcterms:W3CDTF">2026-05-22T13:48:00Z</dcterms:created>
  <dcterms:modified xsi:type="dcterms:W3CDTF">2026-05-22T16:17:00Z</dcterms:modified>
</cp:coreProperties>
</file>