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w:t>
      </w:r>
      <w:proofErr w:type="spellStart"/>
      <w:r w:rsidRPr="00D62F3C">
        <w:rPr>
          <w:rFonts w:ascii="Times New Roman" w:eastAsia="Times New Roman" w:hAnsi="Times New Roman" w:cs="Times New Roman"/>
          <w:color w:val="000000"/>
          <w:kern w:val="0"/>
          <w:lang w:eastAsia="es-MX"/>
          <w14:ligatures w14:val="none"/>
        </w:rPr>
        <w:t>Shiny</w:t>
      </w:r>
      <w:proofErr w:type="spellEnd"/>
      <w:r w:rsidRPr="00D62F3C">
        <w:rPr>
          <w:rFonts w:ascii="Times New Roman" w:eastAsia="Times New Roman" w:hAnsi="Times New Roman" w:cs="Times New Roman"/>
          <w:color w:val="000000"/>
          <w:kern w:val="0"/>
          <w:lang w:eastAsia="es-MX"/>
          <w14:ligatures w14:val="none"/>
        </w:rPr>
        <w:t xml:space="preserve">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11CB3083" w14:textId="77777777" w:rsidR="002376FA" w:rsidRDefault="002376FA" w:rsidP="008F6B17">
      <w:pPr>
        <w:spacing w:before="240" w:after="240" w:line="240" w:lineRule="auto"/>
        <w:jc w:val="both"/>
        <w:rPr>
          <w:rFonts w:ascii="Times New Roman" w:eastAsia="Times New Roman" w:hAnsi="Times New Roman" w:cs="Times New Roman"/>
          <w:color w:val="000000"/>
          <w:kern w:val="0"/>
          <w:lang w:eastAsia="es-MX"/>
          <w14:ligatures w14:val="none"/>
        </w:rPr>
      </w:pPr>
    </w:p>
    <w:p w14:paraId="10646C5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lastRenderedPageBreak/>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5A7EA46" w14:textId="77777777" w:rsidR="002376FA" w:rsidRPr="002376FA" w:rsidRDefault="002376FA" w:rsidP="002376F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2376FA">
        <w:rPr>
          <w:rFonts w:ascii="Times New Roman" w:eastAsia="Times New Roman" w:hAnsi="Times New Roman" w:cs="Times New Roman"/>
          <w:b/>
          <w:bCs/>
          <w:color w:val="000000"/>
          <w:kern w:val="36"/>
          <w:lang w:eastAsia="es-MX"/>
          <w14:ligatures w14:val="none"/>
        </w:rPr>
        <w:t>4. Efecto de las Categorías de Producto</w:t>
      </w:r>
    </w:p>
    <w:p w14:paraId="55D35DFD"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28C99598" w14:textId="696B0E4E"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4023A3E5" wp14:editId="391736DD">
            <wp:extent cx="5612130" cy="3364865"/>
            <wp:effectExtent l="0" t="0" r="1270" b="635"/>
            <wp:docPr id="143512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587CA429"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Gráfica 2. Ventas diarias por Categoría de producto</w:t>
      </w:r>
    </w:p>
    <w:p w14:paraId="40B29EB9" w14:textId="77777777" w:rsidR="002376FA" w:rsidRPr="002376FA" w:rsidRDefault="002376FA" w:rsidP="002376FA">
      <w:pPr>
        <w:spacing w:after="240" w:line="240" w:lineRule="auto"/>
        <w:rPr>
          <w:rFonts w:ascii="Times New Roman" w:eastAsia="Times New Roman" w:hAnsi="Times New Roman" w:cs="Times New Roman"/>
          <w:kern w:val="0"/>
          <w:lang w:eastAsia="es-MX"/>
          <w14:ligatures w14:val="none"/>
        </w:rPr>
      </w:pPr>
    </w:p>
    <w:p w14:paraId="1F7FF347" w14:textId="05E3F2E1"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32536DCC" wp14:editId="76DC8B96">
            <wp:extent cx="4546600" cy="4089400"/>
            <wp:effectExtent l="0" t="0" r="0" b="0"/>
            <wp:docPr id="464993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AA4BCFE"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Tabla 1. Resumen estadístico variables </w:t>
      </w:r>
    </w:p>
    <w:p w14:paraId="6CF319B6"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2376FA">
        <w:rPr>
          <w:rFonts w:ascii="Times New Roman" w:eastAsia="Times New Roman" w:hAnsi="Times New Roman" w:cs="Times New Roman"/>
          <w:i/>
          <w:iCs/>
          <w:color w:val="000000"/>
          <w:kern w:val="0"/>
          <w:lang w:eastAsia="es-MX"/>
          <w14:ligatures w14:val="none"/>
        </w:rPr>
        <w:t xml:space="preserve"> (Tabla 1)</w:t>
      </w:r>
    </w:p>
    <w:p w14:paraId="452E5939" w14:textId="77777777" w:rsidR="002376FA" w:rsidRPr="002376FA" w:rsidRDefault="002376FA" w:rsidP="002376FA">
      <w:pPr>
        <w:numPr>
          <w:ilvl w:val="0"/>
          <w:numId w:val="1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Jacket</w:t>
      </w:r>
      <w:proofErr w:type="spellEnd"/>
      <w:r w:rsidRPr="002376FA">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1E21AE29"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Jeans</w:t>
      </w:r>
      <w:r w:rsidRPr="002376FA">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0D231531"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Shoes</w:t>
      </w:r>
      <w:proofErr w:type="spellEnd"/>
      <w:r w:rsidRPr="002376FA">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15F0B86B"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T-</w:t>
      </w:r>
      <w:proofErr w:type="spellStart"/>
      <w:r w:rsidRPr="002376FA">
        <w:rPr>
          <w:rFonts w:ascii="Times New Roman" w:eastAsia="Times New Roman" w:hAnsi="Times New Roman" w:cs="Times New Roman"/>
          <w:b/>
          <w:bCs/>
          <w:color w:val="000000"/>
          <w:kern w:val="0"/>
          <w:lang w:eastAsia="es-MX"/>
          <w14:ligatures w14:val="none"/>
        </w:rPr>
        <w:t>shirt</w:t>
      </w:r>
      <w:proofErr w:type="spellEnd"/>
      <w:r w:rsidRPr="002376FA">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4EDF9C83" w14:textId="77777777" w:rsidR="002376FA" w:rsidRPr="002376FA" w:rsidRDefault="002376FA" w:rsidP="002376FA">
      <w:pPr>
        <w:numPr>
          <w:ilvl w:val="0"/>
          <w:numId w:val="1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Trainers</w:t>
      </w:r>
      <w:proofErr w:type="spellEnd"/>
      <w:r w:rsidRPr="002376FA">
        <w:rPr>
          <w:rFonts w:ascii="Times New Roman" w:eastAsia="Times New Roman" w:hAnsi="Times New Roman" w:cs="Times New Roman"/>
          <w:b/>
          <w:bCs/>
          <w:color w:val="000000"/>
          <w:kern w:val="0"/>
          <w:lang w:eastAsia="es-MX"/>
          <w14:ligatures w14:val="none"/>
        </w:rPr>
        <w:t xml:space="preserve"> </w:t>
      </w:r>
      <w:r w:rsidRPr="002376FA">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73843DE8"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2376FA">
        <w:rPr>
          <w:rFonts w:ascii="Times New Roman" w:eastAsia="Times New Roman" w:hAnsi="Times New Roman" w:cs="Times New Roman"/>
          <w:color w:val="000000"/>
          <w:kern w:val="0"/>
          <w:lang w:eastAsia="es-MX"/>
          <w14:ligatures w14:val="none"/>
        </w:rPr>
        <w:t>pricing</w:t>
      </w:r>
      <w:proofErr w:type="spellEnd"/>
      <w:r w:rsidRPr="002376FA">
        <w:rPr>
          <w:rFonts w:ascii="Times New Roman" w:eastAsia="Times New Roman" w:hAnsi="Times New Roman" w:cs="Times New Roman"/>
          <w:color w:val="000000"/>
          <w:kern w:val="0"/>
          <w:lang w:eastAsia="es-MX"/>
          <w14:ligatures w14:val="none"/>
        </w:rPr>
        <w:t xml:space="preserve"> diferenciadas por categoría.</w:t>
      </w:r>
    </w:p>
    <w:p w14:paraId="281E398E" w14:textId="77777777" w:rsidR="00A64B20" w:rsidRPr="00A64B20" w:rsidRDefault="00A64B20" w:rsidP="00A64B2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A64B20">
        <w:rPr>
          <w:rFonts w:ascii="Times New Roman" w:eastAsia="Times New Roman" w:hAnsi="Times New Roman" w:cs="Times New Roman"/>
          <w:b/>
          <w:bCs/>
          <w:color w:val="000000"/>
          <w:kern w:val="36"/>
          <w:lang w:eastAsia="es-MX"/>
          <w14:ligatures w14:val="none"/>
        </w:rPr>
        <w:lastRenderedPageBreak/>
        <w:t>5. Efecto de las Marcas</w:t>
      </w:r>
    </w:p>
    <w:p w14:paraId="2A92BE60"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xml:space="preserve">Respecto a las marcas, el modelo evidencia diferencias estadísticamente significativas entre algunas de ellas </w:t>
      </w:r>
      <w:r w:rsidRPr="00A64B20">
        <w:rPr>
          <w:rFonts w:ascii="Times New Roman" w:eastAsia="Times New Roman" w:hAnsi="Times New Roman" w:cs="Times New Roman"/>
          <w:i/>
          <w:iCs/>
          <w:color w:val="000000"/>
          <w:kern w:val="0"/>
          <w:lang w:eastAsia="es-MX"/>
          <w14:ligatures w14:val="none"/>
        </w:rPr>
        <w:t>(Tabla 2).</w:t>
      </w:r>
    </w:p>
    <w:p w14:paraId="5A9E2EC8"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i/>
          <w:iCs/>
          <w:color w:val="000000"/>
          <w:kern w:val="0"/>
          <w:lang w:eastAsia="es-MX"/>
          <w14:ligatures w14:val="none"/>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A64B20" w:rsidRPr="00A64B20" w14:paraId="3FA0AA73"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759A8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B702A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D2B3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Resultado</w:t>
            </w:r>
          </w:p>
        </w:tc>
      </w:tr>
      <w:tr w:rsidR="00A64B20" w:rsidRPr="00A64B20" w14:paraId="390CA68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7D380"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39812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BDF1"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0630789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5DA36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523A6C"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82E2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783784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8F4FEA"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97EA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7D954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Negativo significativo</w:t>
            </w:r>
          </w:p>
          <w:p w14:paraId="22D59EB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w:t>
            </w:r>
          </w:p>
        </w:tc>
      </w:tr>
    </w:tbl>
    <w:p w14:paraId="04E2825C"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Brand_2 </w:t>
      </w:r>
      <w:r w:rsidRPr="00A64B20">
        <w:rPr>
          <w:rFonts w:ascii="Times New Roman" w:eastAsia="Times New Roman" w:hAnsi="Times New Roman" w:cs="Times New Roman"/>
          <w:color w:val="000000"/>
          <w:kern w:val="0"/>
          <w:lang w:eastAsia="es-MX"/>
          <w14:ligatures w14:val="none"/>
        </w:rPr>
        <w:t>presentó un coeficiente positivo de 0.0221, indicando un desempeño ligeramente superior frente a la marca de referencia.</w:t>
      </w:r>
    </w:p>
    <w:p w14:paraId="00AFB9E6"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Brand_3 </w:t>
      </w:r>
      <w:r w:rsidRPr="00A64B20">
        <w:rPr>
          <w:rFonts w:ascii="Times New Roman" w:eastAsia="Times New Roman" w:hAnsi="Times New Roman" w:cs="Times New Roman"/>
          <w:color w:val="000000"/>
          <w:kern w:val="0"/>
          <w:lang w:eastAsia="es-MX"/>
          <w14:ligatures w14:val="none"/>
        </w:rPr>
        <w:t>obtuvo un coeficiente de -0.0116, mostrando un efecto negativo pequeño y con baja relevancia económica.</w:t>
      </w:r>
    </w:p>
    <w:p w14:paraId="707B620D" w14:textId="77777777" w:rsidR="00A64B20" w:rsidRPr="00A64B20" w:rsidRDefault="00A64B20" w:rsidP="00A64B20">
      <w:pPr>
        <w:numPr>
          <w:ilvl w:val="0"/>
          <w:numId w:val="13"/>
        </w:numPr>
        <w:spacing w:after="24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Brand_4</w:t>
      </w:r>
      <w:r w:rsidRPr="00A64B20">
        <w:rPr>
          <w:rFonts w:ascii="Times New Roman" w:eastAsia="Times New Roman" w:hAnsi="Times New Roman" w:cs="Times New Roman"/>
          <w:color w:val="000000"/>
          <w:kern w:val="0"/>
          <w:lang w:eastAsia="es-MX"/>
          <w14:ligatures w14:val="none"/>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486D8116"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Estos resultados sugieren que la percepción de marca influye en el desempeño comercial y puede modificar la sensibilidad del consumidor frente al precio.</w:t>
      </w:r>
    </w:p>
    <w:p w14:paraId="2BFE11AB" w14:textId="77777777" w:rsidR="00A64B20" w:rsidRPr="00A64B20" w:rsidRDefault="00A64B20" w:rsidP="00A64B2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A64B20">
        <w:rPr>
          <w:rFonts w:ascii="Times New Roman" w:eastAsia="Times New Roman" w:hAnsi="Times New Roman" w:cs="Times New Roman"/>
          <w:b/>
          <w:bCs/>
          <w:color w:val="000000"/>
          <w:kern w:val="0"/>
          <w:lang w:eastAsia="es-MX"/>
          <w14:ligatures w14:val="none"/>
        </w:rPr>
        <w:t>5.1 Interpretación Estratégica</w:t>
      </w:r>
    </w:p>
    <w:p w14:paraId="4CF89D72"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8BCED76" w14:textId="71C3305E" w:rsid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575D0F3B" wp14:editId="51BBB919">
            <wp:extent cx="4546600" cy="4089400"/>
            <wp:effectExtent l="0" t="0" r="0" b="0"/>
            <wp:docPr id="1420266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7AD24CEB" w14:textId="77777777" w:rsidR="00C74C65" w:rsidRPr="00C74C65" w:rsidRDefault="00C74C65" w:rsidP="00C74C65">
      <w:pPr>
        <w:pStyle w:val="Ttulo1"/>
        <w:spacing w:before="480" w:after="120"/>
        <w:jc w:val="both"/>
        <w:rPr>
          <w:rFonts w:ascii="Times New Roman" w:hAnsi="Times New Roman" w:cs="Times New Roman"/>
          <w:b/>
          <w:bCs/>
        </w:rPr>
      </w:pPr>
      <w:r w:rsidRPr="00C74C65">
        <w:rPr>
          <w:rFonts w:ascii="Times New Roman" w:hAnsi="Times New Roman" w:cs="Times New Roman"/>
          <w:b/>
          <w:bCs/>
          <w:color w:val="000000"/>
          <w:sz w:val="24"/>
          <w:szCs w:val="24"/>
        </w:rPr>
        <w:t>6. Calidad y Robustez del Modelo</w:t>
      </w:r>
    </w:p>
    <w:p w14:paraId="70DDD5BE" w14:textId="77777777" w:rsidR="00C74C65" w:rsidRDefault="00C74C65" w:rsidP="00C74C65">
      <w:pPr>
        <w:pStyle w:val="NormalWeb"/>
        <w:spacing w:before="240" w:beforeAutospacing="0" w:after="240" w:afterAutospacing="0"/>
        <w:jc w:val="both"/>
      </w:pPr>
      <w:r>
        <w:rPr>
          <w:color w:val="000000"/>
        </w:rPr>
        <w:t>El modelo fue sometido a diferentes pruebas estadísticas para validar su consistencia y robustez econométrica.</w:t>
      </w:r>
    </w:p>
    <w:p w14:paraId="095DDC54" w14:textId="77F49811" w:rsidR="00C74C65" w:rsidRDefault="00C74C65" w:rsidP="00C74C65">
      <w:pPr>
        <w:pStyle w:val="NormalWeb"/>
        <w:spacing w:before="240" w:beforeAutospacing="0" w:after="240" w:afterAutospacing="0"/>
        <w:jc w:val="both"/>
      </w:pPr>
      <w:r>
        <w:rPr>
          <w:noProof/>
        </w:rPr>
        <w:lastRenderedPageBreak/>
        <w:drawing>
          <wp:inline distT="0" distB="0" distL="0" distR="0" wp14:anchorId="056124ED" wp14:editId="24B968C2">
            <wp:extent cx="5612130" cy="4207510"/>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4207510"/>
                    </a:xfrm>
                    <a:prstGeom prst="rect">
                      <a:avLst/>
                    </a:prstGeom>
                    <a:noFill/>
                    <a:ln>
                      <a:noFill/>
                    </a:ln>
                  </pic:spPr>
                </pic:pic>
              </a:graphicData>
            </a:graphic>
          </wp:inline>
        </w:drawing>
      </w:r>
    </w:p>
    <w:p w14:paraId="70DA3131" w14:textId="77777777" w:rsidR="00C74C65" w:rsidRDefault="00C74C65" w:rsidP="00C74C65">
      <w:pPr>
        <w:pStyle w:val="NormalWeb"/>
        <w:spacing w:before="240" w:beforeAutospacing="0" w:after="240" w:afterAutospacing="0"/>
        <w:jc w:val="both"/>
      </w:pPr>
      <w:r>
        <w:rPr>
          <w:i/>
          <w:iCs/>
          <w:color w:val="000000"/>
        </w:rPr>
        <w:t>Gráfica 2. Matriz de correlación entre variables numéricas</w:t>
      </w:r>
    </w:p>
    <w:p w14:paraId="7D9E2B38" w14:textId="77777777" w:rsidR="00C74C65" w:rsidRDefault="00C74C65" w:rsidP="00C74C65">
      <w:pPr>
        <w:pStyle w:val="NormalWeb"/>
        <w:spacing w:before="240" w:beforeAutospacing="0" w:after="240" w:afterAutospacing="0"/>
        <w:jc w:val="both"/>
      </w:pPr>
      <w:r>
        <w:rPr>
          <w:color w:val="000000"/>
        </w:rPr>
        <w:t xml:space="preserve">El análisis de correlaciones a nivel SKU-día reveló una correlación de </w:t>
      </w:r>
      <w:r>
        <w:rPr>
          <w:b/>
          <w:bCs/>
          <w:color w:val="000000"/>
        </w:rPr>
        <w:t>r = -0.667</w:t>
      </w:r>
      <w:r>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Pr>
          <w:b/>
          <w:bCs/>
          <w:color w:val="000000"/>
        </w:rPr>
        <w:t>r = +0.578</w:t>
      </w:r>
      <w:r>
        <w:rPr>
          <w:color w:val="000000"/>
        </w:rPr>
        <w:t xml:space="preserve">, lo </w:t>
      </w:r>
      <w:proofErr w:type="gramStart"/>
      <w:r>
        <w:rPr>
          <w:color w:val="000000"/>
        </w:rPr>
        <w:t>que</w:t>
      </w:r>
      <w:proofErr w:type="gramEnd"/>
      <w:r>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37ECFE74" w14:textId="77777777" w:rsidR="00C74C65" w:rsidRDefault="00C74C65" w:rsidP="00C74C65">
      <w:pPr>
        <w:pStyle w:val="NormalWeb"/>
        <w:spacing w:before="240" w:beforeAutospacing="0" w:after="240" w:afterAutospacing="0"/>
        <w:jc w:val="both"/>
      </w:pPr>
      <w:r>
        <w:rPr>
          <w:color w:val="000000"/>
        </w:rPr>
        <w:t>Por otro lado, el costo no presenta correlación significativa con las ventas (</w:t>
      </w:r>
      <w:r>
        <w:rPr>
          <w:b/>
          <w:bCs/>
          <w:color w:val="000000"/>
        </w:rPr>
        <w:t>r ≈ 0</w:t>
      </w:r>
      <w:r>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9EA6C67" w14:textId="77777777" w:rsidR="00C74C65" w:rsidRDefault="00C74C65" w:rsidP="00C74C65">
      <w:pPr>
        <w:spacing w:after="240"/>
      </w:pPr>
      <w:r>
        <w:br/>
      </w:r>
      <w:r>
        <w:br/>
      </w:r>
    </w:p>
    <w:p w14:paraId="514D711A" w14:textId="77777777" w:rsidR="00C74C65" w:rsidRPr="00C74C65" w:rsidRDefault="00C74C65" w:rsidP="00C74C65">
      <w:pPr>
        <w:pStyle w:val="Ttulo2"/>
        <w:spacing w:before="360"/>
        <w:jc w:val="both"/>
        <w:rPr>
          <w:rFonts w:ascii="Times New Roman" w:hAnsi="Times New Roman" w:cs="Times New Roman"/>
          <w:b/>
          <w:bCs/>
        </w:rPr>
      </w:pPr>
      <w:r w:rsidRPr="00C74C65">
        <w:rPr>
          <w:rFonts w:ascii="Times New Roman" w:hAnsi="Times New Roman" w:cs="Times New Roman"/>
          <w:b/>
          <w:bCs/>
          <w:color w:val="000000"/>
          <w:sz w:val="24"/>
          <w:szCs w:val="24"/>
        </w:rPr>
        <w:lastRenderedPageBreak/>
        <w:t>6.1 Pruebas de Robustez </w:t>
      </w:r>
    </w:p>
    <w:p w14:paraId="22F8C970" w14:textId="77777777" w:rsidR="00C74C65" w:rsidRDefault="00C74C65" w:rsidP="00C74C65">
      <w:pPr>
        <w:pStyle w:val="NormalWeb"/>
        <w:spacing w:before="240" w:beforeAutospacing="0" w:after="240" w:afterAutospacing="0"/>
        <w:jc w:val="both"/>
      </w:pPr>
      <w:r>
        <w:rPr>
          <w:color w:val="000000"/>
        </w:rPr>
        <w:t>Se realizaron diferentes pruebas econométricas para validar la consistencia estadística del modelo estimado.</w:t>
      </w:r>
    </w:p>
    <w:p w14:paraId="3D54A31B" w14:textId="77777777" w:rsidR="00C74C65" w:rsidRDefault="00C74C65" w:rsidP="00C74C65">
      <w:pPr>
        <w:pStyle w:val="NormalWeb"/>
        <w:spacing w:before="240" w:beforeAutospacing="0" w:after="240" w:afterAutospacing="0"/>
        <w:jc w:val="both"/>
      </w:pPr>
      <w:r>
        <w:rPr>
          <w:color w:val="000000"/>
        </w:rPr>
        <w:t xml:space="preserve">El test de </w:t>
      </w:r>
      <w:proofErr w:type="spellStart"/>
      <w:r>
        <w:rPr>
          <w:color w:val="000000"/>
        </w:rPr>
        <w:t>Breusch</w:t>
      </w:r>
      <w:proofErr w:type="spellEnd"/>
      <w:r>
        <w:rPr>
          <w:color w:val="000000"/>
        </w:rPr>
        <w:t>-Pagan arrojó un estadístico de 1465.43 con p &lt; 0.001, evidenciando la presencia de heterocedasticidad. Debido a ello, se utilizaron errores estándar robustos HC3 para corregir posibles sesgos en la inferencia estadística.</w:t>
      </w:r>
    </w:p>
    <w:p w14:paraId="73021F58" w14:textId="77777777" w:rsidR="00C74C65" w:rsidRDefault="00C74C65" w:rsidP="00C74C65">
      <w:pPr>
        <w:pStyle w:val="NormalWeb"/>
        <w:spacing w:before="240" w:beforeAutospacing="0" w:after="240" w:afterAutospacing="0"/>
        <w:jc w:val="both"/>
      </w:pPr>
      <w:r>
        <w:rPr>
          <w:color w:val="000000"/>
        </w:rPr>
        <w:t>El test de Durbin-Watson produjo un valor de 1.5405. Aunque el valor ideal es cercano a 2, el resultado indica únicamente una leve autocorrelación positiva, sin comprometer de manera severa la validez del modelo.</w:t>
      </w:r>
    </w:p>
    <w:p w14:paraId="33795952" w14:textId="77777777" w:rsidR="00C74C65" w:rsidRDefault="00C74C65" w:rsidP="00C74C65">
      <w:pPr>
        <w:pStyle w:val="NormalWeb"/>
        <w:spacing w:before="240" w:beforeAutospacing="0" w:after="240" w:afterAutospacing="0"/>
        <w:jc w:val="both"/>
      </w:pPr>
      <w:r>
        <w:rPr>
          <w:color w:val="000000"/>
        </w:rPr>
        <w:t>Asimismo, el test de Jarque-</w:t>
      </w:r>
      <w:proofErr w:type="spellStart"/>
      <w:r>
        <w:rPr>
          <w:color w:val="000000"/>
        </w:rPr>
        <w:t>Bera</w:t>
      </w:r>
      <w:proofErr w:type="spellEnd"/>
      <w:r>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51647D6C" w14:textId="77777777" w:rsidR="00C74C65" w:rsidRDefault="00C74C65" w:rsidP="00C74C65">
      <w:pPr>
        <w:pStyle w:val="NormalWeb"/>
        <w:spacing w:before="240" w:beforeAutospacing="0" w:after="240" w:afterAutospacing="0"/>
        <w:jc w:val="both"/>
      </w:pPr>
      <w:r>
        <w:rPr>
          <w:color w:val="000000"/>
        </w:rPr>
        <w:t>Finalmente, el análisis de VIF no evidenció problemas severos de multicolinealidad, ya que los factores de inflación de varianza se mantuvieron por debajo de los niveles críticos.</w:t>
      </w:r>
    </w:p>
    <w:p w14:paraId="67B0C91A" w14:textId="77777777" w:rsidR="00976A40" w:rsidRPr="00976A40" w:rsidRDefault="00976A40" w:rsidP="00976A40">
      <w:pPr>
        <w:pStyle w:val="Ttulo1"/>
        <w:spacing w:before="480" w:after="120"/>
        <w:jc w:val="both"/>
        <w:rPr>
          <w:rFonts w:ascii="Times New Roman" w:hAnsi="Times New Roman" w:cs="Times New Roman"/>
          <w:b/>
          <w:bCs/>
        </w:rPr>
      </w:pPr>
      <w:r w:rsidRPr="00976A40">
        <w:rPr>
          <w:rFonts w:ascii="Times New Roman" w:hAnsi="Times New Roman" w:cs="Times New Roman"/>
          <w:b/>
          <w:bCs/>
          <w:color w:val="000000"/>
          <w:sz w:val="24"/>
          <w:szCs w:val="24"/>
        </w:rPr>
        <w:t xml:space="preserve">7. </w:t>
      </w:r>
      <w:proofErr w:type="spellStart"/>
      <w:r w:rsidRPr="00976A40">
        <w:rPr>
          <w:rFonts w:ascii="Times New Roman" w:hAnsi="Times New Roman" w:cs="Times New Roman"/>
          <w:b/>
          <w:bCs/>
          <w:color w:val="000000"/>
          <w:sz w:val="24"/>
          <w:szCs w:val="24"/>
        </w:rPr>
        <w:t>Forecasting</w:t>
      </w:r>
      <w:proofErr w:type="spellEnd"/>
      <w:r w:rsidRPr="00976A40">
        <w:rPr>
          <w:rFonts w:ascii="Times New Roman" w:hAnsi="Times New Roman" w:cs="Times New Roman"/>
          <w:b/>
          <w:bCs/>
          <w:color w:val="000000"/>
          <w:sz w:val="24"/>
          <w:szCs w:val="24"/>
        </w:rPr>
        <w:t xml:space="preserve"> y Proyección de Ventas</w:t>
      </w:r>
    </w:p>
    <w:p w14:paraId="041FD5E5" w14:textId="49A2BA90" w:rsidR="00976A40" w:rsidRDefault="00976A40" w:rsidP="00976A40">
      <w:pPr>
        <w:pStyle w:val="NormalWeb"/>
        <w:spacing w:before="0" w:beforeAutospacing="0" w:after="0" w:afterAutospacing="0"/>
        <w:jc w:val="both"/>
      </w:pPr>
      <w:r>
        <w:rPr>
          <w:noProof/>
        </w:rPr>
        <w:drawing>
          <wp:inline distT="0" distB="0" distL="0" distR="0" wp14:anchorId="21AF9340" wp14:editId="4BE920F8">
            <wp:extent cx="5612130" cy="280606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545D77CD" w14:textId="77777777" w:rsidR="00976A40" w:rsidRDefault="00976A40" w:rsidP="00976A40">
      <w:pPr>
        <w:pStyle w:val="NormalWeb"/>
        <w:spacing w:before="0" w:beforeAutospacing="0" w:after="0" w:afterAutospacing="0"/>
        <w:jc w:val="both"/>
      </w:pPr>
      <w:r>
        <w:rPr>
          <w:i/>
          <w:iCs/>
          <w:color w:val="000000"/>
        </w:rPr>
        <w:t xml:space="preserve">Gráfica 3. </w:t>
      </w:r>
      <w:proofErr w:type="spellStart"/>
      <w:r>
        <w:rPr>
          <w:i/>
          <w:iCs/>
          <w:color w:val="000000"/>
        </w:rPr>
        <w:t>Forecasting</w:t>
      </w:r>
      <w:proofErr w:type="spellEnd"/>
      <w:r>
        <w:rPr>
          <w:i/>
          <w:iCs/>
          <w:color w:val="000000"/>
        </w:rPr>
        <w:t xml:space="preserve"> de Ventas</w:t>
      </w:r>
    </w:p>
    <w:p w14:paraId="20C9C380" w14:textId="77777777" w:rsidR="00976A40" w:rsidRDefault="00976A40" w:rsidP="00976A40">
      <w:pPr>
        <w:pStyle w:val="NormalWeb"/>
        <w:spacing w:before="240" w:beforeAutospacing="0" w:after="240" w:afterAutospacing="0"/>
        <w:jc w:val="both"/>
      </w:pPr>
      <w:r>
        <w:rPr>
          <w:color w:val="000000"/>
        </w:rPr>
        <w:t xml:space="preserve">Además del modelo econométrico principal, se desarrolló un modelo de </w:t>
      </w:r>
      <w:proofErr w:type="spellStart"/>
      <w:r>
        <w:rPr>
          <w:color w:val="000000"/>
        </w:rPr>
        <w:t>forecasting</w:t>
      </w:r>
      <w:proofErr w:type="spellEnd"/>
      <w:r>
        <w:rPr>
          <w:color w:val="000000"/>
        </w:rPr>
        <w:t xml:space="preserve"> para proyectar ventas futuras utilizando tendencia temporal, patrones semanales y efectos por día de la semana. El modelo permitió generar proyecciones de ventas para un horizonte de seis meses, incorporando intervalos de confianza para medir incertidumbre </w:t>
      </w:r>
      <w:r>
        <w:rPr>
          <w:i/>
          <w:iCs/>
          <w:color w:val="000000"/>
        </w:rPr>
        <w:t>(Gráfica 3).</w:t>
      </w:r>
    </w:p>
    <w:p w14:paraId="775DB8AC" w14:textId="77777777" w:rsidR="00976A40" w:rsidRDefault="00976A40" w:rsidP="00976A40">
      <w:pPr>
        <w:pStyle w:val="NormalWeb"/>
        <w:spacing w:before="240" w:beforeAutospacing="0" w:after="240" w:afterAutospacing="0"/>
        <w:jc w:val="both"/>
      </w:pPr>
      <w:r>
        <w:rPr>
          <w:color w:val="000000"/>
        </w:rPr>
        <w:lastRenderedPageBreak/>
        <w:t>Las proyecciones muestran que existen patrones estacionales claros en las ventas, donde algunos días presentan mayor volumen comercial y el comportamiento futuro mantiene una tendencia relativamente estable.</w:t>
      </w:r>
    </w:p>
    <w:p w14:paraId="6182A102" w14:textId="77777777" w:rsidR="00976A40" w:rsidRDefault="00976A40" w:rsidP="00976A40">
      <w:pPr>
        <w:pStyle w:val="NormalWeb"/>
        <w:spacing w:before="240" w:beforeAutospacing="0" w:after="240" w:afterAutospacing="0"/>
        <w:jc w:val="both"/>
      </w:pPr>
      <w:r>
        <w:rPr>
          <w:color w:val="000000"/>
        </w:rPr>
        <w:t xml:space="preserve">El modelo de </w:t>
      </w:r>
      <w:proofErr w:type="spellStart"/>
      <w:r>
        <w:rPr>
          <w:color w:val="000000"/>
        </w:rPr>
        <w:t>forecasting</w:t>
      </w:r>
      <w:proofErr w:type="spellEnd"/>
      <w:r>
        <w:rPr>
          <w:color w:val="000000"/>
        </w:rPr>
        <w:t xml:space="preserve"> alcanzó un R² de 0.9910, evidenciando una elevada capacidad predictiva para capturar la dinámica temporal de las ventas. Asimismo, las estimaciones indican ventas promedio diarias cercanas a 5,395,950 unidades y ventas acumuladas aproximadas de 971,271,000 unidades para el horizonte proyectado de seis meses. </w:t>
      </w:r>
    </w:p>
    <w:p w14:paraId="68237D22" w14:textId="77777777" w:rsidR="009704F0" w:rsidRPr="00A64B20" w:rsidRDefault="009704F0" w:rsidP="00A64B20">
      <w:pPr>
        <w:spacing w:before="240" w:after="240" w:line="240" w:lineRule="auto"/>
        <w:jc w:val="both"/>
        <w:rPr>
          <w:rFonts w:ascii="Times New Roman" w:eastAsia="Times New Roman" w:hAnsi="Times New Roman" w:cs="Times New Roman"/>
          <w:kern w:val="0"/>
          <w:lang w:eastAsia="es-MX"/>
          <w14:ligatures w14:val="none"/>
        </w:rPr>
      </w:pPr>
    </w:p>
    <w:p w14:paraId="02EEB9E9" w14:textId="77777777" w:rsidR="00A64B20" w:rsidRPr="00A64B20" w:rsidRDefault="00A64B20" w:rsidP="00A64B20">
      <w:pPr>
        <w:spacing w:after="0" w:line="240" w:lineRule="auto"/>
        <w:rPr>
          <w:rFonts w:ascii="Times New Roman" w:eastAsia="Times New Roman" w:hAnsi="Times New Roman" w:cs="Times New Roman"/>
          <w:kern w:val="0"/>
          <w:lang w:eastAsia="es-MX"/>
          <w14:ligatures w14:val="none"/>
        </w:rPr>
      </w:pPr>
    </w:p>
    <w:p w14:paraId="4111031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01B74"/>
    <w:multiLevelType w:val="multilevel"/>
    <w:tmpl w:val="F1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E0E18"/>
    <w:multiLevelType w:val="multilevel"/>
    <w:tmpl w:val="9D1E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
  </w:num>
  <w:num w:numId="3">
    <w:abstractNumId w:val="7"/>
  </w:num>
  <w:num w:numId="4">
    <w:abstractNumId w:val="12"/>
  </w:num>
  <w:num w:numId="5">
    <w:abstractNumId w:val="1"/>
  </w:num>
  <w:num w:numId="6">
    <w:abstractNumId w:val="10"/>
  </w:num>
  <w:num w:numId="7">
    <w:abstractNumId w:val="4"/>
  </w:num>
  <w:num w:numId="8">
    <w:abstractNumId w:val="5"/>
  </w:num>
  <w:num w:numId="9">
    <w:abstractNumId w:val="11"/>
  </w:num>
  <w:num w:numId="10">
    <w:abstractNumId w:val="2"/>
  </w:num>
  <w:num w:numId="11">
    <w:abstractNumId w:val="9"/>
  </w:num>
  <w:num w:numId="12">
    <w:abstractNumId w:val="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50971"/>
    <w:rsid w:val="001C2A25"/>
    <w:rsid w:val="002376FA"/>
    <w:rsid w:val="00506AD4"/>
    <w:rsid w:val="005B03F7"/>
    <w:rsid w:val="00697C00"/>
    <w:rsid w:val="008F6B17"/>
    <w:rsid w:val="009704F0"/>
    <w:rsid w:val="00976A40"/>
    <w:rsid w:val="00A64B20"/>
    <w:rsid w:val="00C74C65"/>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9193411">
      <w:bodyDiv w:val="1"/>
      <w:marLeft w:val="0"/>
      <w:marRight w:val="0"/>
      <w:marTop w:val="0"/>
      <w:marBottom w:val="0"/>
      <w:divBdr>
        <w:top w:val="none" w:sz="0" w:space="0" w:color="auto"/>
        <w:left w:val="none" w:sz="0" w:space="0" w:color="auto"/>
        <w:bottom w:val="none" w:sz="0" w:space="0" w:color="auto"/>
        <w:right w:val="none" w:sz="0" w:space="0" w:color="auto"/>
      </w:divBdr>
    </w:div>
    <w:div w:id="2013139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1827</Words>
  <Characters>10418</Characters>
  <Application>Microsoft Office Word</Application>
  <DocSecurity>0</DocSecurity>
  <Lines>86</Lines>
  <Paragraphs>24</Paragraphs>
  <ScaleCrop>false</ScaleCrop>
  <Company/>
  <LinksUpToDate>false</LinksUpToDate>
  <CharactersWithSpaces>12221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9</cp:revision>
  <dcterms:created xsi:type="dcterms:W3CDTF">2026-05-22T13:48:00Z</dcterms:created>
  <dcterms:modified xsi:type="dcterms:W3CDTF">2026-05-22T16:15:00Z</dcterms:modified>
</cp:coreProperties>
</file>